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BodyText"/>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TableGri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TableGri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D91E35">
        <w:tc>
          <w:tcPr>
            <w:tcW w:w="1276"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926"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43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926"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D91E35">
        <w:tc>
          <w:tcPr>
            <w:tcW w:w="1276" w:type="dxa"/>
          </w:tcPr>
          <w:p w14:paraId="1875045E" w14:textId="4C62F1F4" w:rsidR="0008475A" w:rsidRDefault="008238DA" w:rsidP="0008475A">
            <w:pPr>
              <w:rPr>
                <w:rFonts w:eastAsia="DengXian"/>
                <w:lang w:eastAsia="zh-CN"/>
              </w:rPr>
            </w:pPr>
            <w:r>
              <w:rPr>
                <w:rFonts w:eastAsia="DengXian"/>
                <w:lang w:eastAsia="zh-CN"/>
              </w:rPr>
              <w:t>NEC</w:t>
            </w:r>
          </w:p>
        </w:tc>
        <w:tc>
          <w:tcPr>
            <w:tcW w:w="243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926"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D91E35">
        <w:tc>
          <w:tcPr>
            <w:tcW w:w="1276" w:type="dxa"/>
          </w:tcPr>
          <w:p w14:paraId="7312C66A" w14:textId="3247BEE1" w:rsidR="00600283" w:rsidRPr="00241CDD" w:rsidRDefault="00241CDD" w:rsidP="00600283">
            <w:pPr>
              <w:rPr>
                <w:rFonts w:eastAsia="DengXian"/>
                <w:lang w:val="en-SE" w:eastAsia="zh-CN"/>
              </w:rPr>
            </w:pPr>
            <w:r>
              <w:rPr>
                <w:rFonts w:eastAsia="DengXian"/>
                <w:lang w:val="en-SE" w:eastAsia="zh-CN"/>
              </w:rPr>
              <w:t>Huawei/HiSilicon</w:t>
            </w:r>
          </w:p>
        </w:tc>
        <w:tc>
          <w:tcPr>
            <w:tcW w:w="2437" w:type="dxa"/>
          </w:tcPr>
          <w:p w14:paraId="3252D881" w14:textId="60925D2D" w:rsidR="00600283" w:rsidRPr="002F282D" w:rsidRDefault="002F282D" w:rsidP="00600283">
            <w:pPr>
              <w:rPr>
                <w:rFonts w:eastAsia="DengXian"/>
                <w:lang w:val="en-SE" w:eastAsia="zh-CN"/>
              </w:rPr>
            </w:pPr>
            <w:r>
              <w:rPr>
                <w:rFonts w:eastAsia="DengXian"/>
                <w:lang w:val="en-SE" w:eastAsia="zh-CN"/>
              </w:rPr>
              <w:t>Please see comments</w:t>
            </w:r>
          </w:p>
        </w:tc>
        <w:tc>
          <w:tcPr>
            <w:tcW w:w="5926" w:type="dxa"/>
          </w:tcPr>
          <w:p w14:paraId="2F489A6A" w14:textId="6B306C15" w:rsidR="00600283" w:rsidRPr="002F282D" w:rsidRDefault="002F282D" w:rsidP="00600283">
            <w:pPr>
              <w:rPr>
                <w:rFonts w:eastAsia="DengXian"/>
                <w:lang w:val="en-SE" w:eastAsia="zh-CN"/>
              </w:rPr>
            </w:pPr>
            <w:r>
              <w:rPr>
                <w:rFonts w:eastAsia="DengXian"/>
                <w:lang w:val="en-SE" w:eastAsia="zh-CN"/>
              </w:rPr>
              <w:t>We need to check with RAN4</w:t>
            </w:r>
          </w:p>
        </w:tc>
      </w:tr>
      <w:tr w:rsidR="00600283" w14:paraId="1EDF9CFE" w14:textId="77777777" w:rsidTr="00D91E35">
        <w:tc>
          <w:tcPr>
            <w:tcW w:w="1276" w:type="dxa"/>
          </w:tcPr>
          <w:p w14:paraId="58227E22" w14:textId="6F723516" w:rsidR="00600283" w:rsidRDefault="00600283" w:rsidP="00600283">
            <w:pPr>
              <w:rPr>
                <w:rFonts w:eastAsia="DengXian"/>
                <w:lang w:eastAsia="zh-CN"/>
              </w:rPr>
            </w:pPr>
          </w:p>
        </w:tc>
        <w:tc>
          <w:tcPr>
            <w:tcW w:w="2437" w:type="dxa"/>
          </w:tcPr>
          <w:p w14:paraId="3E4DBBDD" w14:textId="60E294C5" w:rsidR="00600283" w:rsidRDefault="00600283" w:rsidP="00600283">
            <w:pPr>
              <w:rPr>
                <w:rFonts w:eastAsia="DengXian"/>
                <w:lang w:eastAsia="zh-CN"/>
              </w:rPr>
            </w:pPr>
          </w:p>
        </w:tc>
        <w:tc>
          <w:tcPr>
            <w:tcW w:w="5926" w:type="dxa"/>
          </w:tcPr>
          <w:p w14:paraId="472CDB23" w14:textId="309F0DD6" w:rsidR="00600283" w:rsidRDefault="00600283" w:rsidP="00600283">
            <w:pPr>
              <w:rPr>
                <w:rFonts w:eastAsia="DengXian"/>
                <w:lang w:eastAsia="zh-CN"/>
              </w:rPr>
            </w:pPr>
          </w:p>
        </w:tc>
      </w:tr>
      <w:tr w:rsidR="00FD0685" w14:paraId="337F9C9A" w14:textId="77777777" w:rsidTr="00D91E35">
        <w:tc>
          <w:tcPr>
            <w:tcW w:w="1276" w:type="dxa"/>
          </w:tcPr>
          <w:p w14:paraId="0396767F" w14:textId="3617BFE1" w:rsidR="00FD0685" w:rsidRDefault="00FD0685" w:rsidP="00FD0685">
            <w:pPr>
              <w:rPr>
                <w:rFonts w:eastAsia="DengXian"/>
                <w:lang w:eastAsia="zh-CN"/>
              </w:rPr>
            </w:pPr>
          </w:p>
        </w:tc>
        <w:tc>
          <w:tcPr>
            <w:tcW w:w="2437" w:type="dxa"/>
          </w:tcPr>
          <w:p w14:paraId="3E4C9EC8" w14:textId="0B6B7FF0" w:rsidR="00FD0685" w:rsidRDefault="00FD0685" w:rsidP="00FD0685">
            <w:pPr>
              <w:rPr>
                <w:rFonts w:eastAsia="DengXian"/>
                <w:lang w:eastAsia="zh-CN"/>
              </w:rPr>
            </w:pPr>
          </w:p>
        </w:tc>
        <w:tc>
          <w:tcPr>
            <w:tcW w:w="5926" w:type="dxa"/>
          </w:tcPr>
          <w:p w14:paraId="1C7444C9" w14:textId="77777777" w:rsidR="00FD0685" w:rsidRDefault="00FD0685" w:rsidP="00FD0685">
            <w:pPr>
              <w:rPr>
                <w:rFonts w:eastAsia="DengXian"/>
                <w:lang w:eastAsia="zh-CN"/>
              </w:rPr>
            </w:pPr>
          </w:p>
        </w:tc>
      </w:tr>
      <w:tr w:rsidR="00E05EF7" w14:paraId="26B00F38" w14:textId="77777777" w:rsidTr="00D91E35">
        <w:tc>
          <w:tcPr>
            <w:tcW w:w="1276" w:type="dxa"/>
          </w:tcPr>
          <w:p w14:paraId="5E1CFED0" w14:textId="62956D77" w:rsidR="00E05EF7" w:rsidRDefault="00E05EF7" w:rsidP="00FD0685">
            <w:pPr>
              <w:rPr>
                <w:rFonts w:eastAsia="DengXian"/>
                <w:lang w:eastAsia="zh-CN"/>
              </w:rPr>
            </w:pPr>
          </w:p>
        </w:tc>
        <w:tc>
          <w:tcPr>
            <w:tcW w:w="2437" w:type="dxa"/>
          </w:tcPr>
          <w:p w14:paraId="19685140" w14:textId="4828DC3A" w:rsidR="00E05EF7" w:rsidRDefault="00E05EF7" w:rsidP="00FD0685">
            <w:pPr>
              <w:rPr>
                <w:rFonts w:eastAsia="DengXian"/>
                <w:lang w:eastAsia="zh-CN"/>
              </w:rPr>
            </w:pPr>
          </w:p>
        </w:tc>
        <w:tc>
          <w:tcPr>
            <w:tcW w:w="5926" w:type="dxa"/>
          </w:tcPr>
          <w:p w14:paraId="5201B600" w14:textId="77777777" w:rsidR="00E05EF7" w:rsidRDefault="00E05EF7" w:rsidP="00FD0685">
            <w:pPr>
              <w:rPr>
                <w:rFonts w:eastAsia="DengXian"/>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DengXian"/>
                <w:lang w:eastAsia="zh-CN"/>
              </w:rPr>
            </w:pPr>
          </w:p>
        </w:tc>
        <w:tc>
          <w:tcPr>
            <w:tcW w:w="5926" w:type="dxa"/>
          </w:tcPr>
          <w:p w14:paraId="026C9A48" w14:textId="77777777" w:rsidR="00D91E35" w:rsidRDefault="00D91E35" w:rsidP="0091678F">
            <w:pPr>
              <w:rPr>
                <w:rFonts w:eastAsia="DengXian"/>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DengXian"/>
                <w:lang w:eastAsia="zh-CN"/>
              </w:rPr>
            </w:pPr>
          </w:p>
        </w:tc>
        <w:tc>
          <w:tcPr>
            <w:tcW w:w="5926" w:type="dxa"/>
          </w:tcPr>
          <w:p w14:paraId="5C2B4078" w14:textId="77777777" w:rsidR="0099080A" w:rsidRDefault="0099080A" w:rsidP="009B4309">
            <w:pPr>
              <w:rPr>
                <w:rFonts w:eastAsia="DengXian"/>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DengXian"/>
                <w:lang w:eastAsia="zh-CN"/>
              </w:rPr>
            </w:pPr>
          </w:p>
        </w:tc>
        <w:tc>
          <w:tcPr>
            <w:tcW w:w="5926" w:type="dxa"/>
          </w:tcPr>
          <w:p w14:paraId="2DBD05E9" w14:textId="77777777" w:rsidR="00E125DD" w:rsidRDefault="00E125DD" w:rsidP="0091678F">
            <w:pPr>
              <w:rPr>
                <w:rFonts w:eastAsia="DengXian"/>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DengXian"/>
                <w:lang w:eastAsia="zh-CN"/>
              </w:rPr>
            </w:pPr>
          </w:p>
        </w:tc>
        <w:tc>
          <w:tcPr>
            <w:tcW w:w="5926" w:type="dxa"/>
          </w:tcPr>
          <w:p w14:paraId="28584129" w14:textId="63ADB935" w:rsidR="002A7828" w:rsidRDefault="002A7828" w:rsidP="0091678F">
            <w:pPr>
              <w:rPr>
                <w:rFonts w:eastAsia="DengXian"/>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DengXian"/>
                <w:lang w:eastAsia="zh-CN"/>
              </w:rPr>
            </w:pPr>
          </w:p>
        </w:tc>
        <w:tc>
          <w:tcPr>
            <w:tcW w:w="5926" w:type="dxa"/>
          </w:tcPr>
          <w:p w14:paraId="2C4C87BF" w14:textId="77777777" w:rsidR="00B46272" w:rsidRDefault="00B46272" w:rsidP="0091678F">
            <w:pPr>
              <w:rPr>
                <w:rFonts w:eastAsia="DengXian"/>
                <w:lang w:eastAsia="zh-CN"/>
              </w:rPr>
            </w:pPr>
          </w:p>
        </w:tc>
      </w:tr>
    </w:tbl>
    <w:p w14:paraId="5F7A81DF" w14:textId="77777777" w:rsidR="00B46272" w:rsidRPr="006F7C96" w:rsidRDefault="00B46272" w:rsidP="00B46272">
      <w:pPr>
        <w:pStyle w:val="CommentText"/>
        <w:rPr>
          <w:b/>
          <w:color w:val="0070C0"/>
          <w:lang w:eastAsia="zh-CN"/>
        </w:rPr>
      </w:pPr>
      <w:r w:rsidRPr="006F7C96">
        <w:rPr>
          <w:b/>
          <w:color w:val="0070C0"/>
          <w:lang w:eastAsia="zh-CN"/>
        </w:rPr>
        <w:t xml:space="preserve">Summary: </w:t>
      </w:r>
    </w:p>
    <w:p w14:paraId="63885845" w14:textId="77777777" w:rsidR="00F2772F" w:rsidRDefault="00F2772F" w:rsidP="00B46272">
      <w:pPr>
        <w:pStyle w:val="CommentText"/>
        <w:jc w:val="both"/>
        <w:rPr>
          <w:b/>
          <w:bCs/>
          <w:color w:val="0070C0"/>
          <w:lang w:eastAsia="zh-CN"/>
        </w:rPr>
      </w:pPr>
    </w:p>
    <w:p w14:paraId="45F8EEFF" w14:textId="0E941F7B" w:rsidR="00182404" w:rsidRPr="006E13EB" w:rsidRDefault="00182404" w:rsidP="00B46272">
      <w:pPr>
        <w:pStyle w:val="CommentText"/>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BodyText"/>
        <w:rPr>
          <w:lang w:val="en-GB" w:eastAsia="zh-CN"/>
        </w:rPr>
      </w:pPr>
    </w:p>
    <w:p w14:paraId="0D228242" w14:textId="4F946CDA" w:rsidR="00191511" w:rsidRPr="00551AD8" w:rsidRDefault="00191511" w:rsidP="00191511">
      <w:pPr>
        <w:pStyle w:val="BodyText"/>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BodyText"/>
        <w:rPr>
          <w:lang w:val="en-GB" w:eastAsia="zh-CN"/>
        </w:rPr>
      </w:pPr>
      <w:r>
        <w:rPr>
          <w:lang w:val="en-GB" w:eastAsia="zh-CN"/>
        </w:rPr>
        <w:t>In RAN2#129bis meeting, it was agreed that:</w:t>
      </w:r>
    </w:p>
    <w:tbl>
      <w:tblPr>
        <w:tblStyle w:val="TableGri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BodyText"/>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BodyText"/>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TableGrid"/>
        <w:tblW w:w="9639" w:type="dxa"/>
        <w:tblInd w:w="-5" w:type="dxa"/>
        <w:tblLook w:val="04A0" w:firstRow="1" w:lastRow="0" w:firstColumn="1" w:lastColumn="0" w:noHBand="0" w:noVBand="1"/>
      </w:tblPr>
      <w:tblGrid>
        <w:gridCol w:w="1661"/>
        <w:gridCol w:w="2339"/>
        <w:gridCol w:w="5639"/>
      </w:tblGrid>
      <w:tr w:rsidR="0092517F" w:rsidRPr="00B10971" w14:paraId="0A7A3F1C" w14:textId="77777777" w:rsidTr="00C5103C">
        <w:tc>
          <w:tcPr>
            <w:tcW w:w="1276"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926"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437"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926"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437" w:type="dxa"/>
          </w:tcPr>
          <w:p w14:paraId="7B0C314C" w14:textId="083CA014" w:rsidR="0092517F" w:rsidRDefault="00136253" w:rsidP="00136253">
            <w:pPr>
              <w:rPr>
                <w:rFonts w:eastAsia="DengXian"/>
                <w:lang w:eastAsia="zh-CN"/>
              </w:rPr>
            </w:pPr>
            <w:r>
              <w:rPr>
                <w:rFonts w:eastAsia="DengXian"/>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57D4599" w:rsidR="0092517F" w:rsidRDefault="00E424F0" w:rsidP="00C5103C">
            <w:pPr>
              <w:rPr>
                <w:rFonts w:eastAsia="DengXian"/>
                <w:lang w:eastAsia="zh-CN"/>
              </w:rPr>
            </w:pPr>
            <w:r>
              <w:rPr>
                <w:rFonts w:eastAsia="DengXian"/>
                <w:lang w:eastAsia="zh-CN"/>
              </w:rPr>
              <w:t>NEC</w:t>
            </w:r>
          </w:p>
        </w:tc>
        <w:tc>
          <w:tcPr>
            <w:tcW w:w="2437"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926"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C5103C">
        <w:tc>
          <w:tcPr>
            <w:tcW w:w="1276" w:type="dxa"/>
          </w:tcPr>
          <w:p w14:paraId="2CEA6207" w14:textId="73E6D92A" w:rsidR="0092517F" w:rsidRPr="00BE6510" w:rsidRDefault="00BE6510" w:rsidP="00C5103C">
            <w:pPr>
              <w:rPr>
                <w:rFonts w:eastAsia="DengXian"/>
                <w:lang w:val="en-SE" w:eastAsia="zh-CN"/>
              </w:rPr>
            </w:pPr>
            <w:r>
              <w:rPr>
                <w:rFonts w:eastAsia="DengXian"/>
                <w:lang w:val="en-SE" w:eastAsia="zh-CN"/>
              </w:rPr>
              <w:t>Huawei/HiSilicon</w:t>
            </w:r>
          </w:p>
        </w:tc>
        <w:tc>
          <w:tcPr>
            <w:tcW w:w="2437" w:type="dxa"/>
          </w:tcPr>
          <w:p w14:paraId="36BF71FF" w14:textId="59E953BA" w:rsidR="0092517F" w:rsidRPr="00367F19" w:rsidRDefault="00367F19" w:rsidP="00C5103C">
            <w:pPr>
              <w:rPr>
                <w:rFonts w:eastAsia="DengXian"/>
                <w:lang w:val="en-SE" w:eastAsia="zh-CN"/>
              </w:rPr>
            </w:pPr>
            <w:r>
              <w:rPr>
                <w:rFonts w:eastAsia="DengXian"/>
                <w:lang w:val="en-SE" w:eastAsia="zh-CN"/>
              </w:rPr>
              <w:t>Yes</w:t>
            </w:r>
          </w:p>
        </w:tc>
        <w:tc>
          <w:tcPr>
            <w:tcW w:w="5926" w:type="dxa"/>
          </w:tcPr>
          <w:p w14:paraId="69851A1A" w14:textId="1BC764C2" w:rsidR="0092517F" w:rsidRPr="00BE6510" w:rsidRDefault="00367F19" w:rsidP="00C5103C">
            <w:pPr>
              <w:rPr>
                <w:rFonts w:eastAsia="DengXian"/>
                <w:lang w:val="en-SE" w:eastAsia="zh-CN"/>
              </w:rPr>
            </w:pPr>
            <w:r>
              <w:rPr>
                <w:rFonts w:eastAsia="DengXian"/>
                <w:lang w:val="en-SE" w:eastAsia="zh-CN"/>
              </w:rPr>
              <w:t xml:space="preserve">Can be left to </w:t>
            </w:r>
            <w:r w:rsidR="00BE6510">
              <w:rPr>
                <w:rFonts w:eastAsia="DengXian"/>
                <w:lang w:val="en-SE" w:eastAsia="zh-CN"/>
              </w:rPr>
              <w:t>UE implementation</w:t>
            </w:r>
          </w:p>
        </w:tc>
      </w:tr>
      <w:tr w:rsidR="0092517F" w14:paraId="1832F409" w14:textId="77777777" w:rsidTr="00C5103C">
        <w:tc>
          <w:tcPr>
            <w:tcW w:w="1276" w:type="dxa"/>
          </w:tcPr>
          <w:p w14:paraId="73C12695" w14:textId="77777777" w:rsidR="0092517F" w:rsidRDefault="0092517F" w:rsidP="00C5103C">
            <w:pPr>
              <w:rPr>
                <w:rFonts w:eastAsia="DengXian"/>
                <w:lang w:eastAsia="zh-CN"/>
              </w:rPr>
            </w:pPr>
          </w:p>
        </w:tc>
        <w:tc>
          <w:tcPr>
            <w:tcW w:w="2437" w:type="dxa"/>
          </w:tcPr>
          <w:p w14:paraId="53F205DC" w14:textId="77777777" w:rsidR="0092517F" w:rsidRDefault="0092517F" w:rsidP="00C5103C">
            <w:pPr>
              <w:rPr>
                <w:rFonts w:eastAsia="DengXian"/>
                <w:lang w:eastAsia="zh-CN"/>
              </w:rPr>
            </w:pPr>
          </w:p>
        </w:tc>
        <w:tc>
          <w:tcPr>
            <w:tcW w:w="5926" w:type="dxa"/>
          </w:tcPr>
          <w:p w14:paraId="06D799C6" w14:textId="77777777" w:rsidR="0092517F" w:rsidRDefault="0092517F" w:rsidP="00C5103C">
            <w:pPr>
              <w:rPr>
                <w:rFonts w:eastAsia="DengXian"/>
                <w:lang w:eastAsia="zh-CN"/>
              </w:rPr>
            </w:pPr>
          </w:p>
        </w:tc>
      </w:tr>
      <w:tr w:rsidR="0092517F" w14:paraId="421F7AC2" w14:textId="77777777" w:rsidTr="00C5103C">
        <w:tc>
          <w:tcPr>
            <w:tcW w:w="1276" w:type="dxa"/>
          </w:tcPr>
          <w:p w14:paraId="75C8AC19" w14:textId="77777777" w:rsidR="0092517F" w:rsidRDefault="0092517F" w:rsidP="00C5103C">
            <w:pPr>
              <w:rPr>
                <w:rFonts w:eastAsia="DengXian"/>
                <w:lang w:eastAsia="zh-CN"/>
              </w:rPr>
            </w:pPr>
          </w:p>
        </w:tc>
        <w:tc>
          <w:tcPr>
            <w:tcW w:w="2437" w:type="dxa"/>
          </w:tcPr>
          <w:p w14:paraId="2E7F2914" w14:textId="77777777" w:rsidR="0092517F" w:rsidRDefault="0092517F" w:rsidP="00C5103C">
            <w:pPr>
              <w:rPr>
                <w:rFonts w:eastAsia="DengXian"/>
                <w:lang w:eastAsia="zh-CN"/>
              </w:rPr>
            </w:pPr>
          </w:p>
        </w:tc>
        <w:tc>
          <w:tcPr>
            <w:tcW w:w="5926" w:type="dxa"/>
          </w:tcPr>
          <w:p w14:paraId="5F57B09E" w14:textId="77777777" w:rsidR="0092517F" w:rsidRDefault="0092517F" w:rsidP="00C5103C">
            <w:pPr>
              <w:rPr>
                <w:rFonts w:eastAsia="DengXian"/>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DengXian"/>
                <w:lang w:eastAsia="zh-CN"/>
              </w:rPr>
            </w:pPr>
          </w:p>
        </w:tc>
        <w:tc>
          <w:tcPr>
            <w:tcW w:w="5926" w:type="dxa"/>
          </w:tcPr>
          <w:p w14:paraId="743BF152" w14:textId="77777777" w:rsidR="0092517F" w:rsidRDefault="0092517F" w:rsidP="00C5103C">
            <w:pPr>
              <w:rPr>
                <w:rFonts w:eastAsia="DengXian"/>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DengXian"/>
                <w:lang w:eastAsia="zh-CN"/>
              </w:rPr>
            </w:pPr>
          </w:p>
        </w:tc>
        <w:tc>
          <w:tcPr>
            <w:tcW w:w="5926" w:type="dxa"/>
          </w:tcPr>
          <w:p w14:paraId="043E5B95" w14:textId="77777777" w:rsidR="0092517F" w:rsidRDefault="0092517F" w:rsidP="00C5103C">
            <w:pPr>
              <w:rPr>
                <w:rFonts w:eastAsia="DengXian"/>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DengXian"/>
                <w:lang w:eastAsia="zh-CN"/>
              </w:rPr>
            </w:pPr>
          </w:p>
        </w:tc>
        <w:tc>
          <w:tcPr>
            <w:tcW w:w="5926" w:type="dxa"/>
          </w:tcPr>
          <w:p w14:paraId="1A3222B7" w14:textId="77777777" w:rsidR="0092517F" w:rsidRDefault="0092517F" w:rsidP="00C5103C">
            <w:pPr>
              <w:rPr>
                <w:rFonts w:eastAsia="DengXian"/>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DengXian"/>
                <w:lang w:eastAsia="zh-CN"/>
              </w:rPr>
            </w:pPr>
          </w:p>
        </w:tc>
        <w:tc>
          <w:tcPr>
            <w:tcW w:w="5926" w:type="dxa"/>
          </w:tcPr>
          <w:p w14:paraId="5A58AD1C" w14:textId="77777777" w:rsidR="0092517F" w:rsidRDefault="0092517F" w:rsidP="00C5103C">
            <w:pPr>
              <w:rPr>
                <w:rFonts w:eastAsia="DengXian"/>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DengXian"/>
                <w:lang w:eastAsia="zh-CN"/>
              </w:rPr>
            </w:pPr>
          </w:p>
        </w:tc>
        <w:tc>
          <w:tcPr>
            <w:tcW w:w="5926" w:type="dxa"/>
          </w:tcPr>
          <w:p w14:paraId="5269CE04" w14:textId="77777777" w:rsidR="0092517F" w:rsidRDefault="0092517F" w:rsidP="00C5103C">
            <w:pPr>
              <w:rPr>
                <w:rFonts w:eastAsia="DengXian"/>
                <w:lang w:eastAsia="zh-CN"/>
              </w:rPr>
            </w:pPr>
          </w:p>
        </w:tc>
      </w:tr>
    </w:tbl>
    <w:p w14:paraId="71697D19" w14:textId="77777777" w:rsidR="0092517F" w:rsidRPr="006F7C96" w:rsidRDefault="0092517F" w:rsidP="0092517F">
      <w:pPr>
        <w:pStyle w:val="CommentText"/>
        <w:rPr>
          <w:b/>
          <w:color w:val="0070C0"/>
          <w:lang w:eastAsia="zh-CN"/>
        </w:rPr>
      </w:pPr>
      <w:r w:rsidRPr="006F7C96">
        <w:rPr>
          <w:b/>
          <w:color w:val="0070C0"/>
          <w:lang w:eastAsia="zh-CN"/>
        </w:rPr>
        <w:t xml:space="preserve">Summary: </w:t>
      </w:r>
    </w:p>
    <w:p w14:paraId="76F11985" w14:textId="77777777" w:rsidR="0092517F" w:rsidRDefault="0092517F" w:rsidP="0092517F">
      <w:pPr>
        <w:pStyle w:val="CommentText"/>
        <w:jc w:val="both"/>
        <w:rPr>
          <w:b/>
          <w:bCs/>
          <w:color w:val="0070C0"/>
          <w:lang w:eastAsia="zh-CN"/>
        </w:rPr>
      </w:pPr>
    </w:p>
    <w:p w14:paraId="1A6D03D2" w14:textId="77777777" w:rsidR="0092517F" w:rsidRPr="006E13EB" w:rsidRDefault="0092517F" w:rsidP="0092517F">
      <w:pPr>
        <w:pStyle w:val="CommentText"/>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BodyText"/>
        <w:rPr>
          <w:lang w:val="en-GB" w:eastAsia="zh-CN"/>
        </w:rPr>
      </w:pPr>
    </w:p>
    <w:p w14:paraId="7394B068" w14:textId="50DA5E6E" w:rsidR="001D6AC6" w:rsidRPr="00551AD8" w:rsidRDefault="001D6AC6" w:rsidP="001D6AC6">
      <w:pPr>
        <w:pStyle w:val="BodyText"/>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BodyText"/>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TableGri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BodyText"/>
              <w:rPr>
                <w:b/>
                <w:bCs/>
                <w:lang w:val="en-GB" w:eastAsia="zh-CN"/>
              </w:rPr>
            </w:pPr>
            <w:r w:rsidRPr="006A3207">
              <w:rPr>
                <w:b/>
                <w:bCs/>
                <w:lang w:val="en-GB" w:eastAsia="zh-CN"/>
              </w:rPr>
              <w:t>Samsung comments:</w:t>
            </w:r>
          </w:p>
          <w:p w14:paraId="74F45A76" w14:textId="77777777" w:rsidR="00F93583" w:rsidRPr="001D6AC6" w:rsidRDefault="00F93583" w:rsidP="00F93583">
            <w:pPr>
              <w:pStyle w:val="BodyText"/>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BodyText"/>
              <w:rPr>
                <w:lang w:eastAsia="zh-CN"/>
              </w:rPr>
            </w:pPr>
            <w:r w:rsidRPr="001D6AC6">
              <w:rPr>
                <w:lang w:eastAsia="zh-CN"/>
              </w:rPr>
              <w:t> -         LPSS      Low power synchronization signal</w:t>
            </w:r>
          </w:p>
          <w:p w14:paraId="62734D2F" w14:textId="77777777" w:rsidR="00F93583" w:rsidRPr="001D6AC6" w:rsidRDefault="00F93583" w:rsidP="00F93583">
            <w:pPr>
              <w:pStyle w:val="BodyText"/>
              <w:rPr>
                <w:lang w:eastAsia="zh-CN"/>
              </w:rPr>
            </w:pPr>
            <w:r w:rsidRPr="001D6AC6">
              <w:rPr>
                <w:lang w:eastAsia="zh-CN"/>
              </w:rPr>
              <w:t> -         WUS      Wake-Up Signal</w:t>
            </w:r>
          </w:p>
          <w:p w14:paraId="7C64DFEF" w14:textId="77777777" w:rsidR="00F93583" w:rsidRPr="001D6AC6" w:rsidRDefault="00F93583" w:rsidP="00F93583">
            <w:pPr>
              <w:pStyle w:val="BodyText"/>
              <w:rPr>
                <w:lang w:eastAsia="zh-CN"/>
              </w:rPr>
            </w:pPr>
            <w:r w:rsidRPr="001D6AC6">
              <w:rPr>
                <w:lang w:eastAsia="zh-CN"/>
              </w:rPr>
              <w:t> -         WUR      Wake-Up Receiver</w:t>
            </w:r>
          </w:p>
          <w:p w14:paraId="44EFC830" w14:textId="77777777" w:rsidR="00F93583" w:rsidRDefault="00F93583" w:rsidP="00F93583">
            <w:pPr>
              <w:pStyle w:val="BodyText"/>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BodyText"/>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BodyText"/>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BodyText"/>
              <w:numPr>
                <w:ilvl w:val="0"/>
                <w:numId w:val="15"/>
              </w:numPr>
              <w:rPr>
                <w:lang w:eastAsia="zh-CN"/>
              </w:rPr>
            </w:pPr>
            <w:r w:rsidRPr="0095320F">
              <w:rPr>
                <w:lang w:eastAsia="zh-CN"/>
              </w:rPr>
              <w:t>LP-WUS → WUS</w:t>
            </w:r>
          </w:p>
          <w:p w14:paraId="50BF1781" w14:textId="3B60C227" w:rsidR="00F93583" w:rsidRPr="00F93583" w:rsidRDefault="00F93583" w:rsidP="00F93583">
            <w:pPr>
              <w:pStyle w:val="BodyText"/>
              <w:numPr>
                <w:ilvl w:val="0"/>
                <w:numId w:val="15"/>
              </w:numPr>
              <w:rPr>
                <w:lang w:eastAsia="zh-CN"/>
              </w:rPr>
            </w:pPr>
            <w:r w:rsidRPr="0095320F">
              <w:rPr>
                <w:lang w:eastAsia="zh-CN"/>
              </w:rPr>
              <w:t>LP-SS → LPSS</w:t>
            </w:r>
          </w:p>
          <w:p w14:paraId="4DF5A128" w14:textId="77777777" w:rsidR="00F93583" w:rsidRPr="0095320F" w:rsidRDefault="00F93583" w:rsidP="00F93583">
            <w:pPr>
              <w:pStyle w:val="BodyText"/>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BodyText"/>
              <w:numPr>
                <w:ilvl w:val="0"/>
                <w:numId w:val="15"/>
              </w:numPr>
              <w:rPr>
                <w:lang w:eastAsia="zh-CN"/>
              </w:rPr>
            </w:pPr>
            <w:r w:rsidRPr="0095320F">
              <w:rPr>
                <w:lang w:eastAsia="zh-CN"/>
              </w:rPr>
              <w:lastRenderedPageBreak/>
              <w:t>LR → WUR</w:t>
            </w:r>
          </w:p>
          <w:p w14:paraId="67AB06FA" w14:textId="77777777" w:rsidR="00F93583" w:rsidRPr="00F93583" w:rsidRDefault="00F93583" w:rsidP="00F93583">
            <w:pPr>
              <w:pStyle w:val="BodyText"/>
              <w:numPr>
                <w:ilvl w:val="0"/>
                <w:numId w:val="15"/>
              </w:numPr>
              <w:rPr>
                <w:lang w:eastAsia="zh-CN"/>
              </w:rPr>
            </w:pPr>
            <w:r w:rsidRPr="0095320F">
              <w:rPr>
                <w:lang w:eastAsia="zh-CN"/>
              </w:rPr>
              <w:t>MR → removed</w:t>
            </w:r>
          </w:p>
          <w:p w14:paraId="27379B95" w14:textId="77777777" w:rsidR="00F93583" w:rsidRPr="002A0B34" w:rsidRDefault="00F93583" w:rsidP="00F93583">
            <w:pPr>
              <w:pStyle w:val="BodyText"/>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BodyText"/>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BodyText"/>
              <w:numPr>
                <w:ilvl w:val="0"/>
                <w:numId w:val="15"/>
              </w:numPr>
              <w:rPr>
                <w:lang w:val="en-GB" w:eastAsia="zh-CN"/>
              </w:rPr>
            </w:pPr>
            <w:r w:rsidRPr="0095320F">
              <w:rPr>
                <w:lang w:eastAsia="zh-CN"/>
              </w:rPr>
              <w:t>based on LR → based on WUR</w:t>
            </w:r>
          </w:p>
          <w:p w14:paraId="02C2C55C" w14:textId="3F92AB2B" w:rsidR="001D6AC6" w:rsidRDefault="00F93583" w:rsidP="007D29C9">
            <w:pPr>
              <w:pStyle w:val="BodyText"/>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BodyText"/>
        <w:rPr>
          <w:lang w:val="en-GB" w:eastAsia="zh-CN"/>
        </w:rPr>
      </w:pPr>
      <w:r>
        <w:rPr>
          <w:lang w:val="en-GB" w:eastAsia="zh-CN"/>
        </w:rPr>
        <w:lastRenderedPageBreak/>
        <w:t xml:space="preserve">On the other hand, </w:t>
      </w:r>
    </w:p>
    <w:tbl>
      <w:tblPr>
        <w:tblStyle w:val="TableGri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BodyText"/>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BodyText"/>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BodyText"/>
              <w:rPr>
                <w:lang w:eastAsia="zh-CN"/>
              </w:rPr>
            </w:pPr>
            <w:r w:rsidRPr="00753433">
              <w:rPr>
                <w:b/>
                <w:bCs/>
                <w:lang w:eastAsia="zh-CN"/>
              </w:rPr>
              <w:t>On LP-WUS/WUR -&gt; WUS/WUR, LR-&gt; WUR:</w:t>
            </w:r>
          </w:p>
          <w:p w14:paraId="15D60896" w14:textId="1F3E926C" w:rsidR="00753433" w:rsidRPr="00753433" w:rsidRDefault="00753433" w:rsidP="00753433">
            <w:pPr>
              <w:pStyle w:val="BodyText"/>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BodyText"/>
              <w:rPr>
                <w:lang w:eastAsia="zh-CN"/>
              </w:rPr>
            </w:pPr>
            <w:r w:rsidRPr="00753433">
              <w:rPr>
                <w:b/>
                <w:bCs/>
                <w:lang w:eastAsia="zh-CN"/>
              </w:rPr>
              <w:t>On MR-&gt; remove:</w:t>
            </w:r>
          </w:p>
          <w:p w14:paraId="4F7C29B3" w14:textId="3E840BF5" w:rsidR="00753433" w:rsidRPr="00753433" w:rsidRDefault="00753433" w:rsidP="00753433">
            <w:pPr>
              <w:pStyle w:val="BodyText"/>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BodyText"/>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BodyText"/>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BodyText"/>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BodyText"/>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LR → WUR</w:t>
      </w:r>
    </w:p>
    <w:tbl>
      <w:tblPr>
        <w:tblStyle w:val="TableGrid"/>
        <w:tblW w:w="9639" w:type="dxa"/>
        <w:tblInd w:w="-5" w:type="dxa"/>
        <w:tblLook w:val="04A0" w:firstRow="1" w:lastRow="0" w:firstColumn="1" w:lastColumn="0" w:noHBand="0" w:noVBand="1"/>
      </w:tblPr>
      <w:tblGrid>
        <w:gridCol w:w="1661"/>
        <w:gridCol w:w="2347"/>
        <w:gridCol w:w="5631"/>
      </w:tblGrid>
      <w:tr w:rsidR="001D6AC6" w:rsidRPr="00B10971" w14:paraId="1C2347A0" w14:textId="77777777" w:rsidTr="0095320F">
        <w:tc>
          <w:tcPr>
            <w:tcW w:w="1276"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926"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437"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926"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 xml:space="preserve">n </w:t>
            </w:r>
            <w:r w:rsidR="008A4569">
              <w:rPr>
                <w:rFonts w:eastAsia="DengXian"/>
                <w:lang w:eastAsia="zh-CN"/>
              </w:rPr>
              <w:lastRenderedPageBreak/>
              <w:t>offloading case, we also need to describe the measurement on MR and measurement on LR.</w:t>
            </w:r>
            <w:r>
              <w:rPr>
                <w:rFonts w:eastAsia="DengXian"/>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DengXian"/>
                <w:lang w:eastAsia="zh-CN"/>
              </w:rPr>
            </w:pPr>
            <w:r>
              <w:rPr>
                <w:rFonts w:eastAsia="DengXian" w:hint="eastAsia"/>
                <w:lang w:eastAsia="zh-CN"/>
              </w:rPr>
              <w:lastRenderedPageBreak/>
              <w:t>S</w:t>
            </w:r>
            <w:r>
              <w:rPr>
                <w:rFonts w:eastAsia="DengXian"/>
                <w:lang w:eastAsia="zh-CN"/>
              </w:rPr>
              <w:t>harp</w:t>
            </w:r>
          </w:p>
        </w:tc>
        <w:tc>
          <w:tcPr>
            <w:tcW w:w="2437"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926"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95320F">
        <w:tc>
          <w:tcPr>
            <w:tcW w:w="1276" w:type="dxa"/>
          </w:tcPr>
          <w:p w14:paraId="1B322878" w14:textId="39B77D6D" w:rsidR="001D6AC6" w:rsidRDefault="00224F3C" w:rsidP="0095320F">
            <w:pPr>
              <w:rPr>
                <w:rFonts w:eastAsia="DengXian"/>
                <w:lang w:eastAsia="zh-CN"/>
              </w:rPr>
            </w:pPr>
            <w:r>
              <w:rPr>
                <w:rFonts w:eastAsia="DengXian"/>
                <w:lang w:eastAsia="zh-CN"/>
              </w:rPr>
              <w:t>NEC</w:t>
            </w:r>
          </w:p>
        </w:tc>
        <w:tc>
          <w:tcPr>
            <w:tcW w:w="2437"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926"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95320F">
        <w:tc>
          <w:tcPr>
            <w:tcW w:w="1276" w:type="dxa"/>
          </w:tcPr>
          <w:p w14:paraId="6009357A" w14:textId="42CD8BCA" w:rsidR="001D6AC6" w:rsidRPr="00373000" w:rsidRDefault="00373000" w:rsidP="0095320F">
            <w:pPr>
              <w:rPr>
                <w:rFonts w:eastAsia="DengXian"/>
                <w:lang w:val="en-SE" w:eastAsia="zh-CN"/>
              </w:rPr>
            </w:pPr>
            <w:r>
              <w:rPr>
                <w:rFonts w:eastAsia="DengXian"/>
                <w:lang w:val="en-SE" w:eastAsia="zh-CN"/>
              </w:rPr>
              <w:t>Huawei/HiSilicon</w:t>
            </w:r>
          </w:p>
        </w:tc>
        <w:tc>
          <w:tcPr>
            <w:tcW w:w="2437" w:type="dxa"/>
          </w:tcPr>
          <w:p w14:paraId="5C55681A" w14:textId="046F548D" w:rsidR="001D6AC6" w:rsidRPr="00137C67" w:rsidRDefault="00137C67" w:rsidP="0095320F">
            <w:pPr>
              <w:rPr>
                <w:rFonts w:eastAsia="DengXian"/>
                <w:lang w:val="en-SE" w:eastAsia="zh-CN"/>
              </w:rPr>
            </w:pPr>
            <w:r>
              <w:rPr>
                <w:rFonts w:eastAsia="DengXian"/>
                <w:lang w:val="en-SE" w:eastAsia="zh-CN"/>
              </w:rPr>
              <w:t>Please see comments</w:t>
            </w:r>
          </w:p>
        </w:tc>
        <w:tc>
          <w:tcPr>
            <w:tcW w:w="5926" w:type="dxa"/>
          </w:tcPr>
          <w:p w14:paraId="5387A508" w14:textId="6820FC10" w:rsidR="001D6AC6" w:rsidRPr="00137C67" w:rsidRDefault="00137C67" w:rsidP="0095320F">
            <w:pPr>
              <w:rPr>
                <w:rFonts w:eastAsia="DengXian"/>
                <w:lang w:val="en-SE" w:eastAsia="zh-CN"/>
              </w:rPr>
            </w:pPr>
            <w:r>
              <w:rPr>
                <w:rFonts w:eastAsia="DengXian"/>
                <w:lang w:val="en-SE" w:eastAsia="zh-CN"/>
              </w:rPr>
              <w:t>Prefer to</w:t>
            </w:r>
            <w:r w:rsidR="00373000">
              <w:rPr>
                <w:rFonts w:eastAsia="DengXian"/>
                <w:lang w:val="en-SE" w:eastAsia="zh-CN"/>
              </w:rPr>
              <w:t xml:space="preserve"> keep current terminology</w:t>
            </w:r>
          </w:p>
        </w:tc>
      </w:tr>
      <w:tr w:rsidR="001D6AC6" w14:paraId="7C619171" w14:textId="77777777" w:rsidTr="0095320F">
        <w:tc>
          <w:tcPr>
            <w:tcW w:w="1276" w:type="dxa"/>
          </w:tcPr>
          <w:p w14:paraId="59C7E0C8" w14:textId="77777777" w:rsidR="001D6AC6" w:rsidRDefault="001D6AC6" w:rsidP="0095320F">
            <w:pPr>
              <w:rPr>
                <w:rFonts w:eastAsia="DengXian"/>
                <w:lang w:eastAsia="zh-CN"/>
              </w:rPr>
            </w:pPr>
          </w:p>
        </w:tc>
        <w:tc>
          <w:tcPr>
            <w:tcW w:w="2437" w:type="dxa"/>
          </w:tcPr>
          <w:p w14:paraId="64074886" w14:textId="77777777" w:rsidR="001D6AC6" w:rsidRDefault="001D6AC6" w:rsidP="0095320F">
            <w:pPr>
              <w:rPr>
                <w:rFonts w:eastAsia="DengXian"/>
                <w:lang w:eastAsia="zh-CN"/>
              </w:rPr>
            </w:pPr>
          </w:p>
        </w:tc>
        <w:tc>
          <w:tcPr>
            <w:tcW w:w="5926" w:type="dxa"/>
          </w:tcPr>
          <w:p w14:paraId="06761DCA" w14:textId="77777777" w:rsidR="001D6AC6" w:rsidRDefault="001D6AC6" w:rsidP="0095320F">
            <w:pPr>
              <w:rPr>
                <w:rFonts w:eastAsia="DengXian"/>
                <w:lang w:eastAsia="zh-CN"/>
              </w:rPr>
            </w:pPr>
          </w:p>
        </w:tc>
      </w:tr>
      <w:tr w:rsidR="001D6AC6" w14:paraId="6FEAA7D6" w14:textId="77777777" w:rsidTr="0095320F">
        <w:tc>
          <w:tcPr>
            <w:tcW w:w="1276" w:type="dxa"/>
          </w:tcPr>
          <w:p w14:paraId="46158BB2" w14:textId="77777777" w:rsidR="001D6AC6" w:rsidRDefault="001D6AC6" w:rsidP="0095320F">
            <w:pPr>
              <w:rPr>
                <w:rFonts w:eastAsia="DengXian"/>
                <w:lang w:eastAsia="zh-CN"/>
              </w:rPr>
            </w:pPr>
          </w:p>
        </w:tc>
        <w:tc>
          <w:tcPr>
            <w:tcW w:w="2437" w:type="dxa"/>
          </w:tcPr>
          <w:p w14:paraId="439CF804" w14:textId="77777777" w:rsidR="001D6AC6" w:rsidRDefault="001D6AC6" w:rsidP="0095320F">
            <w:pPr>
              <w:rPr>
                <w:rFonts w:eastAsia="DengXian"/>
                <w:lang w:eastAsia="zh-CN"/>
              </w:rPr>
            </w:pPr>
          </w:p>
        </w:tc>
        <w:tc>
          <w:tcPr>
            <w:tcW w:w="5926" w:type="dxa"/>
          </w:tcPr>
          <w:p w14:paraId="77E38ED0" w14:textId="77777777" w:rsidR="001D6AC6" w:rsidRDefault="001D6AC6" w:rsidP="0095320F">
            <w:pPr>
              <w:rPr>
                <w:rFonts w:eastAsia="DengXian"/>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DengXian"/>
                <w:lang w:eastAsia="zh-CN"/>
              </w:rPr>
            </w:pPr>
          </w:p>
        </w:tc>
        <w:tc>
          <w:tcPr>
            <w:tcW w:w="5926" w:type="dxa"/>
          </w:tcPr>
          <w:p w14:paraId="4AD50808" w14:textId="77777777" w:rsidR="001D6AC6" w:rsidRDefault="001D6AC6" w:rsidP="0095320F">
            <w:pPr>
              <w:rPr>
                <w:rFonts w:eastAsia="DengXian"/>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DengXian"/>
                <w:lang w:eastAsia="zh-CN"/>
              </w:rPr>
            </w:pPr>
          </w:p>
        </w:tc>
        <w:tc>
          <w:tcPr>
            <w:tcW w:w="5926" w:type="dxa"/>
          </w:tcPr>
          <w:p w14:paraId="1048DA28" w14:textId="77777777" w:rsidR="001D6AC6" w:rsidRDefault="001D6AC6" w:rsidP="0095320F">
            <w:pPr>
              <w:rPr>
                <w:rFonts w:eastAsia="DengXian"/>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DengXian"/>
                <w:lang w:eastAsia="zh-CN"/>
              </w:rPr>
            </w:pPr>
          </w:p>
        </w:tc>
        <w:tc>
          <w:tcPr>
            <w:tcW w:w="5926" w:type="dxa"/>
          </w:tcPr>
          <w:p w14:paraId="068EDE77" w14:textId="77777777" w:rsidR="001D6AC6" w:rsidRDefault="001D6AC6" w:rsidP="0095320F">
            <w:pPr>
              <w:rPr>
                <w:rFonts w:eastAsia="DengXian"/>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DengXian"/>
                <w:lang w:eastAsia="zh-CN"/>
              </w:rPr>
            </w:pPr>
          </w:p>
        </w:tc>
        <w:tc>
          <w:tcPr>
            <w:tcW w:w="5926" w:type="dxa"/>
          </w:tcPr>
          <w:p w14:paraId="4B671AB1" w14:textId="77777777" w:rsidR="001D6AC6" w:rsidRDefault="001D6AC6" w:rsidP="0095320F">
            <w:pPr>
              <w:rPr>
                <w:rFonts w:eastAsia="DengXian"/>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DengXian"/>
                <w:lang w:eastAsia="zh-CN"/>
              </w:rPr>
            </w:pPr>
          </w:p>
        </w:tc>
        <w:tc>
          <w:tcPr>
            <w:tcW w:w="5926" w:type="dxa"/>
          </w:tcPr>
          <w:p w14:paraId="7B6CCF7B" w14:textId="77777777" w:rsidR="001D6AC6" w:rsidRDefault="001D6AC6" w:rsidP="0095320F">
            <w:pPr>
              <w:rPr>
                <w:rFonts w:eastAsia="DengXian"/>
                <w:lang w:eastAsia="zh-CN"/>
              </w:rPr>
            </w:pPr>
          </w:p>
        </w:tc>
      </w:tr>
    </w:tbl>
    <w:p w14:paraId="4CB9A406" w14:textId="77777777" w:rsidR="001D6AC6" w:rsidRPr="006F7C96" w:rsidRDefault="001D6AC6" w:rsidP="001D6AC6">
      <w:pPr>
        <w:pStyle w:val="CommentText"/>
        <w:rPr>
          <w:b/>
          <w:color w:val="0070C0"/>
          <w:lang w:eastAsia="zh-CN"/>
        </w:rPr>
      </w:pPr>
      <w:r w:rsidRPr="006F7C96">
        <w:rPr>
          <w:b/>
          <w:color w:val="0070C0"/>
          <w:lang w:eastAsia="zh-CN"/>
        </w:rPr>
        <w:t xml:space="preserve">Summary: </w:t>
      </w:r>
    </w:p>
    <w:p w14:paraId="08D65931" w14:textId="77777777" w:rsidR="001D6AC6" w:rsidRDefault="001D6AC6" w:rsidP="001D6AC6">
      <w:pPr>
        <w:pStyle w:val="CommentText"/>
        <w:jc w:val="both"/>
        <w:rPr>
          <w:b/>
          <w:bCs/>
          <w:color w:val="0070C0"/>
          <w:lang w:eastAsia="zh-CN"/>
        </w:rPr>
      </w:pPr>
    </w:p>
    <w:p w14:paraId="22286C91" w14:textId="77777777" w:rsidR="001D6AC6" w:rsidRPr="006E13EB" w:rsidRDefault="001D6AC6" w:rsidP="001D6AC6">
      <w:pPr>
        <w:pStyle w:val="CommentText"/>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BodyText"/>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TableGrid"/>
        <w:tblW w:w="9639" w:type="dxa"/>
        <w:tblInd w:w="-5" w:type="dxa"/>
        <w:tblLook w:val="04A0" w:firstRow="1" w:lastRow="0" w:firstColumn="1" w:lastColumn="0" w:noHBand="0" w:noVBand="1"/>
      </w:tblPr>
      <w:tblGrid>
        <w:gridCol w:w="1661"/>
        <w:gridCol w:w="2338"/>
        <w:gridCol w:w="5640"/>
      </w:tblGrid>
      <w:tr w:rsidR="00A0275B" w:rsidRPr="00B10971" w14:paraId="142637B4" w14:textId="77777777" w:rsidTr="0095320F">
        <w:tc>
          <w:tcPr>
            <w:tcW w:w="1276"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926"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43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926"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95320F">
        <w:tc>
          <w:tcPr>
            <w:tcW w:w="1276" w:type="dxa"/>
          </w:tcPr>
          <w:p w14:paraId="67D554EE" w14:textId="0F486693" w:rsidR="00A0275B" w:rsidRDefault="00224F3C" w:rsidP="0095320F">
            <w:pPr>
              <w:rPr>
                <w:rFonts w:eastAsia="DengXian"/>
                <w:lang w:eastAsia="zh-CN"/>
              </w:rPr>
            </w:pPr>
            <w:r>
              <w:rPr>
                <w:rFonts w:eastAsia="DengXian"/>
                <w:lang w:eastAsia="zh-CN"/>
              </w:rPr>
              <w:t>NEC</w:t>
            </w:r>
          </w:p>
        </w:tc>
        <w:tc>
          <w:tcPr>
            <w:tcW w:w="2437" w:type="dxa"/>
          </w:tcPr>
          <w:p w14:paraId="7E282D50" w14:textId="0351E7AB" w:rsidR="00A0275B" w:rsidRDefault="00224F3C" w:rsidP="0095320F">
            <w:pPr>
              <w:rPr>
                <w:rFonts w:eastAsia="DengXian"/>
                <w:lang w:eastAsia="zh-CN"/>
              </w:rPr>
            </w:pPr>
            <w:r>
              <w:rPr>
                <w:rFonts w:eastAsia="DengXian"/>
                <w:lang w:eastAsia="zh-CN"/>
              </w:rPr>
              <w:t>No</w:t>
            </w:r>
          </w:p>
        </w:tc>
        <w:tc>
          <w:tcPr>
            <w:tcW w:w="5926"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95320F">
        <w:tc>
          <w:tcPr>
            <w:tcW w:w="1276" w:type="dxa"/>
          </w:tcPr>
          <w:p w14:paraId="642B5145" w14:textId="23322E9A" w:rsidR="00A0275B" w:rsidRPr="00FC7E8D" w:rsidRDefault="00FC7E8D" w:rsidP="0095320F">
            <w:pPr>
              <w:rPr>
                <w:rFonts w:eastAsia="DengXian"/>
                <w:lang w:val="en-SE" w:eastAsia="zh-CN"/>
              </w:rPr>
            </w:pPr>
            <w:r>
              <w:rPr>
                <w:rFonts w:eastAsia="DengXian"/>
                <w:lang w:val="en-SE" w:eastAsia="zh-CN"/>
              </w:rPr>
              <w:t>Huawei/HiSilicon</w:t>
            </w:r>
          </w:p>
        </w:tc>
        <w:tc>
          <w:tcPr>
            <w:tcW w:w="2437" w:type="dxa"/>
          </w:tcPr>
          <w:p w14:paraId="6CD9A8FE" w14:textId="79944B25" w:rsidR="00A0275B" w:rsidRPr="008643D0" w:rsidRDefault="008643D0" w:rsidP="0095320F">
            <w:pPr>
              <w:rPr>
                <w:rFonts w:eastAsia="DengXian"/>
                <w:lang w:val="en-SE" w:eastAsia="zh-CN"/>
              </w:rPr>
            </w:pPr>
            <w:r>
              <w:rPr>
                <w:rFonts w:eastAsia="DengXian"/>
                <w:lang w:val="en-SE" w:eastAsia="zh-CN"/>
              </w:rPr>
              <w:t>No</w:t>
            </w:r>
            <w:bookmarkStart w:id="3" w:name="_GoBack"/>
            <w:bookmarkEnd w:id="3"/>
          </w:p>
        </w:tc>
        <w:tc>
          <w:tcPr>
            <w:tcW w:w="5926" w:type="dxa"/>
          </w:tcPr>
          <w:p w14:paraId="75350BCF" w14:textId="77777777" w:rsidR="00A0275B" w:rsidRDefault="00A0275B" w:rsidP="0095320F">
            <w:pPr>
              <w:rPr>
                <w:rFonts w:eastAsia="DengXian"/>
                <w:lang w:eastAsia="zh-CN"/>
              </w:rPr>
            </w:pPr>
          </w:p>
        </w:tc>
      </w:tr>
      <w:tr w:rsidR="00A0275B" w14:paraId="3F7509B4" w14:textId="77777777" w:rsidTr="0095320F">
        <w:tc>
          <w:tcPr>
            <w:tcW w:w="1276" w:type="dxa"/>
          </w:tcPr>
          <w:p w14:paraId="6826AEF4" w14:textId="77777777" w:rsidR="00A0275B" w:rsidRDefault="00A0275B" w:rsidP="0095320F">
            <w:pPr>
              <w:rPr>
                <w:rFonts w:eastAsia="DengXian"/>
                <w:lang w:eastAsia="zh-CN"/>
              </w:rPr>
            </w:pPr>
          </w:p>
        </w:tc>
        <w:tc>
          <w:tcPr>
            <w:tcW w:w="2437" w:type="dxa"/>
          </w:tcPr>
          <w:p w14:paraId="2F12C75E" w14:textId="77777777" w:rsidR="00A0275B" w:rsidRDefault="00A0275B" w:rsidP="0095320F">
            <w:pPr>
              <w:rPr>
                <w:rFonts w:eastAsia="DengXian"/>
                <w:lang w:eastAsia="zh-CN"/>
              </w:rPr>
            </w:pPr>
          </w:p>
        </w:tc>
        <w:tc>
          <w:tcPr>
            <w:tcW w:w="5926" w:type="dxa"/>
          </w:tcPr>
          <w:p w14:paraId="7E773D3B" w14:textId="77777777" w:rsidR="00A0275B" w:rsidRDefault="00A0275B" w:rsidP="0095320F">
            <w:pPr>
              <w:rPr>
                <w:rFonts w:eastAsia="DengXian"/>
                <w:lang w:eastAsia="zh-CN"/>
              </w:rPr>
            </w:pPr>
          </w:p>
        </w:tc>
      </w:tr>
      <w:tr w:rsidR="00A0275B" w14:paraId="5201346B" w14:textId="77777777" w:rsidTr="0095320F">
        <w:tc>
          <w:tcPr>
            <w:tcW w:w="1276" w:type="dxa"/>
          </w:tcPr>
          <w:p w14:paraId="08020F3E" w14:textId="77777777" w:rsidR="00A0275B" w:rsidRDefault="00A0275B" w:rsidP="0095320F">
            <w:pPr>
              <w:rPr>
                <w:rFonts w:eastAsia="DengXian"/>
                <w:lang w:eastAsia="zh-CN"/>
              </w:rPr>
            </w:pPr>
          </w:p>
        </w:tc>
        <w:tc>
          <w:tcPr>
            <w:tcW w:w="2437" w:type="dxa"/>
          </w:tcPr>
          <w:p w14:paraId="520F70A0" w14:textId="77777777" w:rsidR="00A0275B" w:rsidRDefault="00A0275B" w:rsidP="0095320F">
            <w:pPr>
              <w:rPr>
                <w:rFonts w:eastAsia="DengXian"/>
                <w:lang w:eastAsia="zh-CN"/>
              </w:rPr>
            </w:pPr>
          </w:p>
        </w:tc>
        <w:tc>
          <w:tcPr>
            <w:tcW w:w="5926" w:type="dxa"/>
          </w:tcPr>
          <w:p w14:paraId="35607F52" w14:textId="77777777" w:rsidR="00A0275B" w:rsidRDefault="00A0275B" w:rsidP="0095320F">
            <w:pPr>
              <w:rPr>
                <w:rFonts w:eastAsia="DengXian"/>
                <w:lang w:eastAsia="zh-CN"/>
              </w:rPr>
            </w:pPr>
          </w:p>
        </w:tc>
      </w:tr>
      <w:tr w:rsidR="00A0275B" w14:paraId="08BD507A" w14:textId="77777777" w:rsidTr="0095320F">
        <w:tc>
          <w:tcPr>
            <w:tcW w:w="1276" w:type="dxa"/>
          </w:tcPr>
          <w:p w14:paraId="1344DF97" w14:textId="77777777" w:rsidR="00A0275B" w:rsidRDefault="00A0275B" w:rsidP="0095320F">
            <w:pPr>
              <w:rPr>
                <w:rFonts w:eastAsia="DengXian"/>
                <w:lang w:eastAsia="zh-CN"/>
              </w:rPr>
            </w:pPr>
          </w:p>
        </w:tc>
        <w:tc>
          <w:tcPr>
            <w:tcW w:w="2437" w:type="dxa"/>
          </w:tcPr>
          <w:p w14:paraId="54425ADA" w14:textId="77777777" w:rsidR="00A0275B" w:rsidRDefault="00A0275B" w:rsidP="0095320F">
            <w:pPr>
              <w:rPr>
                <w:rFonts w:eastAsia="DengXian"/>
                <w:lang w:eastAsia="zh-CN"/>
              </w:rPr>
            </w:pPr>
          </w:p>
        </w:tc>
        <w:tc>
          <w:tcPr>
            <w:tcW w:w="5926" w:type="dxa"/>
          </w:tcPr>
          <w:p w14:paraId="10A4437A" w14:textId="77777777" w:rsidR="00A0275B" w:rsidRDefault="00A0275B" w:rsidP="0095320F">
            <w:pPr>
              <w:rPr>
                <w:rFonts w:eastAsia="DengXian"/>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DengXian"/>
                <w:lang w:eastAsia="zh-CN"/>
              </w:rPr>
            </w:pPr>
          </w:p>
        </w:tc>
        <w:tc>
          <w:tcPr>
            <w:tcW w:w="5926" w:type="dxa"/>
          </w:tcPr>
          <w:p w14:paraId="5275834C" w14:textId="77777777" w:rsidR="00A0275B" w:rsidRDefault="00A0275B" w:rsidP="0095320F">
            <w:pPr>
              <w:rPr>
                <w:rFonts w:eastAsia="DengXian"/>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DengXian"/>
                <w:lang w:eastAsia="zh-CN"/>
              </w:rPr>
            </w:pPr>
          </w:p>
        </w:tc>
        <w:tc>
          <w:tcPr>
            <w:tcW w:w="5926" w:type="dxa"/>
          </w:tcPr>
          <w:p w14:paraId="791F06FC" w14:textId="77777777" w:rsidR="00A0275B" w:rsidRDefault="00A0275B" w:rsidP="0095320F">
            <w:pPr>
              <w:rPr>
                <w:rFonts w:eastAsia="DengXian"/>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DengXian"/>
                <w:lang w:eastAsia="zh-CN"/>
              </w:rPr>
            </w:pPr>
          </w:p>
        </w:tc>
        <w:tc>
          <w:tcPr>
            <w:tcW w:w="5926" w:type="dxa"/>
          </w:tcPr>
          <w:p w14:paraId="7A3AB758" w14:textId="77777777" w:rsidR="00A0275B" w:rsidRDefault="00A0275B" w:rsidP="0095320F">
            <w:pPr>
              <w:rPr>
                <w:rFonts w:eastAsia="DengXian"/>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DengXian"/>
                <w:lang w:eastAsia="zh-CN"/>
              </w:rPr>
            </w:pPr>
          </w:p>
        </w:tc>
        <w:tc>
          <w:tcPr>
            <w:tcW w:w="5926" w:type="dxa"/>
          </w:tcPr>
          <w:p w14:paraId="2EA1DEB5" w14:textId="77777777" w:rsidR="00A0275B" w:rsidRDefault="00A0275B" w:rsidP="0095320F">
            <w:pPr>
              <w:rPr>
                <w:rFonts w:eastAsia="DengXian"/>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DengXian"/>
                <w:lang w:eastAsia="zh-CN"/>
              </w:rPr>
            </w:pPr>
          </w:p>
        </w:tc>
        <w:tc>
          <w:tcPr>
            <w:tcW w:w="5926" w:type="dxa"/>
          </w:tcPr>
          <w:p w14:paraId="4E0990A1" w14:textId="77777777" w:rsidR="00A0275B" w:rsidRDefault="00A0275B" w:rsidP="0095320F">
            <w:pPr>
              <w:rPr>
                <w:rFonts w:eastAsia="DengXian"/>
                <w:lang w:eastAsia="zh-CN"/>
              </w:rPr>
            </w:pPr>
          </w:p>
        </w:tc>
      </w:tr>
    </w:tbl>
    <w:p w14:paraId="39062F3B" w14:textId="77777777" w:rsidR="00A0275B" w:rsidRPr="006F7C96" w:rsidRDefault="00A0275B" w:rsidP="00A0275B">
      <w:pPr>
        <w:pStyle w:val="CommentText"/>
        <w:rPr>
          <w:b/>
          <w:color w:val="0070C0"/>
          <w:lang w:eastAsia="zh-CN"/>
        </w:rPr>
      </w:pPr>
      <w:r w:rsidRPr="006F7C96">
        <w:rPr>
          <w:b/>
          <w:color w:val="0070C0"/>
          <w:lang w:eastAsia="zh-CN"/>
        </w:rPr>
        <w:t xml:space="preserve">Summary: </w:t>
      </w:r>
    </w:p>
    <w:p w14:paraId="3D4ECB17" w14:textId="77777777" w:rsidR="00A0275B" w:rsidRDefault="00A0275B" w:rsidP="00A0275B">
      <w:pPr>
        <w:pStyle w:val="CommentText"/>
        <w:jc w:val="both"/>
        <w:rPr>
          <w:b/>
          <w:bCs/>
          <w:color w:val="0070C0"/>
          <w:lang w:eastAsia="zh-CN"/>
        </w:rPr>
      </w:pPr>
    </w:p>
    <w:p w14:paraId="12D21756" w14:textId="77777777" w:rsidR="00A0275B" w:rsidRPr="006E13EB" w:rsidRDefault="00A0275B" w:rsidP="00A0275B">
      <w:pPr>
        <w:pStyle w:val="CommentText"/>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BodyText"/>
        <w:rPr>
          <w:lang w:val="en-GB" w:eastAsia="zh-CN"/>
        </w:rPr>
      </w:pPr>
    </w:p>
    <w:p w14:paraId="4276266D" w14:textId="77777777" w:rsidR="00D313DC" w:rsidRDefault="00D313DC" w:rsidP="00504152">
      <w:pPr>
        <w:pStyle w:val="BodyText"/>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BodyText"/>
        <w:rPr>
          <w:lang w:val="en-GB" w:eastAsia="zh-CN"/>
        </w:rPr>
      </w:pPr>
    </w:p>
    <w:p w14:paraId="1289D8ED" w14:textId="008D3992" w:rsidR="00F33E7A" w:rsidRPr="00FD665D" w:rsidRDefault="00F33E7A" w:rsidP="00F33E7A">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TableGri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BodyText"/>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BodyText"/>
        <w:rPr>
          <w:lang w:eastAsia="zh-CN"/>
        </w:rPr>
      </w:pPr>
    </w:p>
    <w:p w14:paraId="7792FC2B" w14:textId="7D7FD5D2" w:rsidR="00A864E8" w:rsidRPr="00FD665D" w:rsidRDefault="00A864E8" w:rsidP="00FD665D">
      <w:pPr>
        <w:pStyle w:val="Heading3"/>
        <w:numPr>
          <w:ilvl w:val="2"/>
          <w:numId w:val="9"/>
        </w:numPr>
        <w:rPr>
          <w:rFonts w:eastAsiaTheme="minorEastAsia"/>
          <w:b w:val="0"/>
          <w:bCs w:val="0"/>
          <w:sz w:val="24"/>
          <w:szCs w:val="24"/>
          <w:lang w:eastAsia="zh-CN"/>
        </w:rPr>
      </w:pPr>
      <w:bookmarkStart w:id="4"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TableGri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4"/>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TableGri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BodyText"/>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5" w:name="_Hlk195709533"/>
    </w:p>
    <w:bookmarkEnd w:id="5"/>
    <w:p w14:paraId="3B31FBDA" w14:textId="740D9E4E" w:rsidR="002E536F" w:rsidRPr="00FD665D" w:rsidRDefault="00271A76"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lastRenderedPageBreak/>
        <w:t>RRM relaxation/offloading</w:t>
      </w:r>
    </w:p>
    <w:tbl>
      <w:tblPr>
        <w:tblStyle w:val="TableGri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BodyText"/>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BodyText"/>
        <w:rPr>
          <w:b/>
          <w:bCs/>
          <w:u w:val="single"/>
          <w:lang w:val="en-GB" w:eastAsia="zh-CN"/>
        </w:rPr>
      </w:pPr>
    </w:p>
    <w:p w14:paraId="70C0E77F" w14:textId="1CF9F3A8" w:rsidR="009711EB" w:rsidRDefault="009711EB" w:rsidP="009711EB">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BodyText"/>
        <w:rPr>
          <w:b/>
          <w:bCs/>
          <w:u w:val="single"/>
          <w:lang w:eastAsia="zh-CN"/>
        </w:rPr>
      </w:pPr>
    </w:p>
    <w:p w14:paraId="1556D648" w14:textId="77777777" w:rsidR="00F33E7A" w:rsidRPr="00F33E7A" w:rsidRDefault="00F33E7A" w:rsidP="00D46DDD">
      <w:pPr>
        <w:pStyle w:val="BodyText"/>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BodyText"/>
        <w:rPr>
          <w:b/>
          <w:bCs/>
          <w:u w:val="single"/>
          <w:lang w:val="en-GB" w:eastAsia="zh-CN"/>
        </w:rPr>
      </w:pPr>
      <w:r w:rsidRPr="00551AD8">
        <w:rPr>
          <w:b/>
          <w:bCs/>
          <w:u w:val="single"/>
          <w:lang w:val="en-GB" w:eastAsia="zh-CN"/>
        </w:rPr>
        <w:lastRenderedPageBreak/>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BodyText"/>
        <w:rPr>
          <w:b/>
          <w:bCs/>
          <w:u w:val="single"/>
          <w:lang w:val="en-GB" w:eastAsia="zh-CN"/>
        </w:rPr>
      </w:pPr>
      <w:r>
        <w:rPr>
          <w:b/>
          <w:bCs/>
          <w:u w:val="single"/>
          <w:lang w:val="en-GB" w:eastAsia="zh-CN"/>
        </w:rPr>
        <w:t>Other open issues:</w:t>
      </w:r>
    </w:p>
    <w:p w14:paraId="7573E5A1" w14:textId="2CEED638" w:rsidR="005A7ABF" w:rsidRDefault="008A6745" w:rsidP="007A3871">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ListParagraph"/>
        <w:numPr>
          <w:ilvl w:val="0"/>
          <w:numId w:val="10"/>
        </w:numPr>
        <w:ind w:firstLineChars="0"/>
        <w:rPr>
          <w:rFonts w:ascii="Arial" w:eastAsiaTheme="minorEastAsia" w:hAnsi="Arial" w:cs="Arial"/>
          <w:szCs w:val="16"/>
        </w:rPr>
      </w:pPr>
      <w:bookmarkStart w:id="6" w:name="_Ref35851607"/>
      <w:bookmarkStart w:id="7"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628A" w14:textId="77777777" w:rsidR="00F218CA" w:rsidRDefault="00F218CA">
      <w:r>
        <w:separator/>
      </w:r>
    </w:p>
  </w:endnote>
  <w:endnote w:type="continuationSeparator" w:id="0">
    <w:p w14:paraId="44684EB9" w14:textId="77777777" w:rsidR="00F218CA" w:rsidRDefault="00F218CA">
      <w:r>
        <w:continuationSeparator/>
      </w:r>
    </w:p>
  </w:endnote>
  <w:endnote w:type="continuationNotice" w:id="1">
    <w:p w14:paraId="655622D8" w14:textId="77777777" w:rsidR="00F218CA" w:rsidRDefault="00F21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A6B5" w14:textId="77777777" w:rsidR="00F218CA" w:rsidRDefault="00F218CA">
      <w:r>
        <w:separator/>
      </w:r>
    </w:p>
  </w:footnote>
  <w:footnote w:type="continuationSeparator" w:id="0">
    <w:p w14:paraId="1D4023A2" w14:textId="77777777" w:rsidR="00F218CA" w:rsidRDefault="00F218CA">
      <w:r>
        <w:continuationSeparator/>
      </w:r>
    </w:p>
  </w:footnote>
  <w:footnote w:type="continuationNotice" w:id="1">
    <w:p w14:paraId="674901F9" w14:textId="77777777" w:rsidR="00F218CA" w:rsidRDefault="00F21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6"/>
  </w:num>
  <w:num w:numId="4">
    <w:abstractNumId w:val="9"/>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86FE6536-C9F4-458A-975C-B8934BC4B7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8</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Huawei</cp:lastModifiedBy>
  <cp:revision>16</cp:revision>
  <cp:lastPrinted>2011-08-03T09:36:00Z</cp:lastPrinted>
  <dcterms:created xsi:type="dcterms:W3CDTF">2025-07-14T06:35:00Z</dcterms:created>
  <dcterms:modified xsi:type="dcterms:W3CDTF">2025-07-24T07:12:00Z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