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A-IoT D2R NAS messages</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 xml:space="preserve">Nathan </w:t>
      </w:r>
      <w:proofErr w:type="spellStart"/>
      <w:r w:rsidR="003C0A64">
        <w:rPr>
          <w:rFonts w:asciiTheme="minorHAnsi" w:hAnsiTheme="minorHAnsi" w:cstheme="minorHAnsi"/>
          <w:bCs/>
          <w:sz w:val="21"/>
          <w:szCs w:val="21"/>
        </w:rPr>
        <w:t>Tenny</w:t>
      </w:r>
      <w:proofErr w:type="spellEnd"/>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0"/>
      <w:r>
        <w:rPr>
          <w:rFonts w:asciiTheme="minorHAnsi" w:hAnsiTheme="minorHAnsi" w:cstheme="minorHAnsi"/>
          <w:sz w:val="21"/>
          <w:szCs w:val="21"/>
          <w:lang w:val="en-US"/>
        </w:rPr>
        <w:t>D2R scheduling</w:t>
      </w:r>
      <w:commentRangeEnd w:id="0"/>
      <w:r w:rsidR="00283ABF">
        <w:rPr>
          <w:rStyle w:val="CommentReference"/>
          <w:rFonts w:ascii="Arial" w:hAnsi="Arial"/>
        </w:rPr>
        <w:commentReference w:id="0"/>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1"/>
      <w:r>
        <w:rPr>
          <w:rFonts w:asciiTheme="minorHAnsi" w:hAnsiTheme="minorHAnsi" w:cstheme="minorHAnsi"/>
          <w:sz w:val="21"/>
          <w:szCs w:val="21"/>
          <w:lang w:val="en-US"/>
        </w:rPr>
        <w:t xml:space="preserve">have </w:t>
      </w:r>
      <w:commentRangeEnd w:id="1"/>
      <w:r w:rsidR="00CC1C27">
        <w:rPr>
          <w:rStyle w:val="CommentReference"/>
          <w:rFonts w:ascii="Arial" w:hAnsi="Arial"/>
        </w:rPr>
        <w:commentReference w:id="1"/>
      </w:r>
      <w:r>
        <w:rPr>
          <w:rFonts w:asciiTheme="minorHAnsi" w:hAnsiTheme="minorHAnsi" w:cstheme="minorHAnsi"/>
          <w:sz w:val="21"/>
          <w:szCs w:val="21"/>
          <w:lang w:val="en-US"/>
        </w:rPr>
        <w:t xml:space="preserve">some concern that the NAS response may be delivered to the device MAC layer later, when no D2R radio resources are available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033D7B" w:rsidP="00033D7B">
      <w:pPr>
        <w:tabs>
          <w:tab w:val="center" w:pos="4153"/>
          <w:tab w:val="right" w:pos="8306"/>
        </w:tabs>
        <w:spacing w:beforeLines="50" w:before="120" w:after="120"/>
        <w:jc w:val="center"/>
        <w:rPr>
          <w:rFonts w:asciiTheme="minorHAnsi" w:hAnsiTheme="minorHAnsi" w:cstheme="minorHAnsi"/>
          <w:sz w:val="21"/>
          <w:szCs w:val="21"/>
          <w:lang w:val="en-US"/>
        </w:rPr>
      </w:pPr>
      <w: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5pt;height:107.15pt" o:ole="">
            <v:imagedata r:id="rId17" o:title=""/>
          </v:shape>
          <o:OLEObject Type="Embed" ProgID="Visio.Drawing.15" ShapeID="_x0000_i1025" DrawAspect="Content" ObjectID="_1809885069" r:id="rId18"/>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2"/>
      <w:r>
        <w:rPr>
          <w:rFonts w:asciiTheme="minorHAnsi" w:hAnsiTheme="minorHAnsi" w:cstheme="minorHAnsi"/>
          <w:sz w:val="21"/>
          <w:szCs w:val="21"/>
          <w:lang w:val="en-US"/>
        </w:rPr>
        <w:t>a mechanism</w:t>
      </w:r>
      <w:commentRangeEnd w:id="2"/>
      <w:r w:rsidR="00E3234E">
        <w:rPr>
          <w:rStyle w:val="CommentReference"/>
          <w:rFonts w:ascii="Arial" w:hAnsi="Arial"/>
        </w:rPr>
        <w:commentReference w:id="2"/>
      </w:r>
      <w:r>
        <w:rPr>
          <w:rFonts w:asciiTheme="minorHAnsi" w:hAnsiTheme="minorHAnsi" w:cstheme="minorHAnsi"/>
          <w:sz w:val="21"/>
          <w:szCs w:val="21"/>
          <w:lang w:val="en-US"/>
        </w:rPr>
        <w:t xml:space="preserve"> for transmitting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3"/>
      <w:r>
        <w:rPr>
          <w:rFonts w:asciiTheme="minorHAnsi" w:hAnsiTheme="minorHAnsi" w:cstheme="minorHAnsi"/>
          <w:sz w:val="21"/>
          <w:szCs w:val="21"/>
          <w:lang w:val="en-US"/>
        </w:rPr>
        <w:t>be</w:t>
      </w:r>
      <w:commentRangeEnd w:id="3"/>
      <w:r w:rsidR="00DD1286">
        <w:rPr>
          <w:rStyle w:val="CommentReference"/>
          <w:rFonts w:ascii="Arial" w:hAnsi="Arial"/>
        </w:rPr>
        <w:commentReference w:id="3"/>
      </w:r>
      <w:r>
        <w:rPr>
          <w:rFonts w:asciiTheme="minorHAnsi" w:hAnsiTheme="minorHAnsi" w:cstheme="minorHAnsi"/>
          <w:sz w:val="21"/>
          <w:szCs w:val="21"/>
          <w:lang w:val="en-US"/>
        </w:rPr>
        <w:t xml:space="preserve"> avoided or handled by CT1.  </w:t>
      </w:r>
      <w:commentRangeStart w:id="4"/>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w:t>
      </w:r>
      <w:commentRangeStart w:id="5"/>
      <w:r>
        <w:rPr>
          <w:rFonts w:asciiTheme="minorHAnsi" w:hAnsiTheme="minorHAnsi" w:cstheme="minorHAnsi"/>
          <w:sz w:val="21"/>
          <w:szCs w:val="21"/>
          <w:lang w:val="en-US"/>
        </w:rPr>
        <w:t>a write command</w:t>
      </w:r>
      <w:commentRangeEnd w:id="5"/>
      <w:r w:rsidR="0072607D">
        <w:rPr>
          <w:rStyle w:val="CommentReference"/>
          <w:rFonts w:ascii="Arial" w:hAnsi="Arial"/>
        </w:rPr>
        <w:commentReference w:id="5"/>
      </w:r>
      <w:r>
        <w:rPr>
          <w:rFonts w:asciiTheme="minorHAnsi" w:hAnsiTheme="minorHAnsi" w:cstheme="minorHAnsi"/>
          <w:sz w:val="21"/>
          <w:szCs w:val="21"/>
          <w:lang w:val="en-US"/>
        </w:rPr>
        <w:t>, without waiting for the command to execute, but RAN2 acknowledge that such a solution is in CT1 remit to evaluate.</w:t>
      </w:r>
      <w:commentRangeEnd w:id="4"/>
      <w:r w:rsidR="00D40E40">
        <w:rPr>
          <w:rStyle w:val="CommentReference"/>
          <w:rFonts w:ascii="Arial" w:hAnsi="Arial"/>
        </w:rPr>
        <w:commentReference w:id="4"/>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 and indicate if CT1 can address how to handle a delayed command response from NAS layer to MAC layer</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head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1" w:author="OPPO - Yumin Wu" w:date="2025-05-27T09:23:00Z" w:initials="YM">
    <w:p w14:paraId="40AC0B6A" w14:textId="28DD3EE2"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2" w:author="OPPO - Yumin Wu" w:date="2025-05-27T09:25:00Z" w:initials="YM">
    <w:p w14:paraId="2A4B2E20" w14:textId="1F62F447"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w:t>
      </w:r>
      <w:proofErr w:type="gramStart"/>
      <w:r>
        <w:rPr>
          <w:lang w:eastAsia="zh-CN"/>
        </w:rPr>
        <w:t>e.g.</w:t>
      </w:r>
      <w:proofErr w:type="gramEnd"/>
      <w:r>
        <w:rPr>
          <w:lang w:eastAsia="zh-CN"/>
        </w:rPr>
        <w:t xml:space="preserve"> blind scheduling”, as OPPO commented online.</w:t>
      </w:r>
    </w:p>
  </w:comment>
  <w:comment w:id="3" w:author="OPPO - Yumin Wu" w:date="2025-05-27T09:24:00Z" w:initials="YM">
    <w:p w14:paraId="596BA5B8" w14:textId="4206751D" w:rsidR="00DD1286" w:rsidRDefault="00DD1286">
      <w:pPr>
        <w:pStyle w:val="CommentText"/>
        <w:rPr>
          <w:lang w:eastAsia="zh-CN"/>
        </w:rPr>
      </w:pPr>
      <w:r>
        <w:rPr>
          <w:rStyle w:val="CommentReference"/>
        </w:rPr>
        <w:annotationRef/>
      </w:r>
      <w:r>
        <w:rPr>
          <w:lang w:eastAsia="zh-CN"/>
        </w:rPr>
        <w:t>Should be “is”. Typo.</w:t>
      </w:r>
    </w:p>
  </w:comment>
  <w:comment w:id="5" w:author="Sriganesh" w:date="2025-05-27T19:31:00Z" w:initials="S">
    <w:p w14:paraId="4BDFEA07" w14:textId="72B54C12" w:rsidR="005451E6" w:rsidRDefault="0072607D">
      <w:pPr>
        <w:pStyle w:val="CommentText"/>
      </w:pPr>
      <w:r>
        <w:rPr>
          <w:rStyle w:val="CommentReference"/>
        </w:rPr>
        <w:annotationRef/>
      </w:r>
      <w:r w:rsidR="009E7E4E">
        <w:t xml:space="preserve">Suggested change: </w:t>
      </w:r>
      <w:r w:rsidR="005451E6">
        <w:t>“</w:t>
      </w:r>
      <w:proofErr w:type="gramStart"/>
      <w:r w:rsidR="005451E6">
        <w:t>….upon</w:t>
      </w:r>
      <w:proofErr w:type="gramEnd"/>
      <w:r w:rsidR="005451E6">
        <w:t xml:space="preserve"> successful reception of a </w:t>
      </w:r>
      <w:r w:rsidR="005451E6" w:rsidRPr="005451E6">
        <w:rPr>
          <w:strike/>
          <w:color w:val="FF0000"/>
        </w:rPr>
        <w:t>write</w:t>
      </w:r>
      <w:r w:rsidR="005451E6">
        <w:t xml:space="preserve"> command…””</w:t>
      </w:r>
      <w:r w:rsidR="005451E6">
        <w:br/>
      </w:r>
      <w:r w:rsidR="005451E6">
        <w:br/>
      </w:r>
      <w:r w:rsidR="005451E6">
        <w:t xml:space="preserve">We understand that this issue is more visible in case of write command </w:t>
      </w:r>
      <w:r w:rsidR="005451E6">
        <w:t xml:space="preserve">but we </w:t>
      </w:r>
      <w:r w:rsidR="005451E6">
        <w:t>prefer to have a common solution in case of any delay in NAS layer generating a response to a command which doesn’t meet the D2R scheduling deadline.</w:t>
      </w:r>
    </w:p>
  </w:comment>
  <w:comment w:id="4" w:author="OPPO - Yumin Wu" w:date="2025-05-27T09:26:00Z" w:initials="YM">
    <w:p w14:paraId="4F0A5161" w14:textId="0B51BC0B"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0B8D5" w15:done="0"/>
  <w15:commentEx w15:paraId="40AC0B6A" w15:done="0"/>
  <w15:commentEx w15:paraId="2A4B2E20" w15:done="0"/>
  <w15:commentEx w15:paraId="596BA5B8" w15:done="0"/>
  <w15:commentEx w15:paraId="4BDFEA07" w15:done="0"/>
  <w15:commentEx w15:paraId="4F0A5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002B0" w16cex:dateUtc="2025-05-27T01:21:00Z"/>
  <w16cex:commentExtensible w16cex:durableId="2BE00301" w16cex:dateUtc="2025-05-27T01:23:00Z"/>
  <w16cex:commentExtensible w16cex:durableId="2BE00385" w16cex:dateUtc="2025-05-27T01:25:00Z"/>
  <w16cex:commentExtensible w16cex:durableId="2BE00363" w16cex:dateUtc="2025-05-27T01:24:00Z"/>
  <w16cex:commentExtensible w16cex:durableId="2BE09192" w16cex:dateUtc="2025-05-27T14:01:00Z"/>
  <w16cex:commentExtensible w16cex:durableId="2BE003E0" w16cex:dateUtc="2025-05-27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0B8D5" w16cid:durableId="2BE002B0"/>
  <w16cid:commentId w16cid:paraId="40AC0B6A" w16cid:durableId="2BE00301"/>
  <w16cid:commentId w16cid:paraId="2A4B2E20" w16cid:durableId="2BE00385"/>
  <w16cid:commentId w16cid:paraId="596BA5B8" w16cid:durableId="2BE00363"/>
  <w16cid:commentId w16cid:paraId="4BDFEA07" w16cid:durableId="2BE09192"/>
  <w16cid:commentId w16cid:paraId="4F0A5161" w16cid:durableId="2BE00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D283" w14:textId="77777777" w:rsidR="00BD7D56" w:rsidRDefault="00BD7D56">
      <w:r>
        <w:separator/>
      </w:r>
    </w:p>
  </w:endnote>
  <w:endnote w:type="continuationSeparator" w:id="0">
    <w:p w14:paraId="177AEF4D" w14:textId="77777777" w:rsidR="00BD7D56" w:rsidRDefault="00BD7D56">
      <w:r>
        <w:continuationSeparator/>
      </w:r>
    </w:p>
  </w:endnote>
  <w:endnote w:type="continuationNotice" w:id="1">
    <w:p w14:paraId="12CFB0F7" w14:textId="77777777" w:rsidR="00BD7D56" w:rsidRDefault="00BD7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E685" w14:textId="77777777" w:rsidR="00BD7D56" w:rsidRDefault="00BD7D56">
      <w:r>
        <w:separator/>
      </w:r>
    </w:p>
  </w:footnote>
  <w:footnote w:type="continuationSeparator" w:id="0">
    <w:p w14:paraId="37E51CB0" w14:textId="77777777" w:rsidR="00BD7D56" w:rsidRDefault="00BD7D56">
      <w:r>
        <w:continuationSeparator/>
      </w:r>
    </w:p>
  </w:footnote>
  <w:footnote w:type="continuationNotice" w:id="1">
    <w:p w14:paraId="378C13AC" w14:textId="77777777" w:rsidR="00BD7D56" w:rsidRDefault="00BD7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3F52" w14:textId="6DDD3497" w:rsidR="003C0A64" w:rsidRDefault="003C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FCD0" w14:textId="044BE001" w:rsidR="003C0A64" w:rsidRDefault="003C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ECDC" w14:textId="320EFEA5" w:rsidR="003C0A64" w:rsidRDefault="003C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10"/>
  </w:num>
  <w:num w:numId="10">
    <w:abstractNumId w:val="9"/>
  </w:num>
  <w:num w:numId="11">
    <w:abstractNumId w:val="6"/>
  </w:num>
  <w:num w:numId="12">
    <w:abstractNumId w:val="7"/>
  </w:num>
  <w:num w:numId="13">
    <w:abstractNumId w:val="0"/>
  </w:num>
  <w:num w:numId="14">
    <w:abstractNumId w:val="5"/>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Yumin Wu">
    <w15:presenceInfo w15:providerId="None" w15:userId="OPPO - Yumin Wu"/>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B2EB9"/>
    <w:rsid w:val="009B5179"/>
    <w:rsid w:val="009C7046"/>
    <w:rsid w:val="009D1643"/>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21"/>
    <w:rsid w:val="00CA1135"/>
    <w:rsid w:val="00CB2DDF"/>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3234E"/>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350</Words>
  <Characters>1996</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2342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Sriganesh</cp:lastModifiedBy>
  <cp:revision>5</cp:revision>
  <cp:lastPrinted>2002-04-23T09:10:00Z</cp:lastPrinted>
  <dcterms:created xsi:type="dcterms:W3CDTF">2025-05-27T15:23:00Z</dcterms:created>
  <dcterms:modified xsi:type="dcterms:W3CDTF">2025-05-27T15:34:00Z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