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8E519" w14:textId="60E05822" w:rsidR="00D159AD" w:rsidRDefault="00291BBC">
      <w:pPr>
        <w:rPr>
          <w:rFonts w:hint="eastAsia"/>
        </w:rPr>
      </w:pPr>
      <w:r>
        <w:rPr>
          <w:rFonts w:hint="eastAsia"/>
        </w:rPr>
        <w:t>TRAN2#129bis</w:t>
      </w:r>
    </w:p>
    <w:p w14:paraId="75B033CE" w14:textId="77777777" w:rsidR="00291BBC" w:rsidRDefault="00291BBC">
      <w:pPr>
        <w:rPr>
          <w:rFonts w:hint="eastAsia"/>
        </w:rPr>
      </w:pPr>
    </w:p>
    <w:tbl>
      <w:tblPr>
        <w:tblW w:w="0" w:type="auto"/>
        <w:jc w:val="center"/>
        <w:tblLook w:val="04A0" w:firstRow="1" w:lastRow="0" w:firstColumn="1" w:lastColumn="0" w:noHBand="0" w:noVBand="1"/>
      </w:tblPr>
      <w:tblGrid>
        <w:gridCol w:w="3055"/>
        <w:gridCol w:w="1980"/>
        <w:gridCol w:w="2700"/>
      </w:tblGrid>
      <w:tr w:rsidR="00291BBC" w:rsidRPr="00D30C67" w14:paraId="08A497A7" w14:textId="77777777" w:rsidTr="0072305D">
        <w:trPr>
          <w:jc w:val="center"/>
        </w:trPr>
        <w:tc>
          <w:tcPr>
            <w:tcW w:w="305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6582C3A" w14:textId="77777777" w:rsidR="00291BBC" w:rsidRPr="00D30C67" w:rsidRDefault="00291BBC" w:rsidP="0072305D">
            <w:pPr>
              <w:spacing w:after="160" w:line="278" w:lineRule="auto"/>
              <w:rPr>
                <w:rFonts w:hint="eastAsia"/>
              </w:rPr>
            </w:pPr>
          </w:p>
        </w:tc>
        <w:tc>
          <w:tcPr>
            <w:tcW w:w="198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FA5943F" w14:textId="77777777" w:rsidR="00291BBC" w:rsidRPr="00D30C67" w:rsidRDefault="00291BBC" w:rsidP="0072305D">
            <w:pPr>
              <w:spacing w:after="160" w:line="278" w:lineRule="auto"/>
              <w:rPr>
                <w:rFonts w:hint="eastAsia"/>
              </w:rPr>
            </w:pPr>
            <w:r w:rsidRPr="00D30C67">
              <w:t>UE sided model</w:t>
            </w:r>
          </w:p>
        </w:tc>
        <w:tc>
          <w:tcPr>
            <w:tcW w:w="270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E352A4C" w14:textId="77777777" w:rsidR="00291BBC" w:rsidRPr="00D30C67" w:rsidRDefault="00291BBC" w:rsidP="0072305D">
            <w:pPr>
              <w:spacing w:after="160" w:line="278" w:lineRule="auto"/>
              <w:rPr>
                <w:rFonts w:hint="eastAsia"/>
              </w:rPr>
            </w:pPr>
            <w:r w:rsidRPr="00D30C67">
              <w:t>Network sided model</w:t>
            </w:r>
          </w:p>
        </w:tc>
      </w:tr>
      <w:tr w:rsidR="00291BBC" w:rsidRPr="00D30C67" w14:paraId="314FFD2D" w14:textId="77777777" w:rsidTr="0072305D">
        <w:trPr>
          <w:jc w:val="center"/>
        </w:trPr>
        <w:tc>
          <w:tcPr>
            <w:tcW w:w="3055" w:type="dxa"/>
            <w:tcBorders>
              <w:top w:val="single" w:sz="4" w:space="0" w:color="auto"/>
              <w:left w:val="single" w:sz="4" w:space="0" w:color="auto"/>
              <w:bottom w:val="single" w:sz="4" w:space="0" w:color="auto"/>
              <w:right w:val="single" w:sz="4" w:space="0" w:color="auto"/>
            </w:tcBorders>
            <w:hideMark/>
          </w:tcPr>
          <w:p w14:paraId="2D5AA6D4" w14:textId="77777777" w:rsidR="00291BBC" w:rsidRPr="00D30C67" w:rsidRDefault="00291BBC" w:rsidP="0072305D">
            <w:pPr>
              <w:spacing w:after="160" w:line="278" w:lineRule="auto"/>
              <w:rPr>
                <w:rFonts w:hint="eastAsia"/>
              </w:rPr>
            </w:pPr>
            <w:r w:rsidRPr="00D30C67">
              <w:t>Measurement event prediction</w:t>
            </w:r>
          </w:p>
        </w:tc>
        <w:tc>
          <w:tcPr>
            <w:tcW w:w="1980" w:type="dxa"/>
            <w:tcBorders>
              <w:top w:val="single" w:sz="4" w:space="0" w:color="auto"/>
              <w:left w:val="single" w:sz="4" w:space="0" w:color="auto"/>
              <w:bottom w:val="single" w:sz="4" w:space="0" w:color="auto"/>
              <w:right w:val="single" w:sz="4" w:space="0" w:color="auto"/>
            </w:tcBorders>
            <w:shd w:val="clear" w:color="auto" w:fill="92D050"/>
            <w:hideMark/>
          </w:tcPr>
          <w:p w14:paraId="09BEDF99" w14:textId="77777777" w:rsidR="00291BBC" w:rsidRPr="00D30C67" w:rsidRDefault="00291BBC" w:rsidP="0072305D">
            <w:pPr>
              <w:spacing w:after="160" w:line="278" w:lineRule="auto"/>
              <w:rPr>
                <w:rFonts w:hint="eastAsia"/>
              </w:rPr>
            </w:pPr>
            <w:r w:rsidRPr="00D30C67">
              <w:t>Yes,</w:t>
            </w:r>
          </w:p>
        </w:tc>
        <w:tc>
          <w:tcPr>
            <w:tcW w:w="2700" w:type="dxa"/>
            <w:tcBorders>
              <w:top w:val="single" w:sz="4" w:space="0" w:color="auto"/>
              <w:left w:val="single" w:sz="4" w:space="0" w:color="auto"/>
              <w:bottom w:val="single" w:sz="4" w:space="0" w:color="auto"/>
              <w:right w:val="single" w:sz="4" w:space="0" w:color="auto"/>
            </w:tcBorders>
            <w:hideMark/>
          </w:tcPr>
          <w:p w14:paraId="7A94961E" w14:textId="77777777" w:rsidR="00291BBC" w:rsidRPr="00D30C67" w:rsidRDefault="00291BBC" w:rsidP="0072305D">
            <w:pPr>
              <w:spacing w:after="160" w:line="278" w:lineRule="auto"/>
              <w:rPr>
                <w:rFonts w:hint="eastAsia"/>
              </w:rPr>
            </w:pPr>
            <w:r w:rsidRPr="00D30C67">
              <w:t>No</w:t>
            </w:r>
            <w:r>
              <w:t xml:space="preserve"> (up to NW implementation)</w:t>
            </w:r>
          </w:p>
        </w:tc>
      </w:tr>
      <w:tr w:rsidR="00291BBC" w:rsidRPr="00D30C67" w14:paraId="38583E4B" w14:textId="77777777" w:rsidTr="0072305D">
        <w:trPr>
          <w:jc w:val="center"/>
        </w:trPr>
        <w:tc>
          <w:tcPr>
            <w:tcW w:w="3055" w:type="dxa"/>
            <w:tcBorders>
              <w:top w:val="single" w:sz="4" w:space="0" w:color="auto"/>
              <w:left w:val="single" w:sz="4" w:space="0" w:color="auto"/>
              <w:bottom w:val="single" w:sz="4" w:space="0" w:color="auto"/>
              <w:right w:val="single" w:sz="4" w:space="0" w:color="auto"/>
            </w:tcBorders>
            <w:hideMark/>
          </w:tcPr>
          <w:p w14:paraId="64B07FFC" w14:textId="77777777" w:rsidR="00291BBC" w:rsidRPr="00D30C67" w:rsidRDefault="00291BBC" w:rsidP="0072305D">
            <w:pPr>
              <w:spacing w:after="160" w:line="278" w:lineRule="auto"/>
              <w:rPr>
                <w:rFonts w:hint="eastAsia"/>
              </w:rPr>
            </w:pPr>
            <w:r w:rsidRPr="00D30C67">
              <w:t>Temporal domain case A</w:t>
            </w:r>
          </w:p>
        </w:tc>
        <w:tc>
          <w:tcPr>
            <w:tcW w:w="1980" w:type="dxa"/>
            <w:tcBorders>
              <w:top w:val="single" w:sz="4" w:space="0" w:color="auto"/>
              <w:left w:val="single" w:sz="4" w:space="0" w:color="auto"/>
              <w:bottom w:val="single" w:sz="4" w:space="0" w:color="auto"/>
              <w:right w:val="single" w:sz="4" w:space="0" w:color="auto"/>
            </w:tcBorders>
            <w:shd w:val="clear" w:color="auto" w:fill="92D050"/>
            <w:hideMark/>
          </w:tcPr>
          <w:p w14:paraId="622AE22D" w14:textId="77777777" w:rsidR="00291BBC" w:rsidRPr="00D30C67" w:rsidRDefault="00291BBC" w:rsidP="0072305D">
            <w:pPr>
              <w:spacing w:after="160" w:line="278" w:lineRule="auto"/>
              <w:rPr>
                <w:rFonts w:hint="eastAsia"/>
              </w:rPr>
            </w:pPr>
            <w:r w:rsidRPr="00D30C67">
              <w:t>Yes, all sub cases</w:t>
            </w:r>
          </w:p>
        </w:tc>
        <w:tc>
          <w:tcPr>
            <w:tcW w:w="2700" w:type="dxa"/>
            <w:tcBorders>
              <w:top w:val="single" w:sz="4" w:space="0" w:color="auto"/>
              <w:left w:val="single" w:sz="4" w:space="0" w:color="auto"/>
              <w:bottom w:val="single" w:sz="4" w:space="0" w:color="auto"/>
              <w:right w:val="single" w:sz="4" w:space="0" w:color="auto"/>
            </w:tcBorders>
            <w:shd w:val="clear" w:color="auto" w:fill="92D050"/>
            <w:hideMark/>
          </w:tcPr>
          <w:p w14:paraId="2233CD50" w14:textId="77777777" w:rsidR="00291BBC" w:rsidRPr="00D30C67" w:rsidRDefault="00291BBC" w:rsidP="0072305D">
            <w:pPr>
              <w:spacing w:after="160" w:line="278" w:lineRule="auto"/>
              <w:rPr>
                <w:rFonts w:hint="eastAsia"/>
              </w:rPr>
            </w:pPr>
            <w:r w:rsidRPr="00D30C67">
              <w:t>Yes</w:t>
            </w:r>
          </w:p>
        </w:tc>
      </w:tr>
      <w:tr w:rsidR="00291BBC" w:rsidRPr="00D30C67" w14:paraId="2B4DC793" w14:textId="77777777" w:rsidTr="0072305D">
        <w:trPr>
          <w:jc w:val="center"/>
        </w:trPr>
        <w:tc>
          <w:tcPr>
            <w:tcW w:w="3055" w:type="dxa"/>
            <w:tcBorders>
              <w:top w:val="single" w:sz="4" w:space="0" w:color="auto"/>
              <w:left w:val="single" w:sz="4" w:space="0" w:color="auto"/>
              <w:bottom w:val="single" w:sz="4" w:space="0" w:color="auto"/>
              <w:right w:val="single" w:sz="4" w:space="0" w:color="auto"/>
            </w:tcBorders>
            <w:hideMark/>
          </w:tcPr>
          <w:p w14:paraId="2C5AA0FC" w14:textId="77777777" w:rsidR="00291BBC" w:rsidRPr="00D30C67" w:rsidRDefault="00291BBC" w:rsidP="0072305D">
            <w:pPr>
              <w:spacing w:after="160" w:line="278" w:lineRule="auto"/>
              <w:rPr>
                <w:rFonts w:hint="eastAsia"/>
              </w:rPr>
            </w:pPr>
            <w:r w:rsidRPr="00D30C67">
              <w:t>Temporal domain case B</w:t>
            </w:r>
          </w:p>
        </w:tc>
        <w:tc>
          <w:tcPr>
            <w:tcW w:w="1980" w:type="dxa"/>
            <w:tcBorders>
              <w:top w:val="single" w:sz="4" w:space="0" w:color="auto"/>
              <w:left w:val="single" w:sz="4" w:space="0" w:color="auto"/>
              <w:bottom w:val="single" w:sz="4" w:space="0" w:color="auto"/>
              <w:right w:val="single" w:sz="4" w:space="0" w:color="auto"/>
            </w:tcBorders>
            <w:shd w:val="clear" w:color="auto" w:fill="92D050"/>
            <w:hideMark/>
          </w:tcPr>
          <w:p w14:paraId="2BDE9FF1" w14:textId="77777777" w:rsidR="00291BBC" w:rsidRPr="00D30C67" w:rsidRDefault="00291BBC" w:rsidP="0072305D">
            <w:pPr>
              <w:spacing w:after="160" w:line="278" w:lineRule="auto"/>
              <w:rPr>
                <w:rFonts w:hint="eastAsia"/>
              </w:rPr>
            </w:pPr>
            <w:proofErr w:type="gramStart"/>
            <w:r w:rsidRPr="00D30C67">
              <w:t>Yes ,</w:t>
            </w:r>
            <w:proofErr w:type="gramEnd"/>
            <w:r w:rsidRPr="00D30C67">
              <w:t xml:space="preserve"> all sub cases</w:t>
            </w:r>
          </w:p>
        </w:tc>
        <w:tc>
          <w:tcPr>
            <w:tcW w:w="2700" w:type="dxa"/>
            <w:tcBorders>
              <w:top w:val="single" w:sz="4" w:space="0" w:color="auto"/>
              <w:left w:val="single" w:sz="4" w:space="0" w:color="auto"/>
              <w:bottom w:val="single" w:sz="4" w:space="0" w:color="auto"/>
              <w:right w:val="single" w:sz="4" w:space="0" w:color="auto"/>
            </w:tcBorders>
            <w:shd w:val="clear" w:color="auto" w:fill="92D050"/>
            <w:hideMark/>
          </w:tcPr>
          <w:p w14:paraId="16AAA377" w14:textId="77777777" w:rsidR="00291BBC" w:rsidRPr="00D30C67" w:rsidRDefault="00291BBC" w:rsidP="0072305D">
            <w:pPr>
              <w:spacing w:after="160" w:line="278" w:lineRule="auto"/>
              <w:rPr>
                <w:rFonts w:hint="eastAsia"/>
              </w:rPr>
            </w:pPr>
            <w:r>
              <w:t>Yes</w:t>
            </w:r>
          </w:p>
        </w:tc>
      </w:tr>
      <w:tr w:rsidR="00291BBC" w:rsidRPr="00D30C67" w14:paraId="4407FA36" w14:textId="77777777" w:rsidTr="0072305D">
        <w:trPr>
          <w:jc w:val="center"/>
        </w:trPr>
        <w:tc>
          <w:tcPr>
            <w:tcW w:w="3055" w:type="dxa"/>
            <w:tcBorders>
              <w:top w:val="single" w:sz="4" w:space="0" w:color="auto"/>
              <w:left w:val="single" w:sz="4" w:space="0" w:color="auto"/>
              <w:bottom w:val="single" w:sz="4" w:space="0" w:color="auto"/>
              <w:right w:val="single" w:sz="4" w:space="0" w:color="auto"/>
            </w:tcBorders>
            <w:hideMark/>
          </w:tcPr>
          <w:p w14:paraId="61EE26D8" w14:textId="77777777" w:rsidR="00291BBC" w:rsidRPr="00D30C67" w:rsidRDefault="00291BBC" w:rsidP="0072305D">
            <w:pPr>
              <w:spacing w:after="160" w:line="278" w:lineRule="auto"/>
              <w:rPr>
                <w:rFonts w:hint="eastAsia"/>
              </w:rPr>
            </w:pPr>
            <w:r w:rsidRPr="00D30C67">
              <w:t xml:space="preserve">Frequency domain </w:t>
            </w:r>
          </w:p>
        </w:tc>
        <w:tc>
          <w:tcPr>
            <w:tcW w:w="1980" w:type="dxa"/>
            <w:tcBorders>
              <w:top w:val="single" w:sz="4" w:space="0" w:color="auto"/>
              <w:left w:val="single" w:sz="4" w:space="0" w:color="auto"/>
              <w:bottom w:val="single" w:sz="4" w:space="0" w:color="auto"/>
              <w:right w:val="single" w:sz="4" w:space="0" w:color="auto"/>
            </w:tcBorders>
            <w:shd w:val="clear" w:color="auto" w:fill="92D050"/>
            <w:hideMark/>
          </w:tcPr>
          <w:p w14:paraId="08552183" w14:textId="77777777" w:rsidR="00291BBC" w:rsidRPr="00D30C67" w:rsidRDefault="00291BBC" w:rsidP="0072305D">
            <w:pPr>
              <w:spacing w:after="160" w:line="278" w:lineRule="auto"/>
              <w:rPr>
                <w:rFonts w:hint="eastAsia"/>
              </w:rPr>
            </w:pPr>
            <w:proofErr w:type="gramStart"/>
            <w:r w:rsidRPr="00D30C67">
              <w:t>Yes ,</w:t>
            </w:r>
            <w:proofErr w:type="gramEnd"/>
            <w:r w:rsidRPr="00D30C67">
              <w:t xml:space="preserve"> all sub cases</w:t>
            </w:r>
          </w:p>
        </w:tc>
        <w:tc>
          <w:tcPr>
            <w:tcW w:w="2700" w:type="dxa"/>
            <w:tcBorders>
              <w:top w:val="single" w:sz="4" w:space="0" w:color="auto"/>
              <w:left w:val="single" w:sz="4" w:space="0" w:color="auto"/>
              <w:bottom w:val="single" w:sz="4" w:space="0" w:color="auto"/>
              <w:right w:val="single" w:sz="4" w:space="0" w:color="auto"/>
            </w:tcBorders>
            <w:shd w:val="clear" w:color="auto" w:fill="92D050"/>
            <w:hideMark/>
          </w:tcPr>
          <w:p w14:paraId="44F3476D" w14:textId="77777777" w:rsidR="00291BBC" w:rsidRPr="00D30C67" w:rsidRDefault="00291BBC" w:rsidP="0072305D">
            <w:pPr>
              <w:spacing w:after="160" w:line="278" w:lineRule="auto"/>
              <w:rPr>
                <w:rFonts w:hint="eastAsia"/>
              </w:rPr>
            </w:pPr>
            <w:r w:rsidRPr="00D30C67">
              <w:t xml:space="preserve">Yes </w:t>
            </w:r>
          </w:p>
        </w:tc>
      </w:tr>
      <w:tr w:rsidR="00291BBC" w:rsidRPr="00D30C67" w14:paraId="52B8597E" w14:textId="77777777" w:rsidTr="00681FA1">
        <w:trPr>
          <w:jc w:val="center"/>
        </w:trPr>
        <w:tc>
          <w:tcPr>
            <w:tcW w:w="3055" w:type="dxa"/>
            <w:tcBorders>
              <w:top w:val="single" w:sz="4" w:space="0" w:color="auto"/>
              <w:left w:val="single" w:sz="4" w:space="0" w:color="auto"/>
              <w:bottom w:val="single" w:sz="4" w:space="0" w:color="auto"/>
              <w:right w:val="single" w:sz="4" w:space="0" w:color="auto"/>
            </w:tcBorders>
            <w:shd w:val="clear" w:color="auto" w:fill="FFFF00"/>
            <w:hideMark/>
          </w:tcPr>
          <w:p w14:paraId="0116CCC0" w14:textId="77777777" w:rsidR="00291BBC" w:rsidRPr="00D30C67" w:rsidRDefault="00291BBC" w:rsidP="0072305D">
            <w:pPr>
              <w:spacing w:after="160" w:line="278" w:lineRule="auto"/>
              <w:rPr>
                <w:rFonts w:hint="eastAsia"/>
              </w:rPr>
            </w:pPr>
            <w:r w:rsidRPr="00D30C67">
              <w:t xml:space="preserve">Spatial domain </w:t>
            </w:r>
          </w:p>
        </w:tc>
        <w:tc>
          <w:tcPr>
            <w:tcW w:w="1980" w:type="dxa"/>
            <w:tcBorders>
              <w:top w:val="single" w:sz="4" w:space="0" w:color="auto"/>
              <w:left w:val="single" w:sz="4" w:space="0" w:color="auto"/>
              <w:bottom w:val="single" w:sz="4" w:space="0" w:color="auto"/>
              <w:right w:val="single" w:sz="4" w:space="0" w:color="auto"/>
            </w:tcBorders>
            <w:shd w:val="clear" w:color="auto" w:fill="FFFF00"/>
            <w:hideMark/>
          </w:tcPr>
          <w:p w14:paraId="62B9A123" w14:textId="77777777" w:rsidR="00291BBC" w:rsidRPr="00D30C67" w:rsidRDefault="00291BBC" w:rsidP="0072305D">
            <w:pPr>
              <w:spacing w:after="160" w:line="278" w:lineRule="auto"/>
              <w:rPr>
                <w:rFonts w:hint="eastAsia"/>
              </w:rPr>
            </w:pPr>
            <w:r w:rsidRPr="00D30C67">
              <w:t>Pending</w:t>
            </w:r>
          </w:p>
        </w:tc>
        <w:tc>
          <w:tcPr>
            <w:tcW w:w="2700" w:type="dxa"/>
            <w:tcBorders>
              <w:top w:val="single" w:sz="4" w:space="0" w:color="auto"/>
              <w:left w:val="single" w:sz="4" w:space="0" w:color="auto"/>
              <w:bottom w:val="single" w:sz="4" w:space="0" w:color="auto"/>
              <w:right w:val="single" w:sz="4" w:space="0" w:color="auto"/>
            </w:tcBorders>
            <w:shd w:val="clear" w:color="auto" w:fill="FFFF00"/>
            <w:hideMark/>
          </w:tcPr>
          <w:p w14:paraId="0667AF2F" w14:textId="77777777" w:rsidR="00291BBC" w:rsidRPr="00D30C67" w:rsidRDefault="00291BBC" w:rsidP="0072305D">
            <w:pPr>
              <w:spacing w:after="160" w:line="278" w:lineRule="auto"/>
              <w:rPr>
                <w:rFonts w:hint="eastAsia"/>
              </w:rPr>
            </w:pPr>
            <w:r w:rsidRPr="00D30C67">
              <w:t>Pending</w:t>
            </w:r>
          </w:p>
        </w:tc>
      </w:tr>
      <w:tr w:rsidR="00291BBC" w:rsidRPr="00D30C67" w14:paraId="4057CAED" w14:textId="77777777" w:rsidTr="00681FA1">
        <w:trPr>
          <w:jc w:val="center"/>
        </w:trPr>
        <w:tc>
          <w:tcPr>
            <w:tcW w:w="3055" w:type="dxa"/>
            <w:tcBorders>
              <w:top w:val="single" w:sz="4" w:space="0" w:color="auto"/>
              <w:left w:val="single" w:sz="4" w:space="0" w:color="auto"/>
              <w:bottom w:val="single" w:sz="4" w:space="0" w:color="auto"/>
              <w:right w:val="single" w:sz="4" w:space="0" w:color="auto"/>
            </w:tcBorders>
            <w:hideMark/>
          </w:tcPr>
          <w:p w14:paraId="054E1231" w14:textId="77777777" w:rsidR="00291BBC" w:rsidRPr="00D30C67" w:rsidRDefault="00291BBC" w:rsidP="0072305D">
            <w:pPr>
              <w:spacing w:after="160" w:line="278" w:lineRule="auto"/>
              <w:rPr>
                <w:rFonts w:hint="eastAsia"/>
              </w:rPr>
            </w:pPr>
            <w:r w:rsidRPr="00D30C67">
              <w:t>L3 beam level measurement prediction</w:t>
            </w:r>
          </w:p>
        </w:tc>
        <w:tc>
          <w:tcPr>
            <w:tcW w:w="1980" w:type="dxa"/>
            <w:tcBorders>
              <w:top w:val="single" w:sz="4" w:space="0" w:color="auto"/>
              <w:left w:val="single" w:sz="4" w:space="0" w:color="auto"/>
              <w:bottom w:val="single" w:sz="4" w:space="0" w:color="auto"/>
              <w:right w:val="single" w:sz="4" w:space="0" w:color="auto"/>
            </w:tcBorders>
            <w:shd w:val="clear" w:color="auto" w:fill="92D050"/>
            <w:hideMark/>
          </w:tcPr>
          <w:p w14:paraId="1F1C85FE" w14:textId="77777777" w:rsidR="00291BBC" w:rsidRPr="00D30C67" w:rsidRDefault="00291BBC" w:rsidP="0072305D">
            <w:pPr>
              <w:spacing w:after="160" w:line="278" w:lineRule="auto"/>
              <w:rPr>
                <w:rFonts w:hint="eastAsia"/>
              </w:rPr>
            </w:pPr>
            <w:r w:rsidRPr="00D30C67">
              <w:t>Yes,</w:t>
            </w:r>
          </w:p>
        </w:tc>
        <w:tc>
          <w:tcPr>
            <w:tcW w:w="2700" w:type="dxa"/>
            <w:tcBorders>
              <w:top w:val="single" w:sz="4" w:space="0" w:color="auto"/>
              <w:left w:val="single" w:sz="4" w:space="0" w:color="auto"/>
              <w:bottom w:val="single" w:sz="4" w:space="0" w:color="auto"/>
              <w:right w:val="single" w:sz="4" w:space="0" w:color="auto"/>
            </w:tcBorders>
            <w:shd w:val="clear" w:color="auto" w:fill="92D050"/>
            <w:hideMark/>
          </w:tcPr>
          <w:p w14:paraId="244D30D9" w14:textId="77777777" w:rsidR="00291BBC" w:rsidRPr="00D30C67" w:rsidRDefault="00291BBC" w:rsidP="0072305D">
            <w:pPr>
              <w:spacing w:after="160" w:line="278" w:lineRule="auto"/>
              <w:rPr>
                <w:rFonts w:hint="eastAsia"/>
              </w:rPr>
            </w:pPr>
            <w:r>
              <w:t>Yes</w:t>
            </w:r>
          </w:p>
        </w:tc>
      </w:tr>
    </w:tbl>
    <w:p w14:paraId="033D6BAB" w14:textId="77777777" w:rsidR="00291BBC" w:rsidRDefault="00291BBC">
      <w:pPr>
        <w:rPr>
          <w:rFonts w:hint="eastAsia"/>
        </w:rPr>
      </w:pPr>
    </w:p>
    <w:p w14:paraId="03BCAAA0" w14:textId="77777777" w:rsidR="00614876" w:rsidRDefault="00614876" w:rsidP="00614876">
      <w:pPr>
        <w:pStyle w:val="Agreement"/>
      </w:pPr>
      <w:r>
        <w:t xml:space="preserve">L3 Beam-level prediction specification impact will be studied </w:t>
      </w:r>
    </w:p>
    <w:p w14:paraId="607726B6" w14:textId="77777777" w:rsidR="00614876" w:rsidRPr="00614876" w:rsidRDefault="00614876">
      <w:pPr>
        <w:rPr>
          <w:rFonts w:hint="eastAsia"/>
          <w:lang w:val="en-GB"/>
        </w:rPr>
      </w:pPr>
    </w:p>
    <w:p w14:paraId="00690E99" w14:textId="77777777" w:rsidR="00614876" w:rsidRDefault="00614876">
      <w:pPr>
        <w:rPr>
          <w:rFonts w:hint="eastAsia"/>
        </w:rPr>
      </w:pPr>
    </w:p>
    <w:p w14:paraId="790D9D2B" w14:textId="77777777" w:rsidR="00614876" w:rsidRPr="000F6D08" w:rsidRDefault="00614876" w:rsidP="00614876">
      <w:pPr>
        <w:pStyle w:val="Doc-text2"/>
        <w:ind w:left="363"/>
        <w:jc w:val="both"/>
        <w:rPr>
          <w:b/>
          <w:bCs/>
        </w:rPr>
      </w:pPr>
      <w:r w:rsidRPr="000F6D08">
        <w:rPr>
          <w:b/>
          <w:bCs/>
        </w:rPr>
        <w:t>Agreements</w:t>
      </w:r>
    </w:p>
    <w:p w14:paraId="1A536AF1" w14:textId="77777777" w:rsidR="00614876" w:rsidRPr="00E56270" w:rsidRDefault="00614876" w:rsidP="00614876">
      <w:pPr>
        <w:pStyle w:val="Doc-text2"/>
        <w:ind w:left="363"/>
        <w:jc w:val="both"/>
        <w:rPr>
          <w:highlight w:val="yellow"/>
        </w:rPr>
      </w:pPr>
      <w:r w:rsidRPr="00E56270">
        <w:rPr>
          <w:highlight w:val="yellow"/>
        </w:rPr>
        <w:t>1.</w:t>
      </w:r>
      <w:r w:rsidRPr="00E56270">
        <w:rPr>
          <w:highlight w:val="yellow"/>
        </w:rPr>
        <w:tab/>
        <w:t>The general LCM framework for beam management can be the baseline (where applicable) for AI mobility, such as the following aspects:</w:t>
      </w:r>
    </w:p>
    <w:p w14:paraId="0D3A5DD2" w14:textId="77777777" w:rsidR="00614876" w:rsidRPr="00E56270" w:rsidRDefault="00614876" w:rsidP="00614876">
      <w:pPr>
        <w:pStyle w:val="Doc-text2"/>
        <w:numPr>
          <w:ilvl w:val="0"/>
          <w:numId w:val="1"/>
        </w:numPr>
        <w:ind w:left="720"/>
        <w:jc w:val="both"/>
        <w:rPr>
          <w:highlight w:val="yellow"/>
        </w:rPr>
      </w:pPr>
      <w:r w:rsidRPr="00E56270">
        <w:rPr>
          <w:highlight w:val="yellow"/>
        </w:rPr>
        <w:t>Data collection for model training</w:t>
      </w:r>
    </w:p>
    <w:p w14:paraId="132DF298" w14:textId="77777777" w:rsidR="00614876" w:rsidRPr="00E56270" w:rsidRDefault="00614876" w:rsidP="00614876">
      <w:pPr>
        <w:pStyle w:val="Doc-text2"/>
        <w:numPr>
          <w:ilvl w:val="0"/>
          <w:numId w:val="1"/>
        </w:numPr>
        <w:ind w:left="720"/>
        <w:jc w:val="both"/>
        <w:rPr>
          <w:highlight w:val="yellow"/>
        </w:rPr>
      </w:pPr>
      <w:r w:rsidRPr="00E56270">
        <w:rPr>
          <w:highlight w:val="yellow"/>
        </w:rPr>
        <w:t>UE capability</w:t>
      </w:r>
    </w:p>
    <w:p w14:paraId="64C078A0" w14:textId="77777777" w:rsidR="00614876" w:rsidRPr="00E56270" w:rsidRDefault="00614876" w:rsidP="00614876">
      <w:pPr>
        <w:pStyle w:val="Doc-text2"/>
        <w:numPr>
          <w:ilvl w:val="0"/>
          <w:numId w:val="1"/>
        </w:numPr>
        <w:ind w:left="720"/>
        <w:jc w:val="both"/>
        <w:rPr>
          <w:highlight w:val="yellow"/>
        </w:rPr>
      </w:pPr>
      <w:r w:rsidRPr="00E56270">
        <w:rPr>
          <w:highlight w:val="yellow"/>
        </w:rPr>
        <w:t>Applicability reporting</w:t>
      </w:r>
    </w:p>
    <w:p w14:paraId="46E06FEF" w14:textId="77777777" w:rsidR="00614876" w:rsidRPr="00E56270" w:rsidRDefault="00614876" w:rsidP="00614876">
      <w:pPr>
        <w:pStyle w:val="Doc-text2"/>
        <w:numPr>
          <w:ilvl w:val="0"/>
          <w:numId w:val="1"/>
        </w:numPr>
        <w:ind w:left="720"/>
        <w:jc w:val="both"/>
        <w:rPr>
          <w:highlight w:val="yellow"/>
        </w:rPr>
      </w:pPr>
      <w:r w:rsidRPr="00E56270">
        <w:rPr>
          <w:highlight w:val="yellow"/>
        </w:rPr>
        <w:t>Inference configuration and reporting</w:t>
      </w:r>
    </w:p>
    <w:p w14:paraId="2B330D8D" w14:textId="77777777" w:rsidR="00614876" w:rsidRPr="00E56270" w:rsidRDefault="00614876" w:rsidP="00614876">
      <w:pPr>
        <w:pStyle w:val="Doc-text2"/>
        <w:numPr>
          <w:ilvl w:val="0"/>
          <w:numId w:val="1"/>
        </w:numPr>
        <w:ind w:left="720"/>
        <w:jc w:val="both"/>
        <w:rPr>
          <w:highlight w:val="yellow"/>
        </w:rPr>
      </w:pPr>
      <w:r w:rsidRPr="00E56270">
        <w:rPr>
          <w:highlight w:val="yellow"/>
        </w:rPr>
        <w:t>Performance monitoring and management</w:t>
      </w:r>
    </w:p>
    <w:p w14:paraId="609B9903" w14:textId="77777777" w:rsidR="00614876" w:rsidRDefault="00614876" w:rsidP="00614876">
      <w:pPr>
        <w:pStyle w:val="Doc-text2"/>
        <w:ind w:left="363"/>
        <w:jc w:val="both"/>
      </w:pPr>
      <w:r w:rsidRPr="00DE46B5">
        <w:rPr>
          <w:highlight w:val="green"/>
        </w:rPr>
        <w:t>2</w:t>
      </w:r>
      <w:r w:rsidRPr="00DE46B5">
        <w:rPr>
          <w:highlight w:val="green"/>
        </w:rPr>
        <w:tab/>
        <w:t xml:space="preserve">Only functionality-based LCM is considered for AI/ML mobility (i.e. we don’t support </w:t>
      </w:r>
      <w:proofErr w:type="gramStart"/>
      <w:r w:rsidRPr="00DE46B5">
        <w:rPr>
          <w:highlight w:val="green"/>
        </w:rPr>
        <w:t>model based</w:t>
      </w:r>
      <w:proofErr w:type="gramEnd"/>
      <w:r w:rsidRPr="00DE46B5">
        <w:rPr>
          <w:highlight w:val="green"/>
        </w:rPr>
        <w:t xml:space="preserve"> LCM)</w:t>
      </w:r>
    </w:p>
    <w:p w14:paraId="16206D71" w14:textId="77777777" w:rsidR="00016AFE" w:rsidRPr="00E56270" w:rsidRDefault="00016AFE" w:rsidP="00016AFE">
      <w:pPr>
        <w:pStyle w:val="Agreement"/>
        <w:rPr>
          <w:highlight w:val="yellow"/>
          <w:lang w:eastAsia="zh-CN"/>
        </w:rPr>
      </w:pPr>
      <w:r w:rsidRPr="00E56270">
        <w:rPr>
          <w:highlight w:val="yellow"/>
          <w:lang w:eastAsia="zh-CN"/>
        </w:rPr>
        <w:t>Start by discussing spec/ran2 impact of the agreed cases/subcases and then discuss functionality granularity</w:t>
      </w:r>
    </w:p>
    <w:p w14:paraId="751343C4" w14:textId="77777777" w:rsidR="00016AFE" w:rsidRDefault="00016AFE" w:rsidP="00016AFE">
      <w:pPr>
        <w:pStyle w:val="Comments"/>
        <w:rPr>
          <w:b/>
          <w:bCs/>
          <w:i w:val="0"/>
          <w:iCs/>
          <w:sz w:val="20"/>
          <w:szCs w:val="28"/>
        </w:rPr>
      </w:pPr>
    </w:p>
    <w:p w14:paraId="1616E798" w14:textId="77777777" w:rsidR="00016AFE" w:rsidRPr="00DF79FC" w:rsidRDefault="00016AFE" w:rsidP="00016AFE">
      <w:pPr>
        <w:pStyle w:val="Agreement"/>
        <w:rPr>
          <w:rFonts w:eastAsiaTheme="minorEastAsia"/>
          <w:highlight w:val="green"/>
          <w:lang w:eastAsia="zh-CN"/>
        </w:rPr>
      </w:pPr>
      <w:r w:rsidRPr="00DF79FC">
        <w:rPr>
          <w:highlight w:val="green"/>
        </w:rPr>
        <w:t xml:space="preserve">The UE applies inference configuration for the applicable RRM measurement prediction and measurement event prediction upon receiving configuration via RRC.  As baseline, no dynamic </w:t>
      </w:r>
      <w:proofErr w:type="spellStart"/>
      <w:r w:rsidRPr="00DF79FC">
        <w:rPr>
          <w:highlight w:val="green"/>
        </w:rPr>
        <w:t>signaling</w:t>
      </w:r>
      <w:proofErr w:type="spellEnd"/>
      <w:r w:rsidRPr="00DF79FC">
        <w:rPr>
          <w:highlight w:val="green"/>
        </w:rPr>
        <w:t xml:space="preserve"> (e.g. L1/2) is required.    FFS when the UE can perform inference </w:t>
      </w:r>
    </w:p>
    <w:p w14:paraId="6628C730" w14:textId="77777777" w:rsidR="00016AFE" w:rsidRPr="00016AFE" w:rsidRDefault="00016AFE" w:rsidP="00016AFE">
      <w:pPr>
        <w:rPr>
          <w:rFonts w:hint="eastAsia"/>
          <w:lang w:val="en-GB"/>
        </w:rPr>
      </w:pPr>
    </w:p>
    <w:p w14:paraId="362C689B" w14:textId="77777777" w:rsidR="00016AFE" w:rsidRDefault="00016AFE" w:rsidP="00016AFE">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 xml:space="preserve">Agreements </w:t>
      </w:r>
    </w:p>
    <w:p w14:paraId="60B5C2AC" w14:textId="77777777" w:rsidR="00016AFE" w:rsidRPr="00DF79FC" w:rsidRDefault="00016AFE" w:rsidP="00016AFE">
      <w:pPr>
        <w:pStyle w:val="Agreement"/>
        <w:pBdr>
          <w:top w:val="single" w:sz="4" w:space="1" w:color="auto"/>
          <w:left w:val="single" w:sz="4" w:space="4" w:color="auto"/>
          <w:bottom w:val="single" w:sz="4" w:space="1" w:color="auto"/>
          <w:right w:val="single" w:sz="4" w:space="4" w:color="auto"/>
        </w:pBdr>
        <w:rPr>
          <w:highlight w:val="green"/>
        </w:rPr>
      </w:pPr>
      <w:r w:rsidRPr="00DF79FC">
        <w:rPr>
          <w:highlight w:val="green"/>
        </w:rPr>
        <w:t>For RRM prediction, UE sided model, the UE can be configured with periodic or event triggered reporting of predicted and/or actual RRM measurements.   FFS details</w:t>
      </w:r>
    </w:p>
    <w:p w14:paraId="37FA1B73" w14:textId="77777777" w:rsidR="00016AFE" w:rsidRPr="00DF79FC" w:rsidRDefault="00016AFE" w:rsidP="00016AFE">
      <w:pPr>
        <w:pStyle w:val="Agreement"/>
        <w:pBdr>
          <w:top w:val="single" w:sz="4" w:space="1" w:color="auto"/>
          <w:left w:val="single" w:sz="4" w:space="4" w:color="auto"/>
          <w:bottom w:val="single" w:sz="4" w:space="1" w:color="auto"/>
          <w:right w:val="single" w:sz="4" w:space="4" w:color="auto"/>
        </w:pBdr>
        <w:rPr>
          <w:highlight w:val="green"/>
        </w:rPr>
      </w:pPr>
      <w:r w:rsidRPr="00DF79FC">
        <w:rPr>
          <w:highlight w:val="green"/>
        </w:rPr>
        <w:lastRenderedPageBreak/>
        <w:t>For event prediction, UE-sided model, the UE can be configured with event-triggered reporting based on prediction and/or actual measurements.  FFS details</w:t>
      </w:r>
    </w:p>
    <w:p w14:paraId="10FBD1E3" w14:textId="77777777" w:rsidR="00016AFE" w:rsidRPr="00DE46B5" w:rsidRDefault="00016AFE" w:rsidP="00016AFE">
      <w:pPr>
        <w:pStyle w:val="Agreement"/>
        <w:pBdr>
          <w:top w:val="single" w:sz="4" w:space="1" w:color="auto"/>
          <w:left w:val="single" w:sz="4" w:space="4" w:color="auto"/>
          <w:bottom w:val="single" w:sz="4" w:space="1" w:color="auto"/>
          <w:right w:val="single" w:sz="4" w:space="4" w:color="auto"/>
        </w:pBdr>
        <w:rPr>
          <w:highlight w:val="green"/>
        </w:rPr>
      </w:pPr>
      <w:r w:rsidRPr="00DE46B5">
        <w:rPr>
          <w:highlight w:val="green"/>
        </w:rPr>
        <w:t>Baseline is that this applies to all A1-6 events, unless technical problems are identified.  Baseline quantity is RSRP.</w:t>
      </w:r>
    </w:p>
    <w:p w14:paraId="32EE1F63" w14:textId="77777777" w:rsidR="00291BBC" w:rsidRDefault="00291BBC">
      <w:pPr>
        <w:rPr>
          <w:rFonts w:hint="eastAsia"/>
          <w:lang w:val="en-GB"/>
        </w:rPr>
      </w:pPr>
    </w:p>
    <w:p w14:paraId="210AD0F9" w14:textId="77777777" w:rsidR="005A14E1" w:rsidRPr="002A525A" w:rsidRDefault="005A14E1" w:rsidP="005A14E1">
      <w:pPr>
        <w:pStyle w:val="Doc-text2"/>
        <w:pBdr>
          <w:top w:val="single" w:sz="4" w:space="1" w:color="auto"/>
          <w:left w:val="single" w:sz="4" w:space="4" w:color="auto"/>
          <w:bottom w:val="single" w:sz="4" w:space="1" w:color="auto"/>
          <w:right w:val="single" w:sz="4" w:space="4" w:color="auto"/>
        </w:pBdr>
        <w:rPr>
          <w:b/>
          <w:bCs/>
        </w:rPr>
      </w:pPr>
      <w:r w:rsidRPr="002A525A">
        <w:rPr>
          <w:b/>
          <w:bCs/>
        </w:rPr>
        <w:t xml:space="preserve">Agreements </w:t>
      </w:r>
    </w:p>
    <w:p w14:paraId="36FFB14E" w14:textId="77777777" w:rsidR="005A14E1" w:rsidRPr="00DF79FC" w:rsidRDefault="005A14E1" w:rsidP="005A14E1">
      <w:pPr>
        <w:pStyle w:val="Doc-text2"/>
        <w:numPr>
          <w:ilvl w:val="0"/>
          <w:numId w:val="3"/>
        </w:numPr>
        <w:pBdr>
          <w:top w:val="single" w:sz="4" w:space="1" w:color="auto"/>
          <w:left w:val="single" w:sz="4" w:space="4" w:color="auto"/>
          <w:bottom w:val="single" w:sz="4" w:space="1" w:color="auto"/>
          <w:right w:val="single" w:sz="4" w:space="4" w:color="auto"/>
        </w:pBdr>
        <w:rPr>
          <w:highlight w:val="green"/>
        </w:rPr>
      </w:pPr>
      <w:r w:rsidRPr="00DF79FC">
        <w:rPr>
          <w:highlight w:val="green"/>
        </w:rPr>
        <w:t>The inference configuration and reporting for AI/ML mobility can be based on RRM measurement framework</w:t>
      </w:r>
    </w:p>
    <w:p w14:paraId="0A41D6CE" w14:textId="77777777" w:rsidR="005A14E1" w:rsidRPr="00DF79FC" w:rsidRDefault="005A14E1" w:rsidP="005A14E1">
      <w:pPr>
        <w:pStyle w:val="Doc-text2"/>
        <w:numPr>
          <w:ilvl w:val="0"/>
          <w:numId w:val="3"/>
        </w:numPr>
        <w:pBdr>
          <w:top w:val="single" w:sz="4" w:space="1" w:color="auto"/>
          <w:left w:val="single" w:sz="4" w:space="4" w:color="auto"/>
          <w:bottom w:val="single" w:sz="4" w:space="1" w:color="auto"/>
          <w:right w:val="single" w:sz="4" w:space="4" w:color="auto"/>
        </w:pBdr>
        <w:rPr>
          <w:rFonts w:cs="Arial"/>
          <w:highlight w:val="yellow"/>
          <w:lang w:eastAsia="zh-CN"/>
        </w:rPr>
      </w:pPr>
      <w:r w:rsidRPr="00DF79FC">
        <w:rPr>
          <w:rFonts w:cs="Arial"/>
          <w:highlight w:val="yellow"/>
          <w:lang w:eastAsia="zh-CN"/>
        </w:rPr>
        <w:t xml:space="preserve">For AI/ML for mobility, UE can report the applicable functionalities to NW via UAI or </w:t>
      </w:r>
      <w:proofErr w:type="spellStart"/>
      <w:r w:rsidRPr="00DF79FC">
        <w:rPr>
          <w:rFonts w:cs="Arial"/>
          <w:highlight w:val="yellow"/>
          <w:lang w:eastAsia="zh-CN"/>
        </w:rPr>
        <w:t>RRCReconfigurationComplete</w:t>
      </w:r>
      <w:proofErr w:type="spellEnd"/>
      <w:r w:rsidRPr="00DF79FC">
        <w:rPr>
          <w:rFonts w:cs="Arial"/>
          <w:highlight w:val="yellow"/>
          <w:lang w:eastAsia="zh-CN"/>
        </w:rPr>
        <w:t xml:space="preserve"> message.</w:t>
      </w:r>
    </w:p>
    <w:p w14:paraId="1ADA4BAB" w14:textId="77777777" w:rsidR="005A14E1" w:rsidRPr="00DF79FC" w:rsidRDefault="005A14E1" w:rsidP="005A14E1">
      <w:pPr>
        <w:pStyle w:val="Doc-text2"/>
        <w:numPr>
          <w:ilvl w:val="0"/>
          <w:numId w:val="3"/>
        </w:numPr>
        <w:pBdr>
          <w:top w:val="single" w:sz="4" w:space="1" w:color="auto"/>
          <w:left w:val="single" w:sz="4" w:space="4" w:color="auto"/>
          <w:bottom w:val="single" w:sz="4" w:space="1" w:color="auto"/>
          <w:right w:val="single" w:sz="4" w:space="4" w:color="auto"/>
        </w:pBdr>
        <w:rPr>
          <w:rFonts w:cs="Arial"/>
          <w:highlight w:val="yellow"/>
          <w:lang w:eastAsia="zh-CN"/>
        </w:rPr>
      </w:pPr>
      <w:r w:rsidRPr="00DF79FC">
        <w:rPr>
          <w:rFonts w:cs="Arial"/>
          <w:highlight w:val="yellow"/>
          <w:lang w:eastAsia="zh-CN"/>
        </w:rPr>
        <w:t xml:space="preserve">FFS whether association ID is required and should provide motivation on </w:t>
      </w:r>
      <w:proofErr w:type="spellStart"/>
      <w:r w:rsidRPr="00DF79FC">
        <w:rPr>
          <w:rFonts w:cs="Arial"/>
          <w:highlight w:val="yellow"/>
          <w:lang w:eastAsia="zh-CN"/>
        </w:rPr>
        <w:t>per use</w:t>
      </w:r>
      <w:proofErr w:type="spellEnd"/>
      <w:r w:rsidRPr="00DF79FC">
        <w:rPr>
          <w:rFonts w:cs="Arial"/>
          <w:highlight w:val="yellow"/>
          <w:lang w:eastAsia="zh-CN"/>
        </w:rPr>
        <w:t xml:space="preserve"> case bases</w:t>
      </w:r>
    </w:p>
    <w:p w14:paraId="4395A6C1" w14:textId="77777777" w:rsidR="005A14E1" w:rsidRPr="00DF79FC" w:rsidRDefault="005A14E1" w:rsidP="005A14E1">
      <w:pPr>
        <w:pStyle w:val="Doc-text2"/>
        <w:numPr>
          <w:ilvl w:val="0"/>
          <w:numId w:val="3"/>
        </w:numPr>
        <w:pBdr>
          <w:top w:val="single" w:sz="4" w:space="1" w:color="auto"/>
          <w:left w:val="single" w:sz="4" w:space="4" w:color="auto"/>
          <w:bottom w:val="single" w:sz="4" w:space="1" w:color="auto"/>
          <w:right w:val="single" w:sz="4" w:space="4" w:color="auto"/>
        </w:pBdr>
        <w:rPr>
          <w:rFonts w:cs="Arial"/>
          <w:highlight w:val="yellow"/>
          <w:lang w:eastAsia="zh-CN"/>
        </w:rPr>
      </w:pPr>
      <w:r w:rsidRPr="00DF79FC">
        <w:rPr>
          <w:rFonts w:cs="Arial"/>
          <w:highlight w:val="yellow"/>
          <w:lang w:eastAsia="zh-CN"/>
        </w:rPr>
        <w:t xml:space="preserve">As a baseline, use the AI ML PHY NW-side data collection procedures, configuration and reporting framework.  </w:t>
      </w:r>
    </w:p>
    <w:p w14:paraId="5F2B0677" w14:textId="77777777" w:rsidR="005A14E1" w:rsidRDefault="005A14E1" w:rsidP="005A14E1">
      <w:pPr>
        <w:pStyle w:val="Doc-text2"/>
        <w:numPr>
          <w:ilvl w:val="0"/>
          <w:numId w:val="3"/>
        </w:numPr>
        <w:pBdr>
          <w:top w:val="single" w:sz="4" w:space="1" w:color="auto"/>
          <w:left w:val="single" w:sz="4" w:space="4" w:color="auto"/>
          <w:bottom w:val="single" w:sz="4" w:space="1" w:color="auto"/>
          <w:right w:val="single" w:sz="4" w:space="4" w:color="auto"/>
        </w:pBdr>
        <w:rPr>
          <w:rFonts w:cs="Arial"/>
          <w:lang w:eastAsia="zh-CN"/>
        </w:rPr>
      </w:pPr>
      <w:r w:rsidRPr="00E56270">
        <w:rPr>
          <w:rFonts w:cs="Arial"/>
          <w:highlight w:val="yellow"/>
          <w:lang w:eastAsia="zh-CN"/>
        </w:rPr>
        <w:t>Study UE side data collection configuration, taking AI ML PHY relevant procedure as baseline.</w:t>
      </w:r>
      <w:r>
        <w:rPr>
          <w:rFonts w:cs="Arial"/>
          <w:lang w:eastAsia="zh-CN"/>
        </w:rPr>
        <w:t xml:space="preserve">   </w:t>
      </w:r>
      <w:r w:rsidRPr="00DF79FC">
        <w:rPr>
          <w:rFonts w:cs="Arial"/>
          <w:highlight w:val="green"/>
          <w:lang w:eastAsia="zh-CN"/>
        </w:rPr>
        <w:t>Postpone UE side data collection transfer discussion until further progress is made in AI ML PHY in R20.</w:t>
      </w:r>
      <w:r>
        <w:rPr>
          <w:rFonts w:cs="Arial"/>
          <w:lang w:eastAsia="zh-CN"/>
        </w:rPr>
        <w:t xml:space="preserve"> </w:t>
      </w:r>
    </w:p>
    <w:p w14:paraId="10A3E098" w14:textId="77777777" w:rsidR="005A14E1" w:rsidRPr="00DF79FC" w:rsidRDefault="005A14E1" w:rsidP="005A14E1">
      <w:pPr>
        <w:pStyle w:val="Doc-text2"/>
        <w:numPr>
          <w:ilvl w:val="0"/>
          <w:numId w:val="3"/>
        </w:numPr>
        <w:pBdr>
          <w:top w:val="single" w:sz="4" w:space="1" w:color="auto"/>
          <w:left w:val="single" w:sz="4" w:space="4" w:color="auto"/>
          <w:bottom w:val="single" w:sz="4" w:space="1" w:color="auto"/>
          <w:right w:val="single" w:sz="4" w:space="4" w:color="auto"/>
        </w:pBdr>
        <w:rPr>
          <w:rFonts w:cs="Arial"/>
          <w:highlight w:val="green"/>
          <w:lang w:eastAsia="zh-CN"/>
        </w:rPr>
      </w:pPr>
      <w:r w:rsidRPr="00DF79FC">
        <w:rPr>
          <w:rFonts w:cs="Arial"/>
          <w:highlight w:val="green"/>
          <w:lang w:eastAsia="zh-CN"/>
        </w:rPr>
        <w:t xml:space="preserve">Model transfer will not be discussed in this study item </w:t>
      </w:r>
    </w:p>
    <w:p w14:paraId="79EBE721" w14:textId="77777777" w:rsidR="005A14E1" w:rsidRPr="00D35281" w:rsidRDefault="005A14E1" w:rsidP="005A14E1">
      <w:pPr>
        <w:pStyle w:val="Doc-text2"/>
        <w:pBdr>
          <w:top w:val="single" w:sz="4" w:space="1" w:color="auto"/>
          <w:left w:val="single" w:sz="4" w:space="4" w:color="auto"/>
          <w:bottom w:val="single" w:sz="4" w:space="1" w:color="auto"/>
          <w:right w:val="single" w:sz="4" w:space="4" w:color="auto"/>
        </w:pBdr>
      </w:pPr>
      <w:r>
        <w:t>7</w:t>
      </w:r>
      <w:r>
        <w:tab/>
      </w:r>
      <w:r w:rsidRPr="00C9307C">
        <w:rPr>
          <w:highlight w:val="yellow"/>
        </w:rPr>
        <w:t>For UE sided model, the performance monitoring considered in AIML air interface can be studied as a baseline for AIML aided mobility, i.e. NW-side and UE-sided performance monitoring.</w:t>
      </w:r>
      <w:r>
        <w:t xml:space="preserve">  </w:t>
      </w:r>
    </w:p>
    <w:p w14:paraId="6A0EDADE" w14:textId="77777777" w:rsidR="005A14E1" w:rsidRPr="00D35281" w:rsidRDefault="005A14E1" w:rsidP="005A14E1">
      <w:pPr>
        <w:pStyle w:val="Doc-text2"/>
        <w:pBdr>
          <w:top w:val="single" w:sz="4" w:space="1" w:color="auto"/>
          <w:left w:val="single" w:sz="4" w:space="4" w:color="auto"/>
          <w:bottom w:val="single" w:sz="4" w:space="1" w:color="auto"/>
          <w:right w:val="single" w:sz="4" w:space="4" w:color="auto"/>
        </w:pBdr>
      </w:pPr>
      <w:r>
        <w:tab/>
      </w:r>
      <w:r w:rsidRPr="006B5BD7">
        <w:rPr>
          <w:highlight w:val="yellow"/>
        </w:rPr>
        <w:t>FFS metrics per use case</w:t>
      </w:r>
    </w:p>
    <w:p w14:paraId="6C26A167" w14:textId="77777777" w:rsidR="005A14E1" w:rsidRDefault="005A14E1">
      <w:pPr>
        <w:rPr>
          <w:rFonts w:hint="eastAsia"/>
          <w:lang w:val="en-GB"/>
        </w:rPr>
      </w:pPr>
    </w:p>
    <w:p w14:paraId="28471FB6" w14:textId="0D3448A5" w:rsidR="00D33A1F" w:rsidRDefault="00D33A1F">
      <w:pPr>
        <w:rPr>
          <w:rFonts w:hint="eastAsia"/>
          <w:lang w:val="en-GB"/>
        </w:rPr>
      </w:pPr>
      <w:r>
        <w:rPr>
          <w:rFonts w:hint="eastAsia"/>
          <w:lang w:val="en-GB"/>
        </w:rPr>
        <w:t>RAN2#130:</w:t>
      </w:r>
    </w:p>
    <w:p w14:paraId="37F4FA91" w14:textId="77777777" w:rsidR="00D33A1F" w:rsidRDefault="00D33A1F">
      <w:pPr>
        <w:rPr>
          <w:rFonts w:hint="eastAsia"/>
          <w:lang w:val="en-GB"/>
        </w:rPr>
      </w:pPr>
    </w:p>
    <w:p w14:paraId="6C45DF25" w14:textId="77777777" w:rsidR="00D33A1F" w:rsidRPr="00B458A3" w:rsidRDefault="00D33A1F" w:rsidP="00D33A1F">
      <w:pPr>
        <w:pStyle w:val="Doc-text2"/>
        <w:pBdr>
          <w:top w:val="single" w:sz="4" w:space="1" w:color="auto"/>
          <w:left w:val="single" w:sz="4" w:space="4" w:color="auto"/>
          <w:bottom w:val="single" w:sz="4" w:space="1" w:color="auto"/>
          <w:right w:val="single" w:sz="4" w:space="4" w:color="auto"/>
        </w:pBdr>
        <w:rPr>
          <w:b/>
          <w:bCs/>
        </w:rPr>
      </w:pPr>
      <w:r w:rsidRPr="00B458A3">
        <w:rPr>
          <w:b/>
          <w:bCs/>
        </w:rPr>
        <w:t xml:space="preserve">Agreements </w:t>
      </w:r>
    </w:p>
    <w:p w14:paraId="4F8E8234" w14:textId="77777777" w:rsidR="00D33A1F" w:rsidRPr="00B458A3" w:rsidRDefault="00D33A1F" w:rsidP="00D33A1F">
      <w:pPr>
        <w:pStyle w:val="Doc-text2"/>
        <w:pBdr>
          <w:top w:val="single" w:sz="4" w:space="1" w:color="auto"/>
          <w:left w:val="single" w:sz="4" w:space="4" w:color="auto"/>
          <w:bottom w:val="single" w:sz="4" w:space="1" w:color="auto"/>
          <w:right w:val="single" w:sz="4" w:space="4" w:color="auto"/>
        </w:pBdr>
      </w:pPr>
      <w:r w:rsidRPr="00B458A3">
        <w:t>1</w:t>
      </w:r>
      <w:r w:rsidRPr="00B458A3">
        <w:tab/>
      </w:r>
      <w:r w:rsidRPr="00681FA1">
        <w:rPr>
          <w:highlight w:val="green"/>
        </w:rPr>
        <w:t>The scenario of intra-frequency spatial domain prediction (in cell dimension) is not considered by the UE-side model in 5G. RAN2 assumes that a network-sided model requires no specification impacts.     Intra-frequency spatial domain prediction (in cell dimension) involves measuring one or more cells as input to the model to derive L3 filtered cell-level measurements for the same time instance of another cell(s).</w:t>
      </w:r>
    </w:p>
    <w:p w14:paraId="2925F728" w14:textId="77777777" w:rsidR="00D33A1F" w:rsidRPr="00B458A3" w:rsidRDefault="00D33A1F" w:rsidP="00D33A1F">
      <w:pPr>
        <w:pStyle w:val="Doc-text2"/>
        <w:pBdr>
          <w:top w:val="single" w:sz="4" w:space="1" w:color="auto"/>
          <w:left w:val="single" w:sz="4" w:space="4" w:color="auto"/>
          <w:bottom w:val="single" w:sz="4" w:space="1" w:color="auto"/>
          <w:right w:val="single" w:sz="4" w:space="4" w:color="auto"/>
        </w:pBdr>
      </w:pPr>
      <w:r w:rsidRPr="00B458A3">
        <w:t>2</w:t>
      </w:r>
      <w:r w:rsidRPr="00B458A3">
        <w:tab/>
      </w:r>
      <w:r w:rsidRPr="00681FA1">
        <w:rPr>
          <w:highlight w:val="green"/>
        </w:rPr>
        <w:t>The specification impact of intra-frequency spatial domain prediction in beam dimension will be studied by RAN2 for both UE-side and network-side model.</w:t>
      </w:r>
      <w:r w:rsidRPr="00B458A3">
        <w:t xml:space="preserve"> </w:t>
      </w:r>
    </w:p>
    <w:p w14:paraId="683FA265" w14:textId="77777777" w:rsidR="00D33A1F" w:rsidRDefault="00D33A1F">
      <w:pPr>
        <w:rPr>
          <w:rFonts w:hint="eastAsia"/>
          <w:lang w:val="en-GB"/>
        </w:rPr>
      </w:pPr>
    </w:p>
    <w:p w14:paraId="476C558A" w14:textId="77777777" w:rsidR="00F00C3F" w:rsidRPr="00954EE5" w:rsidRDefault="00F00C3F" w:rsidP="00F00C3F">
      <w:pPr>
        <w:pStyle w:val="Doc-text2"/>
        <w:ind w:left="363"/>
        <w:jc w:val="both"/>
        <w:rPr>
          <w:b/>
          <w:bCs/>
        </w:rPr>
      </w:pPr>
      <w:r w:rsidRPr="00954EE5">
        <w:rPr>
          <w:b/>
          <w:bCs/>
        </w:rPr>
        <w:t xml:space="preserve">Agreements </w:t>
      </w:r>
    </w:p>
    <w:p w14:paraId="221A6680" w14:textId="77777777" w:rsidR="00F00C3F" w:rsidRDefault="00F00C3F" w:rsidP="00F00C3F">
      <w:pPr>
        <w:pStyle w:val="Doc-text2"/>
        <w:numPr>
          <w:ilvl w:val="0"/>
          <w:numId w:val="4"/>
        </w:numPr>
        <w:ind w:left="360"/>
        <w:jc w:val="both"/>
      </w:pPr>
      <w:r>
        <w:t xml:space="preserve">Use the beam management agreements as the baseline, including the following aspects (details can be updated after further progress is made in AI/ML PHY BM use case) </w:t>
      </w:r>
    </w:p>
    <w:p w14:paraId="69DB0E65" w14:textId="77777777" w:rsidR="00F00C3F" w:rsidRPr="00795AF2" w:rsidRDefault="00F00C3F" w:rsidP="00F00C3F">
      <w:pPr>
        <w:pStyle w:val="Doc-text2"/>
        <w:ind w:left="723"/>
        <w:jc w:val="both"/>
        <w:rPr>
          <w:highlight w:val="green"/>
        </w:rPr>
      </w:pPr>
      <w:r>
        <w:t>•</w:t>
      </w:r>
      <w:r>
        <w:tab/>
      </w:r>
      <w:r w:rsidRPr="00795AF2">
        <w:rPr>
          <w:highlight w:val="green"/>
        </w:rPr>
        <w:t>Consider Option A and Option B like scheme (if/when AI/ML PHY makes further progress)</w:t>
      </w:r>
    </w:p>
    <w:p w14:paraId="13C426FD" w14:textId="77777777" w:rsidR="00F00C3F" w:rsidRPr="00795AF2" w:rsidRDefault="00F00C3F" w:rsidP="00F00C3F">
      <w:pPr>
        <w:pStyle w:val="Doc-text2"/>
        <w:ind w:left="723"/>
        <w:jc w:val="both"/>
        <w:rPr>
          <w:highlight w:val="green"/>
        </w:rPr>
      </w:pPr>
      <w:r w:rsidRPr="00795AF2">
        <w:rPr>
          <w:highlight w:val="green"/>
        </w:rPr>
        <w:t>•</w:t>
      </w:r>
      <w:r w:rsidRPr="00795AF2">
        <w:rPr>
          <w:highlight w:val="green"/>
        </w:rPr>
        <w:tab/>
        <w:t xml:space="preserve">Upon receiving a full inference configuration, the UE sends the initial applicability report in </w:t>
      </w:r>
      <w:proofErr w:type="spellStart"/>
      <w:r w:rsidRPr="00795AF2">
        <w:rPr>
          <w:highlight w:val="green"/>
        </w:rPr>
        <w:t>RRCReconfigurationComplete</w:t>
      </w:r>
      <w:proofErr w:type="spellEnd"/>
      <w:r w:rsidRPr="00795AF2">
        <w:rPr>
          <w:highlight w:val="green"/>
        </w:rPr>
        <w:t>. UAI can be sent to update applicability.</w:t>
      </w:r>
    </w:p>
    <w:p w14:paraId="671879C5" w14:textId="77777777" w:rsidR="00F00C3F" w:rsidRPr="00795AF2" w:rsidRDefault="00F00C3F" w:rsidP="00F00C3F">
      <w:pPr>
        <w:pStyle w:val="Doc-text2"/>
        <w:ind w:left="723"/>
        <w:jc w:val="both"/>
        <w:rPr>
          <w:highlight w:val="green"/>
        </w:rPr>
      </w:pPr>
      <w:r w:rsidRPr="00795AF2">
        <w:rPr>
          <w:highlight w:val="green"/>
        </w:rPr>
        <w:lastRenderedPageBreak/>
        <w:t>•</w:t>
      </w:r>
      <w:r w:rsidRPr="00795AF2">
        <w:rPr>
          <w:highlight w:val="green"/>
        </w:rPr>
        <w:tab/>
        <w:t xml:space="preserve">Upon receiving one or more full inference configuration(s) via </w:t>
      </w:r>
      <w:proofErr w:type="spellStart"/>
      <w:r w:rsidRPr="00795AF2">
        <w:rPr>
          <w:highlight w:val="green"/>
        </w:rPr>
        <w:t>RRCReconfiguration</w:t>
      </w:r>
      <w:proofErr w:type="spellEnd"/>
      <w:r w:rsidRPr="00795AF2">
        <w:rPr>
          <w:highlight w:val="green"/>
        </w:rPr>
        <w:t xml:space="preserve"> message, UE shall maintain all the full inference configuration(s) no matter the full inference configuration is applicable or inapplicable until the network releases it explicitly.</w:t>
      </w:r>
    </w:p>
    <w:p w14:paraId="31046DCF" w14:textId="77777777" w:rsidR="00F00C3F" w:rsidRPr="00795AF2" w:rsidRDefault="00F00C3F" w:rsidP="00F00C3F">
      <w:pPr>
        <w:pStyle w:val="Doc-text2"/>
        <w:ind w:left="723"/>
        <w:jc w:val="both"/>
        <w:rPr>
          <w:highlight w:val="green"/>
        </w:rPr>
      </w:pPr>
      <w:r w:rsidRPr="00795AF2">
        <w:rPr>
          <w:highlight w:val="green"/>
        </w:rPr>
        <w:t>•</w:t>
      </w:r>
      <w:r w:rsidRPr="00795AF2">
        <w:rPr>
          <w:highlight w:val="green"/>
        </w:rPr>
        <w:tab/>
        <w:t>Support the explicit reporting of applicability/inapplicability in the initial report and subsequent reporting when the applicability changes.</w:t>
      </w:r>
    </w:p>
    <w:p w14:paraId="11F55F9D" w14:textId="77777777" w:rsidR="00F00C3F" w:rsidRPr="00795AF2" w:rsidRDefault="00F00C3F" w:rsidP="00F00C3F">
      <w:pPr>
        <w:pStyle w:val="Doc-text2"/>
        <w:ind w:left="723"/>
        <w:jc w:val="both"/>
        <w:rPr>
          <w:highlight w:val="green"/>
        </w:rPr>
      </w:pPr>
      <w:r w:rsidRPr="00795AF2">
        <w:rPr>
          <w:highlight w:val="green"/>
        </w:rPr>
        <w:t>•</w:t>
      </w:r>
      <w:r w:rsidRPr="00795AF2">
        <w:rPr>
          <w:highlight w:val="green"/>
        </w:rPr>
        <w:tab/>
        <w:t>Together with inapplicability reporting, UE further indicates a simple cause value of inapplicability (FFS pending AI/ML PHY progress).</w:t>
      </w:r>
    </w:p>
    <w:p w14:paraId="0D61D378" w14:textId="77777777" w:rsidR="00F00C3F" w:rsidRDefault="00F00C3F" w:rsidP="00F00C3F">
      <w:pPr>
        <w:pStyle w:val="Doc-text2"/>
        <w:ind w:left="723"/>
        <w:jc w:val="both"/>
      </w:pPr>
      <w:r w:rsidRPr="00795AF2">
        <w:rPr>
          <w:highlight w:val="green"/>
        </w:rPr>
        <w:t>•</w:t>
      </w:r>
      <w:r w:rsidRPr="00795AF2">
        <w:rPr>
          <w:highlight w:val="green"/>
        </w:rPr>
        <w:tab/>
        <w:t>No prohibit timer is introduced.</w:t>
      </w:r>
    </w:p>
    <w:p w14:paraId="7CFA565E" w14:textId="77777777" w:rsidR="00F00C3F" w:rsidRPr="00795AF2" w:rsidRDefault="00F00C3F" w:rsidP="00F00C3F">
      <w:pPr>
        <w:pStyle w:val="Agreement"/>
        <w:numPr>
          <w:ilvl w:val="0"/>
          <w:numId w:val="5"/>
        </w:numPr>
        <w:ind w:left="361"/>
        <w:jc w:val="both"/>
        <w:rPr>
          <w:b w:val="0"/>
          <w:bCs/>
          <w:highlight w:val="green"/>
        </w:rPr>
      </w:pPr>
      <w:r w:rsidRPr="00795AF2">
        <w:rPr>
          <w:b w:val="0"/>
          <w:bCs/>
          <w:highlight w:val="green"/>
        </w:rPr>
        <w:t xml:space="preserve">Associated ID should be optionally configurable for training </w:t>
      </w:r>
      <w:proofErr w:type="gramStart"/>
      <w:r w:rsidRPr="00795AF2">
        <w:rPr>
          <w:b w:val="0"/>
          <w:bCs/>
          <w:highlight w:val="green"/>
        </w:rPr>
        <w:t>and  inference</w:t>
      </w:r>
      <w:proofErr w:type="gramEnd"/>
      <w:r w:rsidRPr="00795AF2">
        <w:rPr>
          <w:b w:val="0"/>
          <w:bCs/>
          <w:highlight w:val="green"/>
        </w:rPr>
        <w:t xml:space="preserve"> (i.e. it may not mandatorily </w:t>
      </w:r>
      <w:proofErr w:type="gramStart"/>
      <w:r w:rsidRPr="00795AF2">
        <w:rPr>
          <w:b w:val="0"/>
          <w:bCs/>
          <w:highlight w:val="green"/>
        </w:rPr>
        <w:t>required</w:t>
      </w:r>
      <w:proofErr w:type="gramEnd"/>
      <w:r w:rsidRPr="00795AF2">
        <w:rPr>
          <w:b w:val="0"/>
          <w:bCs/>
          <w:highlight w:val="green"/>
        </w:rPr>
        <w:t xml:space="preserve"> for all training/inference configurations).  FFS for WI phase further details (what absence means, which use case, whether it is per cell or multiple cells/frequency, terminology).  </w:t>
      </w:r>
    </w:p>
    <w:p w14:paraId="467F8513" w14:textId="77777777" w:rsidR="00F00C3F" w:rsidRDefault="00F00C3F">
      <w:pPr>
        <w:rPr>
          <w:rFonts w:hint="eastAsia"/>
          <w:lang w:val="en-GB"/>
        </w:rPr>
      </w:pPr>
    </w:p>
    <w:p w14:paraId="4DBCC138" w14:textId="77777777" w:rsidR="00296E5B" w:rsidRPr="004D1AAA" w:rsidRDefault="00296E5B" w:rsidP="00296E5B">
      <w:pPr>
        <w:pStyle w:val="Doc-text2"/>
        <w:ind w:left="363"/>
        <w:jc w:val="both"/>
        <w:rPr>
          <w:b/>
          <w:bCs/>
        </w:rPr>
      </w:pPr>
      <w:r w:rsidRPr="004D1AAA">
        <w:rPr>
          <w:b/>
          <w:bCs/>
        </w:rPr>
        <w:t>Agreements</w:t>
      </w:r>
    </w:p>
    <w:p w14:paraId="5D4D6ED0" w14:textId="77777777" w:rsidR="00296E5B" w:rsidRPr="00795AF2" w:rsidRDefault="00296E5B" w:rsidP="00296E5B">
      <w:pPr>
        <w:pStyle w:val="Doc-text2"/>
        <w:numPr>
          <w:ilvl w:val="0"/>
          <w:numId w:val="6"/>
        </w:numPr>
        <w:jc w:val="both"/>
        <w:rPr>
          <w:highlight w:val="green"/>
        </w:rPr>
      </w:pPr>
      <w:r w:rsidRPr="00795AF2">
        <w:rPr>
          <w:highlight w:val="green"/>
        </w:rPr>
        <w:t>The following potential “inference parameters” can be considered for inference/measurement configuration, which provides the necessary information for UE to examine the applicability, it may contain</w:t>
      </w:r>
    </w:p>
    <w:p w14:paraId="7EA109DC" w14:textId="77777777" w:rsidR="00296E5B" w:rsidRPr="00795AF2" w:rsidRDefault="00296E5B" w:rsidP="00296E5B">
      <w:pPr>
        <w:pStyle w:val="Doc-text2"/>
        <w:ind w:left="723"/>
        <w:jc w:val="both"/>
        <w:rPr>
          <w:highlight w:val="green"/>
        </w:rPr>
      </w:pPr>
      <w:r w:rsidRPr="00795AF2">
        <w:rPr>
          <w:highlight w:val="green"/>
        </w:rPr>
        <w:t>• PW length (for temporal case A)</w:t>
      </w:r>
    </w:p>
    <w:p w14:paraId="03043722" w14:textId="77777777" w:rsidR="00296E5B" w:rsidRPr="00795AF2" w:rsidRDefault="00296E5B" w:rsidP="00296E5B">
      <w:pPr>
        <w:pStyle w:val="Doc-text2"/>
        <w:ind w:left="723"/>
        <w:jc w:val="both"/>
        <w:rPr>
          <w:highlight w:val="green"/>
        </w:rPr>
      </w:pPr>
      <w:r w:rsidRPr="00795AF2">
        <w:rPr>
          <w:highlight w:val="green"/>
        </w:rPr>
        <w:t xml:space="preserve">• Skipping pattern (e.g. SSB config that indicates SSBs transmitted) (optional).  MRRT (for temporal case </w:t>
      </w:r>
      <w:proofErr w:type="gramStart"/>
      <w:r w:rsidRPr="00795AF2">
        <w:rPr>
          <w:highlight w:val="green"/>
        </w:rPr>
        <w:t>B )</w:t>
      </w:r>
      <w:proofErr w:type="gramEnd"/>
      <w:r w:rsidRPr="00795AF2">
        <w:rPr>
          <w:highlight w:val="green"/>
        </w:rPr>
        <w:t xml:space="preserve"> not discussed in study item, but if RAN4 says otherwise can be considered in WI</w:t>
      </w:r>
    </w:p>
    <w:p w14:paraId="53C3D0B8" w14:textId="77777777" w:rsidR="00296E5B" w:rsidRPr="00795AF2" w:rsidRDefault="00296E5B" w:rsidP="00296E5B">
      <w:pPr>
        <w:pStyle w:val="Doc-text2"/>
        <w:ind w:left="723"/>
        <w:jc w:val="both"/>
        <w:rPr>
          <w:highlight w:val="green"/>
        </w:rPr>
      </w:pPr>
      <w:r w:rsidRPr="00795AF2">
        <w:rPr>
          <w:highlight w:val="green"/>
        </w:rPr>
        <w:t>• Measured and predicted beam pattern (optional).   MRRS (for spatial domain prediction) not discussed in study item, but if RAN4 says otherwise can be considered in WI</w:t>
      </w:r>
    </w:p>
    <w:p w14:paraId="1A2AF39F" w14:textId="77777777" w:rsidR="00296E5B" w:rsidRPr="00795AF2" w:rsidRDefault="00296E5B" w:rsidP="00296E5B">
      <w:pPr>
        <w:pStyle w:val="Doc-text2"/>
        <w:ind w:left="723"/>
        <w:jc w:val="both"/>
        <w:rPr>
          <w:highlight w:val="green"/>
        </w:rPr>
      </w:pPr>
      <w:r w:rsidRPr="00795AF2">
        <w:rPr>
          <w:highlight w:val="green"/>
        </w:rPr>
        <w:t>• Measured and predicted frequency (For inter-</w:t>
      </w:r>
      <w:proofErr w:type="spellStart"/>
      <w:r w:rsidRPr="00795AF2">
        <w:rPr>
          <w:highlight w:val="green"/>
        </w:rPr>
        <w:t>freq</w:t>
      </w:r>
      <w:proofErr w:type="spellEnd"/>
      <w:r w:rsidRPr="00795AF2">
        <w:rPr>
          <w:highlight w:val="green"/>
        </w:rPr>
        <w:t xml:space="preserve"> domain prediction)</w:t>
      </w:r>
    </w:p>
    <w:p w14:paraId="7CD0DDE5" w14:textId="77777777" w:rsidR="00296E5B" w:rsidRPr="00795AF2" w:rsidRDefault="00296E5B" w:rsidP="00296E5B">
      <w:pPr>
        <w:pStyle w:val="Doc-text2"/>
        <w:numPr>
          <w:ilvl w:val="0"/>
          <w:numId w:val="6"/>
        </w:numPr>
        <w:jc w:val="both"/>
        <w:rPr>
          <w:highlight w:val="green"/>
        </w:rPr>
      </w:pPr>
      <w:r w:rsidRPr="00795AF2">
        <w:rPr>
          <w:highlight w:val="green"/>
        </w:rPr>
        <w:t>Model related choices (i.e., cluster-based vs. cell-based, L1 filtering, RRM sub-use cases, OW length, direct vs. indirect) can be up to UE implementation unless a requirement is identified to specify them.</w:t>
      </w:r>
    </w:p>
    <w:p w14:paraId="67A603FD" w14:textId="77777777" w:rsidR="00296E5B" w:rsidRDefault="00296E5B">
      <w:pPr>
        <w:rPr>
          <w:rFonts w:hint="eastAsia"/>
          <w:lang w:val="en-GB"/>
        </w:rPr>
      </w:pPr>
    </w:p>
    <w:p w14:paraId="55345CB3" w14:textId="77777777" w:rsidR="005F3CD7" w:rsidRDefault="005F3CD7">
      <w:pPr>
        <w:rPr>
          <w:rFonts w:hint="eastAsia"/>
          <w:lang w:val="en-GB"/>
        </w:rPr>
      </w:pPr>
    </w:p>
    <w:p w14:paraId="6C67BEE9" w14:textId="77777777" w:rsidR="005F3CD7" w:rsidRPr="00F457F5" w:rsidRDefault="005F3CD7" w:rsidP="005F3CD7">
      <w:pPr>
        <w:pStyle w:val="Doc-text2"/>
        <w:pBdr>
          <w:top w:val="single" w:sz="4" w:space="1" w:color="auto"/>
          <w:left w:val="single" w:sz="4" w:space="4" w:color="auto"/>
          <w:bottom w:val="single" w:sz="4" w:space="1" w:color="auto"/>
          <w:right w:val="single" w:sz="4" w:space="4" w:color="auto"/>
        </w:pBdr>
        <w:rPr>
          <w:b/>
          <w:bCs/>
          <w:lang w:val="en-US"/>
        </w:rPr>
      </w:pPr>
      <w:r w:rsidRPr="00F457F5">
        <w:rPr>
          <w:b/>
          <w:bCs/>
          <w:lang w:val="en-US"/>
        </w:rPr>
        <w:t xml:space="preserve">Agreements </w:t>
      </w:r>
    </w:p>
    <w:p w14:paraId="6313CEE7" w14:textId="77777777" w:rsidR="005F3CD7" w:rsidRPr="00795AF2" w:rsidRDefault="005F3CD7" w:rsidP="005F3CD7">
      <w:pPr>
        <w:pStyle w:val="Doc-text2"/>
        <w:numPr>
          <w:ilvl w:val="0"/>
          <w:numId w:val="7"/>
        </w:numPr>
        <w:pBdr>
          <w:top w:val="single" w:sz="4" w:space="1" w:color="auto"/>
          <w:left w:val="single" w:sz="4" w:space="4" w:color="auto"/>
          <w:bottom w:val="single" w:sz="4" w:space="1" w:color="auto"/>
          <w:right w:val="single" w:sz="4" w:space="4" w:color="auto"/>
        </w:pBdr>
        <w:rPr>
          <w:highlight w:val="green"/>
        </w:rPr>
      </w:pPr>
      <w:r w:rsidRPr="00795AF2">
        <w:rPr>
          <w:highlight w:val="green"/>
        </w:rPr>
        <w:t xml:space="preserve">For network-side RRM measurement prediction, the legacy RRM measurement configuration and RRM measurement reporting framework can be used.   For L1-filtered beam-level RSRP reporting can be configured by setting co-efficient to zero.   FFS if there are specification impacts to support subcase 1 and 3 (if supported) and interference for cell level prediction.  </w:t>
      </w:r>
    </w:p>
    <w:p w14:paraId="09F5613E" w14:textId="77777777" w:rsidR="005F3CD7" w:rsidRPr="00795AF2" w:rsidRDefault="005F3CD7" w:rsidP="005F3CD7">
      <w:pPr>
        <w:pStyle w:val="Doc-text2"/>
        <w:numPr>
          <w:ilvl w:val="0"/>
          <w:numId w:val="7"/>
        </w:numPr>
        <w:pBdr>
          <w:top w:val="single" w:sz="4" w:space="1" w:color="auto"/>
          <w:left w:val="single" w:sz="4" w:space="4" w:color="auto"/>
          <w:bottom w:val="single" w:sz="4" w:space="1" w:color="auto"/>
          <w:right w:val="single" w:sz="4" w:space="4" w:color="auto"/>
        </w:pBdr>
        <w:rPr>
          <w:highlight w:val="green"/>
          <w:lang w:val="en-US"/>
        </w:rPr>
      </w:pPr>
      <w:r w:rsidRPr="00795AF2">
        <w:rPr>
          <w:highlight w:val="green"/>
          <w:lang w:val="en-US"/>
        </w:rPr>
        <w:t xml:space="preserve">To support cell/beam level prediction, one </w:t>
      </w:r>
      <w:proofErr w:type="gramStart"/>
      <w:r w:rsidRPr="00795AF2">
        <w:rPr>
          <w:highlight w:val="green"/>
          <w:lang w:val="en-US"/>
        </w:rPr>
        <w:t>enhancements</w:t>
      </w:r>
      <w:proofErr w:type="gramEnd"/>
      <w:r w:rsidRPr="00795AF2">
        <w:rPr>
          <w:highlight w:val="green"/>
          <w:lang w:val="en-US"/>
        </w:rPr>
        <w:t xml:space="preserve"> is to report RRM measurement results per cell at multiple time instances in one measurement report for NW-sided model.</w:t>
      </w:r>
    </w:p>
    <w:p w14:paraId="1215E10F" w14:textId="77777777" w:rsidR="005F3CD7" w:rsidRDefault="005F3CD7">
      <w:pPr>
        <w:rPr>
          <w:rFonts w:hint="eastAsia"/>
        </w:rPr>
      </w:pPr>
    </w:p>
    <w:p w14:paraId="0426E309" w14:textId="77777777" w:rsidR="005F3CD7" w:rsidRDefault="005F3CD7" w:rsidP="005F3CD7">
      <w:pPr>
        <w:pStyle w:val="Doc-text2"/>
        <w:ind w:left="0" w:firstLine="0"/>
        <w:jc w:val="both"/>
        <w:rPr>
          <w:b/>
          <w:bCs/>
        </w:rPr>
      </w:pPr>
      <w:r w:rsidRPr="002E3E17">
        <w:rPr>
          <w:b/>
          <w:bCs/>
        </w:rPr>
        <w:t>Agreements</w:t>
      </w:r>
    </w:p>
    <w:p w14:paraId="62E087A4" w14:textId="77777777" w:rsidR="005F3CD7" w:rsidRPr="00795AF2" w:rsidRDefault="005F3CD7" w:rsidP="005F3CD7">
      <w:pPr>
        <w:pStyle w:val="Doc-text2"/>
        <w:ind w:left="363"/>
        <w:jc w:val="both"/>
        <w:rPr>
          <w:highlight w:val="green"/>
        </w:rPr>
      </w:pPr>
      <w:r w:rsidRPr="00795AF2">
        <w:rPr>
          <w:highlight w:val="green"/>
        </w:rPr>
        <w:t>For the collection of data for the training of a network-sided model for RRM measurement prediction:</w:t>
      </w:r>
    </w:p>
    <w:p w14:paraId="5AC08155" w14:textId="77777777" w:rsidR="005F3CD7" w:rsidRPr="00795AF2" w:rsidRDefault="005F3CD7" w:rsidP="005F3CD7">
      <w:pPr>
        <w:pStyle w:val="Doc-text2"/>
        <w:numPr>
          <w:ilvl w:val="0"/>
          <w:numId w:val="9"/>
        </w:numPr>
        <w:ind w:left="720"/>
        <w:jc w:val="both"/>
        <w:rPr>
          <w:highlight w:val="green"/>
        </w:rPr>
      </w:pPr>
      <w:r w:rsidRPr="00795AF2">
        <w:rPr>
          <w:highlight w:val="green"/>
        </w:rPr>
        <w:lastRenderedPageBreak/>
        <w:t>UE can be configured to log, at a certain logging periodicity, one or more of the following:</w:t>
      </w:r>
    </w:p>
    <w:p w14:paraId="262E8328" w14:textId="77777777" w:rsidR="005F3CD7" w:rsidRPr="00795AF2" w:rsidRDefault="005F3CD7" w:rsidP="005F3CD7">
      <w:pPr>
        <w:pStyle w:val="Doc-text2"/>
        <w:numPr>
          <w:ilvl w:val="0"/>
          <w:numId w:val="8"/>
        </w:numPr>
        <w:ind w:left="1080"/>
        <w:jc w:val="both"/>
        <w:rPr>
          <w:highlight w:val="green"/>
        </w:rPr>
      </w:pPr>
      <w:r w:rsidRPr="00795AF2">
        <w:rPr>
          <w:highlight w:val="green"/>
        </w:rPr>
        <w:t xml:space="preserve">L3 cell level measurements, </w:t>
      </w:r>
    </w:p>
    <w:p w14:paraId="616A50DF" w14:textId="77777777" w:rsidR="005F3CD7" w:rsidRPr="00795AF2" w:rsidRDefault="005F3CD7" w:rsidP="005F3CD7">
      <w:pPr>
        <w:pStyle w:val="Doc-text2"/>
        <w:numPr>
          <w:ilvl w:val="0"/>
          <w:numId w:val="8"/>
        </w:numPr>
        <w:ind w:left="1080"/>
        <w:jc w:val="both"/>
        <w:rPr>
          <w:highlight w:val="green"/>
        </w:rPr>
      </w:pPr>
      <w:r w:rsidRPr="00795AF2">
        <w:rPr>
          <w:highlight w:val="green"/>
        </w:rPr>
        <w:t>L3 beam level measurements,</w:t>
      </w:r>
    </w:p>
    <w:p w14:paraId="46AD75D2" w14:textId="77777777" w:rsidR="005F3CD7" w:rsidRPr="00795AF2" w:rsidRDefault="005F3CD7" w:rsidP="005F3CD7">
      <w:pPr>
        <w:pStyle w:val="Doc-text2"/>
        <w:numPr>
          <w:ilvl w:val="0"/>
          <w:numId w:val="8"/>
        </w:numPr>
        <w:ind w:left="1080"/>
        <w:jc w:val="both"/>
        <w:rPr>
          <w:highlight w:val="green"/>
        </w:rPr>
      </w:pPr>
      <w:r w:rsidRPr="00795AF2">
        <w:rPr>
          <w:highlight w:val="green"/>
        </w:rPr>
        <w:t>L1-filtered beam level measurements (if sub-case 1 and 3 is supported)</w:t>
      </w:r>
    </w:p>
    <w:p w14:paraId="078DC7F8" w14:textId="77777777" w:rsidR="005F3CD7" w:rsidRPr="00795AF2" w:rsidRDefault="005F3CD7" w:rsidP="005F3CD7">
      <w:pPr>
        <w:pStyle w:val="Doc-text2"/>
        <w:numPr>
          <w:ilvl w:val="0"/>
          <w:numId w:val="8"/>
        </w:numPr>
        <w:ind w:left="1080"/>
        <w:jc w:val="both"/>
        <w:rPr>
          <w:highlight w:val="green"/>
        </w:rPr>
      </w:pPr>
      <w:r w:rsidRPr="00795AF2">
        <w:rPr>
          <w:highlight w:val="green"/>
        </w:rPr>
        <w:t xml:space="preserve">Cell ID (FFS CGI of serving cell.  If CGI is unavailable, or for </w:t>
      </w:r>
      <w:proofErr w:type="spellStart"/>
      <w:r w:rsidRPr="00795AF2">
        <w:rPr>
          <w:highlight w:val="green"/>
        </w:rPr>
        <w:t>neighboring</w:t>
      </w:r>
      <w:proofErr w:type="spellEnd"/>
      <w:r w:rsidRPr="00795AF2">
        <w:rPr>
          <w:highlight w:val="green"/>
        </w:rPr>
        <w:t xml:space="preserve"> cells the UE logs PCI-ARFCN as a fallback)</w:t>
      </w:r>
    </w:p>
    <w:p w14:paraId="653D1DED" w14:textId="77777777" w:rsidR="005F3CD7" w:rsidRPr="00795AF2" w:rsidRDefault="005F3CD7" w:rsidP="005F3CD7">
      <w:pPr>
        <w:pStyle w:val="Doc-text2"/>
        <w:numPr>
          <w:ilvl w:val="0"/>
          <w:numId w:val="8"/>
        </w:numPr>
        <w:ind w:left="1080"/>
        <w:jc w:val="both"/>
        <w:rPr>
          <w:highlight w:val="green"/>
        </w:rPr>
      </w:pPr>
      <w:r w:rsidRPr="00795AF2">
        <w:rPr>
          <w:highlight w:val="green"/>
        </w:rPr>
        <w:t xml:space="preserve">Time info (if as agreed by AI/ML and/or if needed) </w:t>
      </w:r>
    </w:p>
    <w:p w14:paraId="74B20D13" w14:textId="77777777" w:rsidR="005F3CD7" w:rsidRPr="00795AF2" w:rsidRDefault="005F3CD7" w:rsidP="005F3CD7">
      <w:pPr>
        <w:pStyle w:val="Doc-text2"/>
        <w:numPr>
          <w:ilvl w:val="0"/>
          <w:numId w:val="9"/>
        </w:numPr>
        <w:ind w:left="720"/>
        <w:jc w:val="both"/>
        <w:rPr>
          <w:highlight w:val="green"/>
        </w:rPr>
      </w:pPr>
      <w:r w:rsidRPr="00795AF2">
        <w:rPr>
          <w:highlight w:val="green"/>
        </w:rPr>
        <w:t xml:space="preserve">The UE configuration is provided via the RRM measurement framework. Whether we reuse existing </w:t>
      </w:r>
      <w:proofErr w:type="spellStart"/>
      <w:r w:rsidRPr="00795AF2">
        <w:rPr>
          <w:highlight w:val="green"/>
        </w:rPr>
        <w:t>measconfig</w:t>
      </w:r>
      <w:proofErr w:type="spellEnd"/>
      <w:r w:rsidRPr="00795AF2">
        <w:rPr>
          <w:highlight w:val="green"/>
        </w:rPr>
        <w:t xml:space="preserve"> structure or </w:t>
      </w:r>
      <w:proofErr w:type="gramStart"/>
      <w:r w:rsidRPr="00795AF2">
        <w:rPr>
          <w:highlight w:val="green"/>
        </w:rPr>
        <w:t>we need</w:t>
      </w:r>
      <w:proofErr w:type="gramEnd"/>
      <w:r w:rsidRPr="00795AF2">
        <w:rPr>
          <w:highlight w:val="green"/>
        </w:rPr>
        <w:t xml:space="preserve"> a separate data logging configuration is for WI phase.   Required enhancements are FFS.</w:t>
      </w:r>
    </w:p>
    <w:p w14:paraId="6DAC7508" w14:textId="77777777" w:rsidR="005F3CD7" w:rsidRPr="00795AF2" w:rsidRDefault="005F3CD7" w:rsidP="005F3CD7">
      <w:pPr>
        <w:pStyle w:val="Doc-text2"/>
        <w:numPr>
          <w:ilvl w:val="0"/>
          <w:numId w:val="9"/>
        </w:numPr>
        <w:ind w:left="720"/>
        <w:jc w:val="both"/>
        <w:rPr>
          <w:highlight w:val="green"/>
        </w:rPr>
      </w:pPr>
      <w:r w:rsidRPr="00795AF2">
        <w:rPr>
          <w:highlight w:val="green"/>
        </w:rPr>
        <w:t xml:space="preserve">The UE can be configured with a L3 event for determining when logging is to be performed. When the event conditions are fulfilled, it performs the logging with the logging periodicity.   </w:t>
      </w:r>
    </w:p>
    <w:p w14:paraId="0C1299BD" w14:textId="77777777" w:rsidR="005F3CD7" w:rsidRPr="00795AF2" w:rsidRDefault="005F3CD7" w:rsidP="005F3CD7">
      <w:pPr>
        <w:pStyle w:val="Doc-text2"/>
        <w:numPr>
          <w:ilvl w:val="0"/>
          <w:numId w:val="9"/>
        </w:numPr>
        <w:ind w:left="720"/>
        <w:jc w:val="both"/>
        <w:rPr>
          <w:highlight w:val="green"/>
        </w:rPr>
      </w:pPr>
      <w:r w:rsidRPr="00795AF2">
        <w:rPr>
          <w:highlight w:val="green"/>
        </w:rPr>
        <w:t xml:space="preserve">The UE sends availability indication of collected logged data via UAI or </w:t>
      </w:r>
      <w:proofErr w:type="spellStart"/>
      <w:r w:rsidRPr="00795AF2">
        <w:rPr>
          <w:highlight w:val="green"/>
        </w:rPr>
        <w:t>RRCReconfigurationComplete</w:t>
      </w:r>
      <w:proofErr w:type="spellEnd"/>
      <w:r w:rsidRPr="00795AF2">
        <w:rPr>
          <w:highlight w:val="green"/>
        </w:rPr>
        <w:t xml:space="preserve"> message for HO case.</w:t>
      </w:r>
    </w:p>
    <w:p w14:paraId="40A09571" w14:textId="77777777" w:rsidR="005F3CD7" w:rsidRPr="00795AF2" w:rsidRDefault="005F3CD7" w:rsidP="005F3CD7">
      <w:pPr>
        <w:pStyle w:val="Doc-text2"/>
        <w:numPr>
          <w:ilvl w:val="0"/>
          <w:numId w:val="9"/>
        </w:numPr>
        <w:ind w:left="720"/>
        <w:jc w:val="both"/>
        <w:rPr>
          <w:highlight w:val="green"/>
        </w:rPr>
      </w:pPr>
      <w:r w:rsidRPr="00795AF2">
        <w:rPr>
          <w:highlight w:val="green"/>
        </w:rPr>
        <w:t>The availability indication can be triggered due to:</w:t>
      </w:r>
    </w:p>
    <w:p w14:paraId="6B91E937" w14:textId="77777777" w:rsidR="005F3CD7" w:rsidRPr="00795AF2" w:rsidRDefault="005F3CD7" w:rsidP="005F3CD7">
      <w:pPr>
        <w:pStyle w:val="Doc-text2"/>
        <w:numPr>
          <w:ilvl w:val="0"/>
          <w:numId w:val="8"/>
        </w:numPr>
        <w:ind w:left="1080"/>
        <w:jc w:val="both"/>
        <w:rPr>
          <w:highlight w:val="green"/>
        </w:rPr>
      </w:pPr>
      <w:r w:rsidRPr="00795AF2">
        <w:rPr>
          <w:highlight w:val="green"/>
        </w:rPr>
        <w:t>full buffer being reached (if configured), (FFS if buffer is per use case)</w:t>
      </w:r>
    </w:p>
    <w:p w14:paraId="57ACC2AA" w14:textId="77777777" w:rsidR="005F3CD7" w:rsidRPr="00795AF2" w:rsidRDefault="005F3CD7" w:rsidP="005F3CD7">
      <w:pPr>
        <w:pStyle w:val="Doc-text2"/>
        <w:numPr>
          <w:ilvl w:val="0"/>
          <w:numId w:val="8"/>
        </w:numPr>
        <w:ind w:left="1080"/>
        <w:jc w:val="both"/>
        <w:rPr>
          <w:highlight w:val="green"/>
        </w:rPr>
      </w:pPr>
      <w:r w:rsidRPr="00795AF2">
        <w:rPr>
          <w:highlight w:val="green"/>
        </w:rPr>
        <w:t>buffer threshold being reached (if configured), or (FFS if buffer is per use case)</w:t>
      </w:r>
    </w:p>
    <w:p w14:paraId="19B4CBF3" w14:textId="77777777" w:rsidR="005F3CD7" w:rsidRPr="00795AF2" w:rsidRDefault="005F3CD7" w:rsidP="005F3CD7">
      <w:pPr>
        <w:pStyle w:val="Doc-text2"/>
        <w:numPr>
          <w:ilvl w:val="0"/>
          <w:numId w:val="8"/>
        </w:numPr>
        <w:ind w:left="1080"/>
        <w:jc w:val="both"/>
        <w:rPr>
          <w:highlight w:val="green"/>
        </w:rPr>
      </w:pPr>
      <w:r w:rsidRPr="00795AF2">
        <w:rPr>
          <w:highlight w:val="green"/>
        </w:rPr>
        <w:t>low power (if configured)</w:t>
      </w:r>
    </w:p>
    <w:p w14:paraId="4800FB19" w14:textId="77777777" w:rsidR="005F3CD7" w:rsidRPr="00795AF2" w:rsidRDefault="005F3CD7" w:rsidP="005F3CD7">
      <w:pPr>
        <w:pStyle w:val="Doc-text2"/>
        <w:numPr>
          <w:ilvl w:val="0"/>
          <w:numId w:val="9"/>
        </w:numPr>
        <w:ind w:left="720"/>
        <w:jc w:val="both"/>
        <w:rPr>
          <w:highlight w:val="green"/>
        </w:rPr>
      </w:pPr>
      <w:r w:rsidRPr="00795AF2">
        <w:rPr>
          <w:highlight w:val="green"/>
        </w:rPr>
        <w:t>Upon sending the availability indication, UE indicates:</w:t>
      </w:r>
    </w:p>
    <w:p w14:paraId="68ADD568" w14:textId="77777777" w:rsidR="005F3CD7" w:rsidRPr="00795AF2" w:rsidRDefault="005F3CD7" w:rsidP="005F3CD7">
      <w:pPr>
        <w:pStyle w:val="Doc-text2"/>
        <w:numPr>
          <w:ilvl w:val="0"/>
          <w:numId w:val="8"/>
        </w:numPr>
        <w:ind w:left="1080"/>
        <w:jc w:val="both"/>
        <w:rPr>
          <w:highlight w:val="green"/>
        </w:rPr>
      </w:pPr>
      <w:r w:rsidRPr="00795AF2">
        <w:rPr>
          <w:highlight w:val="green"/>
        </w:rPr>
        <w:t>Data is available</w:t>
      </w:r>
    </w:p>
    <w:p w14:paraId="6FE0E320" w14:textId="77777777" w:rsidR="005F3CD7" w:rsidRPr="00795AF2" w:rsidRDefault="005F3CD7" w:rsidP="005F3CD7">
      <w:pPr>
        <w:pStyle w:val="Doc-text2"/>
        <w:numPr>
          <w:ilvl w:val="0"/>
          <w:numId w:val="8"/>
        </w:numPr>
        <w:ind w:left="1080"/>
        <w:jc w:val="both"/>
        <w:rPr>
          <w:highlight w:val="green"/>
        </w:rPr>
      </w:pPr>
      <w:r w:rsidRPr="00795AF2">
        <w:rPr>
          <w:highlight w:val="green"/>
        </w:rPr>
        <w:t>Reason for the triggering of the availability indication (full buffer. Threshold)</w:t>
      </w:r>
    </w:p>
    <w:p w14:paraId="2176357E" w14:textId="77777777" w:rsidR="005F3CD7" w:rsidRPr="00795AF2" w:rsidRDefault="005F3CD7" w:rsidP="005F3CD7">
      <w:pPr>
        <w:pStyle w:val="Doc-text2"/>
        <w:numPr>
          <w:ilvl w:val="0"/>
          <w:numId w:val="8"/>
        </w:numPr>
        <w:ind w:left="1080"/>
        <w:jc w:val="both"/>
        <w:rPr>
          <w:highlight w:val="green"/>
        </w:rPr>
      </w:pPr>
      <w:r w:rsidRPr="00795AF2">
        <w:rPr>
          <w:highlight w:val="green"/>
        </w:rPr>
        <w:t>Low power indication</w:t>
      </w:r>
    </w:p>
    <w:p w14:paraId="4EEEE7C8" w14:textId="77777777" w:rsidR="005F3CD7" w:rsidRPr="00795AF2" w:rsidRDefault="005F3CD7" w:rsidP="005F3CD7">
      <w:pPr>
        <w:pStyle w:val="Doc-text2"/>
        <w:numPr>
          <w:ilvl w:val="0"/>
          <w:numId w:val="9"/>
        </w:numPr>
        <w:ind w:left="720"/>
        <w:jc w:val="both"/>
        <w:rPr>
          <w:highlight w:val="green"/>
        </w:rPr>
      </w:pPr>
      <w:r w:rsidRPr="00795AF2">
        <w:rPr>
          <w:highlight w:val="green"/>
        </w:rPr>
        <w:t xml:space="preserve">The UE sends the collected data upon explicit/on-demand request from the network (using </w:t>
      </w:r>
      <w:proofErr w:type="spellStart"/>
      <w:r w:rsidRPr="00795AF2">
        <w:rPr>
          <w:highlight w:val="green"/>
        </w:rPr>
        <w:t>UEInformationRequest</w:t>
      </w:r>
      <w:proofErr w:type="spellEnd"/>
      <w:r w:rsidRPr="00795AF2">
        <w:rPr>
          <w:highlight w:val="green"/>
        </w:rPr>
        <w:t xml:space="preserve">/Response </w:t>
      </w:r>
      <w:proofErr w:type="spellStart"/>
      <w:r w:rsidRPr="00795AF2">
        <w:rPr>
          <w:highlight w:val="green"/>
        </w:rPr>
        <w:t>signaling</w:t>
      </w:r>
      <w:proofErr w:type="spellEnd"/>
      <w:r w:rsidRPr="00795AF2">
        <w:rPr>
          <w:highlight w:val="green"/>
        </w:rPr>
        <w:t>)</w:t>
      </w:r>
    </w:p>
    <w:p w14:paraId="3E3EC8A9" w14:textId="77777777" w:rsidR="005F3CD7" w:rsidRPr="00795AF2" w:rsidRDefault="005F3CD7" w:rsidP="005F3CD7">
      <w:pPr>
        <w:pStyle w:val="Doc-text2"/>
        <w:numPr>
          <w:ilvl w:val="0"/>
          <w:numId w:val="9"/>
        </w:numPr>
        <w:ind w:left="720"/>
        <w:jc w:val="both"/>
        <w:rPr>
          <w:highlight w:val="green"/>
        </w:rPr>
      </w:pPr>
      <w:r w:rsidRPr="00795AF2">
        <w:rPr>
          <w:highlight w:val="green"/>
        </w:rPr>
        <w:t>The UE keeps the collected data upon HO, unless explicitly indicated to release it by the network (e.g., during HO).</w:t>
      </w:r>
    </w:p>
    <w:p w14:paraId="09A4CF8B" w14:textId="77777777" w:rsidR="005F3CD7" w:rsidRPr="00795AF2" w:rsidRDefault="005F3CD7" w:rsidP="005F3CD7">
      <w:pPr>
        <w:pStyle w:val="Doc-text2"/>
        <w:numPr>
          <w:ilvl w:val="0"/>
          <w:numId w:val="9"/>
        </w:numPr>
        <w:ind w:left="720"/>
        <w:jc w:val="both"/>
        <w:rPr>
          <w:highlight w:val="green"/>
        </w:rPr>
      </w:pPr>
      <w:r w:rsidRPr="00795AF2">
        <w:rPr>
          <w:highlight w:val="green"/>
        </w:rPr>
        <w:t>The UE releases the collected data upon transitioning to IDLE/INACTIVE</w:t>
      </w:r>
    </w:p>
    <w:p w14:paraId="12BABA4D" w14:textId="77777777" w:rsidR="005F3CD7" w:rsidRPr="00795AF2" w:rsidRDefault="005F3CD7" w:rsidP="005F3CD7">
      <w:pPr>
        <w:pStyle w:val="Doc-text2"/>
        <w:numPr>
          <w:ilvl w:val="0"/>
          <w:numId w:val="9"/>
        </w:numPr>
        <w:ind w:left="720"/>
        <w:jc w:val="both"/>
        <w:rPr>
          <w:highlight w:val="green"/>
        </w:rPr>
      </w:pPr>
      <w:r w:rsidRPr="00795AF2">
        <w:rPr>
          <w:highlight w:val="green"/>
        </w:rPr>
        <w:t>For RLF case, capture in the TR that for mobility keeping the data during RLF can be beneficial.   It can be up to WI phase if this is done depending on whether a simple solution can be found</w:t>
      </w:r>
    </w:p>
    <w:p w14:paraId="77DF7AEF" w14:textId="62C8765C" w:rsidR="005F3CD7" w:rsidRDefault="005F3CD7" w:rsidP="005F3CD7">
      <w:pPr>
        <w:rPr>
          <w:rFonts w:hint="eastAsia"/>
        </w:rPr>
      </w:pPr>
      <w:r w:rsidRPr="00795AF2">
        <w:rPr>
          <w:highlight w:val="green"/>
        </w:rPr>
        <w:t>For UE sided data collection – use AI/ML PHY request/configuration framework as baseline.  FFS enhancements/or differences</w:t>
      </w:r>
    </w:p>
    <w:p w14:paraId="735AA4E3" w14:textId="77777777" w:rsidR="001230F2" w:rsidRDefault="001230F2" w:rsidP="005F3CD7">
      <w:pPr>
        <w:rPr>
          <w:rFonts w:hint="eastAsia"/>
        </w:rPr>
      </w:pPr>
    </w:p>
    <w:p w14:paraId="4EF20B37" w14:textId="77777777" w:rsidR="001230F2" w:rsidRDefault="001230F2" w:rsidP="005F3CD7">
      <w:pPr>
        <w:rPr>
          <w:rFonts w:hint="eastAsia"/>
        </w:rPr>
      </w:pPr>
    </w:p>
    <w:p w14:paraId="77663C94" w14:textId="77777777" w:rsidR="001230F2" w:rsidRDefault="001230F2" w:rsidP="005F3CD7">
      <w:pPr>
        <w:rPr>
          <w:rFonts w:hint="eastAsia"/>
        </w:rPr>
      </w:pPr>
    </w:p>
    <w:p w14:paraId="63D7567C" w14:textId="77777777" w:rsidR="001230F2" w:rsidRPr="00795AF2" w:rsidRDefault="001230F2" w:rsidP="001230F2">
      <w:pPr>
        <w:pStyle w:val="Agreement"/>
        <w:ind w:left="1620"/>
        <w:rPr>
          <w:highlight w:val="green"/>
        </w:rPr>
      </w:pPr>
      <w:r w:rsidRPr="00795AF2">
        <w:rPr>
          <w:highlight w:val="green"/>
        </w:rPr>
        <w:t>Capture in the TR that for mobility keeping the data during RLF can be beneficial.   It can be up to WI phase if this is done depending on whether a simple solution can be found</w:t>
      </w:r>
    </w:p>
    <w:p w14:paraId="2A8C4F9F" w14:textId="77777777" w:rsidR="001230F2" w:rsidRDefault="001230F2" w:rsidP="005F3CD7">
      <w:pPr>
        <w:rPr>
          <w:rFonts w:hint="eastAsia"/>
          <w:lang w:val="en-GB"/>
        </w:rPr>
      </w:pPr>
    </w:p>
    <w:p w14:paraId="799F831D" w14:textId="77777777" w:rsidR="001230F2" w:rsidRDefault="001230F2" w:rsidP="005F3CD7">
      <w:pPr>
        <w:rPr>
          <w:rFonts w:hint="eastAsia"/>
          <w:lang w:val="en-GB"/>
        </w:rPr>
      </w:pPr>
    </w:p>
    <w:p w14:paraId="75D72C95" w14:textId="77777777" w:rsidR="001230F2" w:rsidRPr="00795AF2" w:rsidRDefault="001230F2" w:rsidP="001230F2">
      <w:pPr>
        <w:pStyle w:val="Doc-text2"/>
        <w:pBdr>
          <w:top w:val="single" w:sz="4" w:space="1" w:color="auto"/>
          <w:left w:val="single" w:sz="4" w:space="4" w:color="auto"/>
          <w:bottom w:val="single" w:sz="4" w:space="1" w:color="auto"/>
          <w:right w:val="single" w:sz="4" w:space="4" w:color="auto"/>
        </w:pBdr>
        <w:rPr>
          <w:b/>
          <w:bCs/>
          <w:highlight w:val="green"/>
        </w:rPr>
      </w:pPr>
      <w:r w:rsidRPr="00795AF2">
        <w:rPr>
          <w:b/>
          <w:bCs/>
          <w:highlight w:val="green"/>
        </w:rPr>
        <w:t>Agreements</w:t>
      </w:r>
    </w:p>
    <w:p w14:paraId="5AD646F7" w14:textId="77777777" w:rsidR="001230F2" w:rsidRPr="00795AF2" w:rsidRDefault="001230F2" w:rsidP="001230F2">
      <w:pPr>
        <w:pStyle w:val="Doc-text2"/>
        <w:numPr>
          <w:ilvl w:val="0"/>
          <w:numId w:val="10"/>
        </w:numPr>
        <w:pBdr>
          <w:top w:val="single" w:sz="4" w:space="1" w:color="auto"/>
          <w:left w:val="single" w:sz="4" w:space="4" w:color="auto"/>
          <w:bottom w:val="single" w:sz="4" w:space="1" w:color="auto"/>
          <w:right w:val="single" w:sz="4" w:space="4" w:color="auto"/>
        </w:pBdr>
        <w:rPr>
          <w:highlight w:val="green"/>
        </w:rPr>
      </w:pPr>
      <w:r w:rsidRPr="00795AF2">
        <w:rPr>
          <w:highlight w:val="green"/>
        </w:rPr>
        <w:lastRenderedPageBreak/>
        <w:t>RAN2 confirms that UE will not be informed about any network-sided functionality management decision (e.g., selection, (de)activation, switching, fallback, etc.) for AI mobility use case</w:t>
      </w:r>
    </w:p>
    <w:p w14:paraId="696D5A41" w14:textId="77777777" w:rsidR="001230F2" w:rsidRPr="00795AF2" w:rsidRDefault="001230F2" w:rsidP="001230F2">
      <w:pPr>
        <w:pStyle w:val="Doc-text2"/>
        <w:numPr>
          <w:ilvl w:val="0"/>
          <w:numId w:val="10"/>
        </w:numPr>
        <w:pBdr>
          <w:top w:val="single" w:sz="4" w:space="1" w:color="auto"/>
          <w:left w:val="single" w:sz="4" w:space="4" w:color="auto"/>
          <w:bottom w:val="single" w:sz="4" w:space="1" w:color="auto"/>
          <w:right w:val="single" w:sz="4" w:space="4" w:color="auto"/>
        </w:pBdr>
        <w:rPr>
          <w:highlight w:val="green"/>
        </w:rPr>
      </w:pPr>
      <w:r w:rsidRPr="00795AF2">
        <w:rPr>
          <w:highlight w:val="green"/>
        </w:rPr>
        <w:t xml:space="preserve">For performance monitoring of NW-side model, UE can provide the label data (i.e., actual measurement results) for </w:t>
      </w:r>
      <w:proofErr w:type="spellStart"/>
      <w:r w:rsidRPr="00795AF2">
        <w:rPr>
          <w:highlight w:val="green"/>
        </w:rPr>
        <w:t>gNB</w:t>
      </w:r>
      <w:proofErr w:type="spellEnd"/>
      <w:r w:rsidRPr="00795AF2">
        <w:rPr>
          <w:highlight w:val="green"/>
        </w:rPr>
        <w:t>. The existing measurement/report configuration can be reused to configure UE to report the actual measurement</w:t>
      </w:r>
    </w:p>
    <w:p w14:paraId="232C585D" w14:textId="77777777" w:rsidR="001230F2" w:rsidRPr="00795AF2" w:rsidRDefault="001230F2" w:rsidP="001230F2">
      <w:pPr>
        <w:pStyle w:val="Doc-text2"/>
        <w:numPr>
          <w:ilvl w:val="0"/>
          <w:numId w:val="10"/>
        </w:numPr>
        <w:pBdr>
          <w:top w:val="single" w:sz="4" w:space="1" w:color="auto"/>
          <w:left w:val="single" w:sz="4" w:space="4" w:color="auto"/>
          <w:bottom w:val="single" w:sz="4" w:space="1" w:color="auto"/>
          <w:right w:val="single" w:sz="4" w:space="4" w:color="auto"/>
        </w:pBdr>
        <w:rPr>
          <w:highlight w:val="green"/>
        </w:rPr>
      </w:pPr>
      <w:r w:rsidRPr="00795AF2">
        <w:rPr>
          <w:highlight w:val="green"/>
        </w:rPr>
        <w:t>FFS on UE awareness and preference for NW sided model</w:t>
      </w:r>
    </w:p>
    <w:p w14:paraId="015004DC" w14:textId="77777777" w:rsidR="001230F2" w:rsidRDefault="001230F2" w:rsidP="005F3CD7">
      <w:pPr>
        <w:rPr>
          <w:rFonts w:hint="eastAsia"/>
          <w:lang w:val="en-GB"/>
        </w:rPr>
      </w:pPr>
    </w:p>
    <w:p w14:paraId="38CE8DD3" w14:textId="77777777" w:rsidR="004E4D23" w:rsidRDefault="004E4D23" w:rsidP="005F3CD7">
      <w:pPr>
        <w:rPr>
          <w:rFonts w:hint="eastAsia"/>
          <w:lang w:val="en-GB"/>
        </w:rPr>
      </w:pPr>
    </w:p>
    <w:p w14:paraId="4380FB8E" w14:textId="77777777" w:rsidR="004E4D23" w:rsidRPr="00630000" w:rsidRDefault="004E4D23" w:rsidP="004E4D23">
      <w:pPr>
        <w:pStyle w:val="Doc-text2"/>
        <w:ind w:left="363"/>
        <w:jc w:val="both"/>
        <w:rPr>
          <w:b/>
          <w:bCs/>
        </w:rPr>
      </w:pPr>
      <w:r w:rsidRPr="00630000">
        <w:rPr>
          <w:b/>
          <w:bCs/>
        </w:rPr>
        <w:t xml:space="preserve">Agreements </w:t>
      </w:r>
    </w:p>
    <w:p w14:paraId="463F5FEF" w14:textId="77777777" w:rsidR="004E4D23" w:rsidRPr="00795AF2" w:rsidRDefault="004E4D23" w:rsidP="004E4D23">
      <w:pPr>
        <w:pStyle w:val="Doc-text2"/>
        <w:ind w:left="363"/>
        <w:jc w:val="both"/>
        <w:rPr>
          <w:highlight w:val="green"/>
        </w:rPr>
      </w:pPr>
      <w:r w:rsidRPr="00795AF2">
        <w:rPr>
          <w:highlight w:val="green"/>
        </w:rPr>
        <w:t>1</w:t>
      </w:r>
      <w:r w:rsidRPr="00795AF2">
        <w:rPr>
          <w:highlight w:val="green"/>
        </w:rPr>
        <w:tab/>
        <w:t xml:space="preserve"> For UE-sided model, NW-sided monitoring, the performance monitor procedure contains</w:t>
      </w:r>
    </w:p>
    <w:p w14:paraId="08503C81" w14:textId="77777777" w:rsidR="004E4D23" w:rsidRPr="00795AF2" w:rsidRDefault="004E4D23" w:rsidP="004E4D23">
      <w:pPr>
        <w:pStyle w:val="Doc-text2"/>
        <w:numPr>
          <w:ilvl w:val="0"/>
          <w:numId w:val="11"/>
        </w:numPr>
        <w:ind w:left="723"/>
        <w:jc w:val="both"/>
        <w:rPr>
          <w:highlight w:val="green"/>
        </w:rPr>
      </w:pPr>
      <w:r w:rsidRPr="00795AF2">
        <w:rPr>
          <w:highlight w:val="green"/>
        </w:rPr>
        <w:t xml:space="preserve">NW sends monitoring configuration and inference configuration to UE. </w:t>
      </w:r>
    </w:p>
    <w:p w14:paraId="092DCAD4" w14:textId="77777777" w:rsidR="004E4D23" w:rsidRPr="00795AF2" w:rsidRDefault="004E4D23" w:rsidP="004E4D23">
      <w:pPr>
        <w:pStyle w:val="Doc-text2"/>
        <w:numPr>
          <w:ilvl w:val="0"/>
          <w:numId w:val="11"/>
        </w:numPr>
        <w:ind w:left="723"/>
        <w:jc w:val="both"/>
        <w:rPr>
          <w:highlight w:val="green"/>
        </w:rPr>
      </w:pPr>
      <w:r w:rsidRPr="00795AF2">
        <w:rPr>
          <w:highlight w:val="green"/>
        </w:rPr>
        <w:t>UE reports measurements and inference output based on the corresponding configurations to NW.</w:t>
      </w:r>
    </w:p>
    <w:p w14:paraId="3CCACFB4" w14:textId="77777777" w:rsidR="004E4D23" w:rsidRPr="00795AF2" w:rsidRDefault="004E4D23" w:rsidP="004E4D23">
      <w:pPr>
        <w:pStyle w:val="Doc-text2"/>
        <w:numPr>
          <w:ilvl w:val="0"/>
          <w:numId w:val="11"/>
        </w:numPr>
        <w:ind w:left="723"/>
        <w:jc w:val="both"/>
        <w:rPr>
          <w:highlight w:val="green"/>
        </w:rPr>
      </w:pPr>
      <w:r w:rsidRPr="00795AF2">
        <w:rPr>
          <w:highlight w:val="green"/>
        </w:rPr>
        <w:t>NW performs monitoring and makes decisions, which can be fully NW-implemented.</w:t>
      </w:r>
    </w:p>
    <w:p w14:paraId="4B8EF811" w14:textId="77777777" w:rsidR="004E4D23" w:rsidRPr="00795AF2" w:rsidRDefault="004E4D23" w:rsidP="004E4D23">
      <w:pPr>
        <w:pStyle w:val="Doc-text2"/>
        <w:ind w:left="363"/>
        <w:jc w:val="both"/>
        <w:rPr>
          <w:highlight w:val="green"/>
        </w:rPr>
      </w:pPr>
      <w:r w:rsidRPr="00795AF2">
        <w:rPr>
          <w:highlight w:val="green"/>
        </w:rPr>
        <w:t>2</w:t>
      </w:r>
      <w:r w:rsidRPr="00795AF2">
        <w:rPr>
          <w:highlight w:val="green"/>
        </w:rPr>
        <w:tab/>
        <w:t xml:space="preserve"> For UE-sided model, UE-sided monitoring, the performance monitor procedure as baselined contains </w:t>
      </w:r>
    </w:p>
    <w:p w14:paraId="46CF8F8C" w14:textId="77777777" w:rsidR="004E4D23" w:rsidRPr="00795AF2" w:rsidRDefault="004E4D23" w:rsidP="004E4D23">
      <w:pPr>
        <w:pStyle w:val="Doc-text2"/>
        <w:numPr>
          <w:ilvl w:val="0"/>
          <w:numId w:val="12"/>
        </w:numPr>
        <w:ind w:left="720"/>
        <w:jc w:val="both"/>
        <w:rPr>
          <w:highlight w:val="green"/>
        </w:rPr>
      </w:pPr>
      <w:r w:rsidRPr="00795AF2">
        <w:rPr>
          <w:highlight w:val="green"/>
        </w:rPr>
        <w:t xml:space="preserve">NW sends monitoring configuration to UE </w:t>
      </w:r>
    </w:p>
    <w:p w14:paraId="23C2D2DD" w14:textId="77777777" w:rsidR="004E4D23" w:rsidRPr="00795AF2" w:rsidRDefault="004E4D23" w:rsidP="004E4D23">
      <w:pPr>
        <w:pStyle w:val="Doc-text2"/>
        <w:numPr>
          <w:ilvl w:val="0"/>
          <w:numId w:val="12"/>
        </w:numPr>
        <w:ind w:left="720"/>
        <w:jc w:val="both"/>
        <w:rPr>
          <w:highlight w:val="green"/>
        </w:rPr>
      </w:pPr>
      <w:r w:rsidRPr="00795AF2">
        <w:rPr>
          <w:highlight w:val="green"/>
        </w:rPr>
        <w:t xml:space="preserve">UE measures monitoring data and generates monitoring results by comparing inference output and monitoring data. </w:t>
      </w:r>
    </w:p>
    <w:p w14:paraId="04203C6F" w14:textId="77777777" w:rsidR="004E4D23" w:rsidRPr="00795AF2" w:rsidRDefault="004E4D23" w:rsidP="004E4D23">
      <w:pPr>
        <w:pStyle w:val="Doc-text2"/>
        <w:numPr>
          <w:ilvl w:val="0"/>
          <w:numId w:val="12"/>
        </w:numPr>
        <w:ind w:left="720"/>
        <w:jc w:val="both"/>
        <w:rPr>
          <w:highlight w:val="green"/>
        </w:rPr>
      </w:pPr>
      <w:r w:rsidRPr="00795AF2">
        <w:rPr>
          <w:highlight w:val="green"/>
        </w:rPr>
        <w:t xml:space="preserve">(NW-decision): UE reports the monitoring result to NW, and NW makes the management decision. </w:t>
      </w:r>
    </w:p>
    <w:p w14:paraId="63BB2120" w14:textId="77777777" w:rsidR="004E4D23" w:rsidRPr="00795AF2" w:rsidRDefault="004E4D23" w:rsidP="004E4D23">
      <w:pPr>
        <w:pStyle w:val="Doc-text2"/>
        <w:numPr>
          <w:ilvl w:val="0"/>
          <w:numId w:val="7"/>
        </w:numPr>
        <w:ind w:left="360"/>
        <w:jc w:val="both"/>
        <w:rPr>
          <w:highlight w:val="green"/>
        </w:rPr>
      </w:pPr>
      <w:r w:rsidRPr="00795AF2">
        <w:rPr>
          <w:highlight w:val="green"/>
        </w:rPr>
        <w:t xml:space="preserve">Can further consider UE sided monitoring and (UE-decision) for some use cases: UE makes the management decision based on network configuration and sends the decision to NW.  FFS which use cases. </w:t>
      </w:r>
    </w:p>
    <w:p w14:paraId="1CF2A850" w14:textId="77777777" w:rsidR="004E4D23" w:rsidRPr="00795AF2" w:rsidRDefault="004E4D23" w:rsidP="004E4D23">
      <w:pPr>
        <w:pStyle w:val="Doc-text2"/>
        <w:numPr>
          <w:ilvl w:val="0"/>
          <w:numId w:val="7"/>
        </w:numPr>
        <w:ind w:left="360"/>
        <w:jc w:val="both"/>
        <w:rPr>
          <w:highlight w:val="green"/>
        </w:rPr>
      </w:pPr>
      <w:r w:rsidRPr="00795AF2">
        <w:rPr>
          <w:highlight w:val="green"/>
        </w:rPr>
        <w:t xml:space="preserve">For RRM measurement prediction </w:t>
      </w:r>
    </w:p>
    <w:p w14:paraId="242FB6D1" w14:textId="77777777" w:rsidR="004E4D23" w:rsidRPr="00795AF2" w:rsidRDefault="004E4D23" w:rsidP="004E4D23">
      <w:pPr>
        <w:pStyle w:val="Doc-text2"/>
        <w:numPr>
          <w:ilvl w:val="1"/>
          <w:numId w:val="7"/>
        </w:numPr>
        <w:ind w:left="1080"/>
        <w:jc w:val="both"/>
        <w:rPr>
          <w:highlight w:val="green"/>
        </w:rPr>
      </w:pPr>
      <w:r w:rsidRPr="00795AF2">
        <w:rPr>
          <w:highlight w:val="green"/>
        </w:rPr>
        <w:t>RSRP differences can be used as the performance metric for monitoring.</w:t>
      </w:r>
    </w:p>
    <w:p w14:paraId="61066D4E" w14:textId="77777777" w:rsidR="004E4D23" w:rsidRPr="004E4D23" w:rsidRDefault="004E4D23" w:rsidP="005F3CD7">
      <w:pPr>
        <w:rPr>
          <w:rFonts w:hint="eastAsia"/>
          <w:lang w:val="en-GB"/>
        </w:rPr>
      </w:pPr>
    </w:p>
    <w:sectPr w:rsidR="004E4D23" w:rsidRPr="004E4D2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0B7E8" w14:textId="77777777" w:rsidR="00F847C5" w:rsidRDefault="00F847C5" w:rsidP="00E56270">
      <w:pPr>
        <w:rPr>
          <w:rFonts w:hint="eastAsia"/>
        </w:rPr>
      </w:pPr>
      <w:r>
        <w:separator/>
      </w:r>
    </w:p>
  </w:endnote>
  <w:endnote w:type="continuationSeparator" w:id="0">
    <w:p w14:paraId="52BCD88D" w14:textId="77777777" w:rsidR="00F847C5" w:rsidRDefault="00F847C5" w:rsidP="00E5627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7DEC6" w14:textId="77777777" w:rsidR="00F847C5" w:rsidRDefault="00F847C5" w:rsidP="00E56270">
      <w:pPr>
        <w:rPr>
          <w:rFonts w:hint="eastAsia"/>
        </w:rPr>
      </w:pPr>
      <w:r>
        <w:separator/>
      </w:r>
    </w:p>
  </w:footnote>
  <w:footnote w:type="continuationSeparator" w:id="0">
    <w:p w14:paraId="3298B907" w14:textId="77777777" w:rsidR="00F847C5" w:rsidRDefault="00F847C5" w:rsidP="00E56270">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A61CF"/>
    <w:multiLevelType w:val="hybridMultilevel"/>
    <w:tmpl w:val="6BECC3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471458"/>
    <w:multiLevelType w:val="hybridMultilevel"/>
    <w:tmpl w:val="C0283BB0"/>
    <w:lvl w:ilvl="0" w:tplc="714872C0">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65F13C0"/>
    <w:multiLevelType w:val="hybridMultilevel"/>
    <w:tmpl w:val="C98445CC"/>
    <w:lvl w:ilvl="0" w:tplc="FD5072EC">
      <w:start w:val="1"/>
      <w:numFmt w:val="bullet"/>
      <w:lvlText w:val="-"/>
      <w:lvlJc w:val="left"/>
      <w:pPr>
        <w:ind w:left="1982" w:hanging="360"/>
      </w:pPr>
      <w:rPr>
        <w:rFonts w:ascii="Arial" w:eastAsia="宋体" w:hAnsi="Arial" w:cs="Arial" w:hint="default"/>
      </w:rPr>
    </w:lvl>
    <w:lvl w:ilvl="1" w:tplc="04090003" w:tentative="1">
      <w:start w:val="1"/>
      <w:numFmt w:val="bullet"/>
      <w:lvlText w:val="o"/>
      <w:lvlJc w:val="left"/>
      <w:pPr>
        <w:ind w:left="1443" w:hanging="360"/>
      </w:pPr>
      <w:rPr>
        <w:rFonts w:ascii="Courier New" w:hAnsi="Courier New" w:cs="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3" w15:restartNumberingAfterBreak="0">
    <w:nsid w:val="2584703D"/>
    <w:multiLevelType w:val="hybridMultilevel"/>
    <w:tmpl w:val="E9D886B6"/>
    <w:lvl w:ilvl="0" w:tplc="5C5EEC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353614AD"/>
    <w:multiLevelType w:val="hybridMultilevel"/>
    <w:tmpl w:val="6254A468"/>
    <w:lvl w:ilvl="0" w:tplc="A2ECCFBE">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3A771986"/>
    <w:multiLevelType w:val="hybridMultilevel"/>
    <w:tmpl w:val="B4048582"/>
    <w:lvl w:ilvl="0" w:tplc="9E1E8F54">
      <w:numFmt w:val="bullet"/>
      <w:lvlText w:val="-"/>
      <w:lvlJc w:val="left"/>
      <w:pPr>
        <w:ind w:left="2339" w:hanging="360"/>
      </w:pPr>
      <w:rPr>
        <w:rFonts w:ascii="Calibri" w:eastAsia="Times New Roman" w:hAnsi="Calibri" w:cs="Calibri" w:hint="default"/>
      </w:rPr>
    </w:lvl>
    <w:lvl w:ilvl="1" w:tplc="FFFFFFFF">
      <w:start w:val="1"/>
      <w:numFmt w:val="lowerLetter"/>
      <w:lvlText w:val="%2."/>
      <w:lvlJc w:val="left"/>
      <w:pPr>
        <w:ind w:left="3059" w:hanging="360"/>
      </w:pPr>
    </w:lvl>
    <w:lvl w:ilvl="2" w:tplc="FFFFFFFF" w:tentative="1">
      <w:start w:val="1"/>
      <w:numFmt w:val="lowerRoman"/>
      <w:lvlText w:val="%3."/>
      <w:lvlJc w:val="right"/>
      <w:pPr>
        <w:ind w:left="3779" w:hanging="180"/>
      </w:pPr>
    </w:lvl>
    <w:lvl w:ilvl="3" w:tplc="FFFFFFFF" w:tentative="1">
      <w:start w:val="1"/>
      <w:numFmt w:val="decimal"/>
      <w:lvlText w:val="%4."/>
      <w:lvlJc w:val="left"/>
      <w:pPr>
        <w:ind w:left="4499" w:hanging="360"/>
      </w:pPr>
    </w:lvl>
    <w:lvl w:ilvl="4" w:tplc="FFFFFFFF" w:tentative="1">
      <w:start w:val="1"/>
      <w:numFmt w:val="lowerLetter"/>
      <w:lvlText w:val="%5."/>
      <w:lvlJc w:val="left"/>
      <w:pPr>
        <w:ind w:left="5219" w:hanging="360"/>
      </w:pPr>
    </w:lvl>
    <w:lvl w:ilvl="5" w:tplc="FFFFFFFF" w:tentative="1">
      <w:start w:val="1"/>
      <w:numFmt w:val="lowerRoman"/>
      <w:lvlText w:val="%6."/>
      <w:lvlJc w:val="right"/>
      <w:pPr>
        <w:ind w:left="5939" w:hanging="180"/>
      </w:pPr>
    </w:lvl>
    <w:lvl w:ilvl="6" w:tplc="FFFFFFFF" w:tentative="1">
      <w:start w:val="1"/>
      <w:numFmt w:val="decimal"/>
      <w:lvlText w:val="%7."/>
      <w:lvlJc w:val="left"/>
      <w:pPr>
        <w:ind w:left="6659" w:hanging="360"/>
      </w:pPr>
    </w:lvl>
    <w:lvl w:ilvl="7" w:tplc="FFFFFFFF" w:tentative="1">
      <w:start w:val="1"/>
      <w:numFmt w:val="lowerLetter"/>
      <w:lvlText w:val="%8."/>
      <w:lvlJc w:val="left"/>
      <w:pPr>
        <w:ind w:left="7379" w:hanging="360"/>
      </w:pPr>
    </w:lvl>
    <w:lvl w:ilvl="8" w:tplc="FFFFFFFF" w:tentative="1">
      <w:start w:val="1"/>
      <w:numFmt w:val="lowerRoman"/>
      <w:lvlText w:val="%9."/>
      <w:lvlJc w:val="right"/>
      <w:pPr>
        <w:ind w:left="8099" w:hanging="180"/>
      </w:pPr>
    </w:lvl>
  </w:abstractNum>
  <w:abstractNum w:abstractNumId="6" w15:restartNumberingAfterBreak="0">
    <w:nsid w:val="495510B5"/>
    <w:multiLevelType w:val="hybridMultilevel"/>
    <w:tmpl w:val="472AA6E4"/>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7" w15:restartNumberingAfterBreak="0">
    <w:nsid w:val="4C051491"/>
    <w:multiLevelType w:val="hybridMultilevel"/>
    <w:tmpl w:val="2A0C71D0"/>
    <w:lvl w:ilvl="0" w:tplc="F864BB2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66BA42A5"/>
    <w:multiLevelType w:val="hybridMultilevel"/>
    <w:tmpl w:val="D8C21F40"/>
    <w:lvl w:ilvl="0" w:tplc="9B6C1430">
      <w:start w:val="2"/>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15:restartNumberingAfterBreak="0">
    <w:nsid w:val="6DDA074F"/>
    <w:multiLevelType w:val="hybridMultilevel"/>
    <w:tmpl w:val="DF94F170"/>
    <w:lvl w:ilvl="0" w:tplc="FFFFFFFF">
      <w:start w:val="1"/>
      <w:numFmt w:val="lowerLetter"/>
      <w:lvlText w:val="%1)"/>
      <w:lvlJc w:val="left"/>
      <w:pPr>
        <w:ind w:left="1979" w:hanging="360"/>
      </w:pPr>
    </w:lvl>
    <w:lvl w:ilvl="1" w:tplc="FFFFFFFF">
      <w:start w:val="1"/>
      <w:numFmt w:val="lowerLetter"/>
      <w:lvlText w:val="%2."/>
      <w:lvlJc w:val="left"/>
      <w:pPr>
        <w:ind w:left="2699" w:hanging="360"/>
      </w:pPr>
    </w:lvl>
    <w:lvl w:ilvl="2" w:tplc="FFFFFFFF" w:tentative="1">
      <w:start w:val="1"/>
      <w:numFmt w:val="lowerRoman"/>
      <w:lvlText w:val="%3."/>
      <w:lvlJc w:val="right"/>
      <w:pPr>
        <w:ind w:left="3419" w:hanging="180"/>
      </w:pPr>
    </w:lvl>
    <w:lvl w:ilvl="3" w:tplc="FFFFFFFF" w:tentative="1">
      <w:start w:val="1"/>
      <w:numFmt w:val="decimal"/>
      <w:lvlText w:val="%4."/>
      <w:lvlJc w:val="left"/>
      <w:pPr>
        <w:ind w:left="4139" w:hanging="360"/>
      </w:pPr>
    </w:lvl>
    <w:lvl w:ilvl="4" w:tplc="FFFFFFFF" w:tentative="1">
      <w:start w:val="1"/>
      <w:numFmt w:val="lowerLetter"/>
      <w:lvlText w:val="%5."/>
      <w:lvlJc w:val="left"/>
      <w:pPr>
        <w:ind w:left="4859" w:hanging="360"/>
      </w:pPr>
    </w:lvl>
    <w:lvl w:ilvl="5" w:tplc="FFFFFFFF" w:tentative="1">
      <w:start w:val="1"/>
      <w:numFmt w:val="lowerRoman"/>
      <w:lvlText w:val="%6."/>
      <w:lvlJc w:val="right"/>
      <w:pPr>
        <w:ind w:left="5579" w:hanging="180"/>
      </w:pPr>
    </w:lvl>
    <w:lvl w:ilvl="6" w:tplc="FFFFFFFF" w:tentative="1">
      <w:start w:val="1"/>
      <w:numFmt w:val="decimal"/>
      <w:lvlText w:val="%7."/>
      <w:lvlJc w:val="left"/>
      <w:pPr>
        <w:ind w:left="6299" w:hanging="360"/>
      </w:pPr>
    </w:lvl>
    <w:lvl w:ilvl="7" w:tplc="FFFFFFFF" w:tentative="1">
      <w:start w:val="1"/>
      <w:numFmt w:val="lowerLetter"/>
      <w:lvlText w:val="%8."/>
      <w:lvlJc w:val="left"/>
      <w:pPr>
        <w:ind w:left="7019" w:hanging="360"/>
      </w:pPr>
    </w:lvl>
    <w:lvl w:ilvl="8" w:tplc="FFFFFFFF" w:tentative="1">
      <w:start w:val="1"/>
      <w:numFmt w:val="lowerRoman"/>
      <w:lvlText w:val="%9."/>
      <w:lvlJc w:val="right"/>
      <w:pPr>
        <w:ind w:left="7739" w:hanging="180"/>
      </w:p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AEC75FF"/>
    <w:multiLevelType w:val="hybridMultilevel"/>
    <w:tmpl w:val="EFEA782C"/>
    <w:lvl w:ilvl="0" w:tplc="FD5072EC">
      <w:start w:val="1"/>
      <w:numFmt w:val="bullet"/>
      <w:lvlText w:val="-"/>
      <w:lvlJc w:val="left"/>
      <w:pPr>
        <w:ind w:left="1979" w:hanging="360"/>
      </w:pPr>
      <w:rPr>
        <w:rFonts w:ascii="Arial" w:eastAsia="宋体" w:hAnsi="Arial" w:cs="Aria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num w:numId="1" w16cid:durableId="1141117490">
    <w:abstractNumId w:val="6"/>
  </w:num>
  <w:num w:numId="2" w16cid:durableId="1788961718">
    <w:abstractNumId w:val="10"/>
  </w:num>
  <w:num w:numId="3" w16cid:durableId="225992431">
    <w:abstractNumId w:val="1"/>
  </w:num>
  <w:num w:numId="4" w16cid:durableId="463885680">
    <w:abstractNumId w:val="7"/>
  </w:num>
  <w:num w:numId="5" w16cid:durableId="158618464">
    <w:abstractNumId w:val="8"/>
  </w:num>
  <w:num w:numId="6" w16cid:durableId="1280724794">
    <w:abstractNumId w:val="0"/>
  </w:num>
  <w:num w:numId="7" w16cid:durableId="1134522811">
    <w:abstractNumId w:val="4"/>
  </w:num>
  <w:num w:numId="8" w16cid:durableId="1804352177">
    <w:abstractNumId w:val="5"/>
  </w:num>
  <w:num w:numId="9" w16cid:durableId="212694443">
    <w:abstractNumId w:val="9"/>
  </w:num>
  <w:num w:numId="10" w16cid:durableId="950668903">
    <w:abstractNumId w:val="3"/>
  </w:num>
  <w:num w:numId="11" w16cid:durableId="542981474">
    <w:abstractNumId w:val="2"/>
  </w:num>
  <w:num w:numId="12" w16cid:durableId="2903326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AD2"/>
    <w:rsid w:val="00016AFE"/>
    <w:rsid w:val="001230F2"/>
    <w:rsid w:val="001E3E74"/>
    <w:rsid w:val="0024433F"/>
    <w:rsid w:val="00291BBC"/>
    <w:rsid w:val="00296E5B"/>
    <w:rsid w:val="004E4D23"/>
    <w:rsid w:val="005A14E1"/>
    <w:rsid w:val="005F3CD7"/>
    <w:rsid w:val="00614876"/>
    <w:rsid w:val="00681FA1"/>
    <w:rsid w:val="006B5BD7"/>
    <w:rsid w:val="00795AF2"/>
    <w:rsid w:val="00891FC0"/>
    <w:rsid w:val="00907821"/>
    <w:rsid w:val="00912AD2"/>
    <w:rsid w:val="009A1DD8"/>
    <w:rsid w:val="009F33A2"/>
    <w:rsid w:val="00C9307C"/>
    <w:rsid w:val="00D159AD"/>
    <w:rsid w:val="00D33A1F"/>
    <w:rsid w:val="00DB3B55"/>
    <w:rsid w:val="00DE46B5"/>
    <w:rsid w:val="00DF79FC"/>
    <w:rsid w:val="00E56270"/>
    <w:rsid w:val="00F00C3F"/>
    <w:rsid w:val="00F847C5"/>
    <w:rsid w:val="00F97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A468C"/>
  <w15:chartTrackingRefBased/>
  <w15:docId w15:val="{E01FC706-D834-4D54-B148-961F30B73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12AD2"/>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912AD2"/>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912AD2"/>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912AD2"/>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912AD2"/>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912AD2"/>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912AD2"/>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12AD2"/>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912AD2"/>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12AD2"/>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912AD2"/>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912AD2"/>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912AD2"/>
    <w:rPr>
      <w:rFonts w:cstheme="majorBidi"/>
      <w:color w:val="0F4761" w:themeColor="accent1" w:themeShade="BF"/>
      <w:sz w:val="28"/>
      <w:szCs w:val="28"/>
    </w:rPr>
  </w:style>
  <w:style w:type="character" w:customStyle="1" w:styleId="50">
    <w:name w:val="标题 5 字符"/>
    <w:basedOn w:val="a0"/>
    <w:link w:val="5"/>
    <w:uiPriority w:val="9"/>
    <w:semiHidden/>
    <w:rsid w:val="00912AD2"/>
    <w:rPr>
      <w:rFonts w:cstheme="majorBidi"/>
      <w:color w:val="0F4761" w:themeColor="accent1" w:themeShade="BF"/>
      <w:sz w:val="24"/>
      <w:szCs w:val="24"/>
    </w:rPr>
  </w:style>
  <w:style w:type="character" w:customStyle="1" w:styleId="60">
    <w:name w:val="标题 6 字符"/>
    <w:basedOn w:val="a0"/>
    <w:link w:val="6"/>
    <w:uiPriority w:val="9"/>
    <w:semiHidden/>
    <w:rsid w:val="00912AD2"/>
    <w:rPr>
      <w:rFonts w:cstheme="majorBidi"/>
      <w:b/>
      <w:bCs/>
      <w:color w:val="0F4761" w:themeColor="accent1" w:themeShade="BF"/>
    </w:rPr>
  </w:style>
  <w:style w:type="character" w:customStyle="1" w:styleId="70">
    <w:name w:val="标题 7 字符"/>
    <w:basedOn w:val="a0"/>
    <w:link w:val="7"/>
    <w:uiPriority w:val="9"/>
    <w:semiHidden/>
    <w:rsid w:val="00912AD2"/>
    <w:rPr>
      <w:rFonts w:cstheme="majorBidi"/>
      <w:b/>
      <w:bCs/>
      <w:color w:val="595959" w:themeColor="text1" w:themeTint="A6"/>
    </w:rPr>
  </w:style>
  <w:style w:type="character" w:customStyle="1" w:styleId="80">
    <w:name w:val="标题 8 字符"/>
    <w:basedOn w:val="a0"/>
    <w:link w:val="8"/>
    <w:uiPriority w:val="9"/>
    <w:semiHidden/>
    <w:rsid w:val="00912AD2"/>
    <w:rPr>
      <w:rFonts w:cstheme="majorBidi"/>
      <w:color w:val="595959" w:themeColor="text1" w:themeTint="A6"/>
    </w:rPr>
  </w:style>
  <w:style w:type="character" w:customStyle="1" w:styleId="90">
    <w:name w:val="标题 9 字符"/>
    <w:basedOn w:val="a0"/>
    <w:link w:val="9"/>
    <w:uiPriority w:val="9"/>
    <w:semiHidden/>
    <w:rsid w:val="00912AD2"/>
    <w:rPr>
      <w:rFonts w:eastAsiaTheme="majorEastAsia" w:cstheme="majorBidi"/>
      <w:color w:val="595959" w:themeColor="text1" w:themeTint="A6"/>
    </w:rPr>
  </w:style>
  <w:style w:type="paragraph" w:styleId="a3">
    <w:name w:val="Title"/>
    <w:basedOn w:val="a"/>
    <w:next w:val="a"/>
    <w:link w:val="a4"/>
    <w:uiPriority w:val="10"/>
    <w:qFormat/>
    <w:rsid w:val="00912AD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12A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2AD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12A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2AD2"/>
    <w:pPr>
      <w:spacing w:before="160" w:after="160"/>
      <w:jc w:val="center"/>
    </w:pPr>
    <w:rPr>
      <w:i/>
      <w:iCs/>
      <w:color w:val="404040" w:themeColor="text1" w:themeTint="BF"/>
    </w:rPr>
  </w:style>
  <w:style w:type="character" w:customStyle="1" w:styleId="a8">
    <w:name w:val="引用 字符"/>
    <w:basedOn w:val="a0"/>
    <w:link w:val="a7"/>
    <w:uiPriority w:val="29"/>
    <w:rsid w:val="00912AD2"/>
    <w:rPr>
      <w:i/>
      <w:iCs/>
      <w:color w:val="404040" w:themeColor="text1" w:themeTint="BF"/>
    </w:rPr>
  </w:style>
  <w:style w:type="paragraph" w:styleId="a9">
    <w:name w:val="List Paragraph"/>
    <w:basedOn w:val="a"/>
    <w:uiPriority w:val="34"/>
    <w:qFormat/>
    <w:rsid w:val="00912AD2"/>
    <w:pPr>
      <w:ind w:left="720"/>
      <w:contextualSpacing/>
    </w:pPr>
  </w:style>
  <w:style w:type="character" w:styleId="aa">
    <w:name w:val="Intense Emphasis"/>
    <w:basedOn w:val="a0"/>
    <w:uiPriority w:val="21"/>
    <w:qFormat/>
    <w:rsid w:val="00912AD2"/>
    <w:rPr>
      <w:i/>
      <w:iCs/>
      <w:color w:val="0F4761" w:themeColor="accent1" w:themeShade="BF"/>
    </w:rPr>
  </w:style>
  <w:style w:type="paragraph" w:styleId="ab">
    <w:name w:val="Intense Quote"/>
    <w:basedOn w:val="a"/>
    <w:next w:val="a"/>
    <w:link w:val="ac"/>
    <w:uiPriority w:val="30"/>
    <w:qFormat/>
    <w:rsid w:val="00912A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912AD2"/>
    <w:rPr>
      <w:i/>
      <w:iCs/>
      <w:color w:val="0F4761" w:themeColor="accent1" w:themeShade="BF"/>
    </w:rPr>
  </w:style>
  <w:style w:type="character" w:styleId="ad">
    <w:name w:val="Intense Reference"/>
    <w:basedOn w:val="a0"/>
    <w:uiPriority w:val="32"/>
    <w:qFormat/>
    <w:rsid w:val="00912AD2"/>
    <w:rPr>
      <w:b/>
      <w:bCs/>
      <w:smallCaps/>
      <w:color w:val="0F4761" w:themeColor="accent1" w:themeShade="BF"/>
      <w:spacing w:val="5"/>
    </w:rPr>
  </w:style>
  <w:style w:type="table" w:styleId="ae">
    <w:name w:val="Table Grid"/>
    <w:aliases w:val="TableGrid"/>
    <w:basedOn w:val="a1"/>
    <w:uiPriority w:val="99"/>
    <w:qFormat/>
    <w:rsid w:val="00614876"/>
    <w:rPr>
      <w:rFonts w:ascii="Times New Roman" w:eastAsia="Malgun Gothic" w:hAnsi="Times New Roman" w:cs="Times New Roman"/>
      <w:kern w:val="0"/>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614876"/>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Doc-text2Char">
    <w:name w:val="Doc-text2 Char"/>
    <w:link w:val="Doc-text2"/>
    <w:qFormat/>
    <w:rsid w:val="00614876"/>
    <w:rPr>
      <w:rFonts w:ascii="Arial" w:eastAsia="MS Mincho" w:hAnsi="Arial" w:cs="Times New Roman"/>
      <w:kern w:val="0"/>
      <w:sz w:val="20"/>
      <w:szCs w:val="24"/>
      <w:lang w:val="en-GB" w:eastAsia="en-GB"/>
    </w:rPr>
  </w:style>
  <w:style w:type="paragraph" w:customStyle="1" w:styleId="Agreement">
    <w:name w:val="Agreement"/>
    <w:basedOn w:val="a"/>
    <w:next w:val="a"/>
    <w:uiPriority w:val="99"/>
    <w:qFormat/>
    <w:rsid w:val="00614876"/>
    <w:pPr>
      <w:widowControl/>
      <w:numPr>
        <w:numId w:val="2"/>
      </w:numPr>
      <w:spacing w:before="60"/>
      <w:jc w:val="left"/>
    </w:pPr>
    <w:rPr>
      <w:rFonts w:ascii="Arial" w:eastAsia="MS Mincho" w:hAnsi="Arial" w:cs="Times New Roman"/>
      <w:b/>
      <w:kern w:val="0"/>
      <w:sz w:val="20"/>
      <w:szCs w:val="24"/>
      <w:lang w:val="en-GB" w:eastAsia="en-GB"/>
    </w:rPr>
  </w:style>
  <w:style w:type="paragraph" w:customStyle="1" w:styleId="Comments">
    <w:name w:val="Comments"/>
    <w:basedOn w:val="a"/>
    <w:link w:val="CommentsChar"/>
    <w:qFormat/>
    <w:rsid w:val="00016AFE"/>
    <w:pPr>
      <w:widowControl/>
      <w:spacing w:before="40"/>
      <w:jc w:val="left"/>
    </w:pPr>
    <w:rPr>
      <w:rFonts w:ascii="Arial" w:eastAsia="MS Mincho" w:hAnsi="Arial" w:cs="Times New Roman"/>
      <w:i/>
      <w:noProof/>
      <w:kern w:val="0"/>
      <w:sz w:val="18"/>
      <w:szCs w:val="24"/>
      <w:lang w:val="en-GB" w:eastAsia="en-GB"/>
    </w:rPr>
  </w:style>
  <w:style w:type="character" w:customStyle="1" w:styleId="CommentsChar">
    <w:name w:val="Comments Char"/>
    <w:link w:val="Comments"/>
    <w:qFormat/>
    <w:rsid w:val="00016AFE"/>
    <w:rPr>
      <w:rFonts w:ascii="Arial" w:eastAsia="MS Mincho" w:hAnsi="Arial" w:cs="Times New Roman"/>
      <w:i/>
      <w:noProof/>
      <w:kern w:val="0"/>
      <w:sz w:val="18"/>
      <w:szCs w:val="24"/>
      <w:lang w:val="en-GB" w:eastAsia="en-GB"/>
    </w:rPr>
  </w:style>
  <w:style w:type="paragraph" w:styleId="af">
    <w:name w:val="header"/>
    <w:basedOn w:val="a"/>
    <w:link w:val="af0"/>
    <w:uiPriority w:val="99"/>
    <w:unhideWhenUsed/>
    <w:rsid w:val="00E56270"/>
    <w:pPr>
      <w:tabs>
        <w:tab w:val="center" w:pos="4153"/>
        <w:tab w:val="right" w:pos="8306"/>
      </w:tabs>
      <w:snapToGrid w:val="0"/>
      <w:jc w:val="center"/>
    </w:pPr>
    <w:rPr>
      <w:sz w:val="18"/>
      <w:szCs w:val="18"/>
    </w:rPr>
  </w:style>
  <w:style w:type="character" w:customStyle="1" w:styleId="af0">
    <w:name w:val="页眉 字符"/>
    <w:basedOn w:val="a0"/>
    <w:link w:val="af"/>
    <w:uiPriority w:val="99"/>
    <w:rsid w:val="00E56270"/>
    <w:rPr>
      <w:sz w:val="18"/>
      <w:szCs w:val="18"/>
    </w:rPr>
  </w:style>
  <w:style w:type="paragraph" w:styleId="af1">
    <w:name w:val="footer"/>
    <w:basedOn w:val="a"/>
    <w:link w:val="af2"/>
    <w:uiPriority w:val="99"/>
    <w:unhideWhenUsed/>
    <w:rsid w:val="00E56270"/>
    <w:pPr>
      <w:tabs>
        <w:tab w:val="center" w:pos="4153"/>
        <w:tab w:val="right" w:pos="8306"/>
      </w:tabs>
      <w:snapToGrid w:val="0"/>
      <w:jc w:val="left"/>
    </w:pPr>
    <w:rPr>
      <w:sz w:val="18"/>
      <w:szCs w:val="18"/>
    </w:rPr>
  </w:style>
  <w:style w:type="character" w:customStyle="1" w:styleId="af2">
    <w:name w:val="页脚 字符"/>
    <w:basedOn w:val="a0"/>
    <w:link w:val="af1"/>
    <w:uiPriority w:val="99"/>
    <w:rsid w:val="00E5627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5</Pages>
  <Words>1434</Words>
  <Characters>8175</Characters>
  <Application>Microsoft Office Word</Application>
  <DocSecurity>0</DocSecurity>
  <Lines>68</Lines>
  <Paragraphs>19</Paragraphs>
  <ScaleCrop>false</ScaleCrop>
  <Company/>
  <LinksUpToDate>false</LinksUpToDate>
  <CharactersWithSpaces>9590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OPPO-Zonda</dc:creator>
  <cp:keywords/>
  <dc:description/>
  <cp:lastModifiedBy>Rapporteur</cp:lastModifiedBy>
  <cp:revision>18</cp:revision>
  <dcterms:created xsi:type="dcterms:W3CDTF">2025-06-18T01:30:00Z</dcterms:created>
  <dcterms:modified xsi:type="dcterms:W3CDTF">2025-06-18T09:16:00Z</dcterms:modified>
</cp:coreProperties>
</file>