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B1611F1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</w:t>
      </w:r>
      <w:r w:rsidR="00385917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.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Julian</w:t>
      </w:r>
      <w:r w:rsidR="00385917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, Malta, 19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3F85D176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 w:rsidR="00BF5BD1" w:rsidRPr="00BF5BD1">
        <w:rPr>
          <w:rFonts w:ascii="Arial" w:eastAsia="宋体" w:hAnsi="Arial" w:hint="eastAsia"/>
          <w:b/>
          <w:sz w:val="22"/>
          <w:lang w:eastAsia="zh-CN"/>
        </w:rPr>
        <w:t>Hua</w:t>
      </w:r>
      <w:r w:rsidR="00BF5BD1">
        <w:rPr>
          <w:rFonts w:ascii="Arial" w:eastAsia="宋体" w:hAnsi="Arial"/>
          <w:b/>
          <w:sz w:val="22"/>
          <w:lang w:eastAsia="zh-CN"/>
        </w:rPr>
        <w:t>wei, HiSilicon</w:t>
      </w:r>
    </w:p>
    <w:p w14:paraId="5CD2C239" w14:textId="2612CBDE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>issue</w:t>
      </w:r>
      <w:r w:rsidR="00BF5BD1">
        <w:rPr>
          <w:rFonts w:ascii="Arial" w:eastAsia="宋体" w:hAnsi="Arial"/>
          <w:b/>
          <w:sz w:val="22"/>
          <w:lang w:eastAsia="zh-CN"/>
        </w:rPr>
        <w:t xml:space="preserve"> for 36.331 CR for R19 SONMDT</w:t>
      </w:r>
      <w:r w:rsidR="00082D5F">
        <w:rPr>
          <w:rFonts w:ascii="Arial" w:eastAsia="宋体" w:hAnsi="Arial"/>
          <w:b/>
          <w:sz w:val="22"/>
          <w:lang w:eastAsia="zh-CN"/>
        </w:rPr>
        <w:t xml:space="preserve"> </w:t>
      </w:r>
    </w:p>
    <w:p w14:paraId="1C71DAE1" w14:textId="42E7A00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 w:rsidR="00EC6C71">
        <w:rPr>
          <w:rFonts w:ascii="Arial" w:eastAsia="宋体" w:hAnsi="Arial"/>
          <w:b/>
          <w:sz w:val="22"/>
          <w:lang w:eastAsia="zh-CN"/>
        </w:rPr>
        <w:t>8.10.1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56DE15B6" w14:textId="50A12575" w:rsidR="005C2036" w:rsidRPr="00D3368F" w:rsidRDefault="00A004CA" w:rsidP="005C2036">
      <w:pPr>
        <w:spacing w:after="120"/>
        <w:jc w:val="both"/>
      </w:pPr>
      <w:r>
        <w:t>The following document includes a list of RRC open issues for LP-WUS/WUR according to the following email discussion:</w:t>
      </w:r>
    </w:p>
    <w:p w14:paraId="20F3D437" w14:textId="77777777" w:rsidR="005C2036" w:rsidRPr="00E9023F" w:rsidRDefault="005C2036" w:rsidP="005C2036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rFonts w:eastAsia="Times New Roman"/>
          <w:sz w:val="18"/>
          <w:szCs w:val="20"/>
          <w:lang w:val="en-US"/>
        </w:rPr>
      </w:pPr>
      <w:bookmarkStart w:id="0" w:name="_Toc195179083"/>
      <w:r w:rsidRPr="00E9023F">
        <w:rPr>
          <w:sz w:val="18"/>
          <w:lang w:val="en-US"/>
        </w:rPr>
        <w:t>[Post129bis][604][SONMDT] Running LTE RRC CR for SONMDT (Huawei)</w:t>
      </w:r>
      <w:bookmarkEnd w:id="0"/>
    </w:p>
    <w:p w14:paraId="45210770" w14:textId="77777777" w:rsidR="005C2036" w:rsidRPr="00E9023F" w:rsidRDefault="005C2036" w:rsidP="005C2036">
      <w:pPr>
        <w:pStyle w:val="EmailDiscussion2"/>
        <w:ind w:left="1619" w:firstLine="0"/>
        <w:rPr>
          <w:rFonts w:eastAsiaTheme="minorEastAsia"/>
          <w:sz w:val="18"/>
          <w:u w:val="single"/>
        </w:rPr>
      </w:pPr>
      <w:r w:rsidRPr="00E9023F">
        <w:rPr>
          <w:sz w:val="18"/>
          <w:u w:val="single"/>
        </w:rPr>
        <w:t>Scope:</w:t>
      </w:r>
    </w:p>
    <w:p w14:paraId="1F273C24" w14:textId="77777777" w:rsidR="005C2036" w:rsidRPr="00E9023F" w:rsidRDefault="005C2036" w:rsidP="005C2036">
      <w:pPr>
        <w:pStyle w:val="EmailDiscussion2"/>
        <w:numPr>
          <w:ilvl w:val="0"/>
          <w:numId w:val="15"/>
        </w:numPr>
        <w:tabs>
          <w:tab w:val="clear" w:pos="1622"/>
        </w:tabs>
        <w:overflowPunct/>
        <w:autoSpaceDE/>
        <w:autoSpaceDN/>
        <w:adjustRightInd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 the running CRs based on the progress in the meeting</w:t>
      </w:r>
    </w:p>
    <w:p w14:paraId="3F3AEC7F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 xml:space="preserve">      </w:t>
      </w:r>
      <w:r w:rsidRPr="00E9023F">
        <w:rPr>
          <w:sz w:val="18"/>
          <w:u w:val="single"/>
        </w:rPr>
        <w:t xml:space="preserve">Intended outcome: </w:t>
      </w:r>
    </w:p>
    <w:p w14:paraId="528F9F8C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Updated running CR to be submitted to next meeting</w:t>
      </w:r>
    </w:p>
    <w:p w14:paraId="6AE8AEC6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>     </w:t>
      </w:r>
      <w:r w:rsidRPr="00E9023F">
        <w:rPr>
          <w:sz w:val="18"/>
          <w:u w:val="single"/>
        </w:rPr>
        <w:t xml:space="preserve">Deadline: </w:t>
      </w:r>
    </w:p>
    <w:p w14:paraId="7B85D7DD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</w:rPr>
      </w:pPr>
      <w:r w:rsidRPr="00E9023F">
        <w:rPr>
          <w:sz w:val="18"/>
        </w:rPr>
        <w:t>Long</w:t>
      </w:r>
    </w:p>
    <w:p w14:paraId="363FE7AA" w14:textId="77777777" w:rsidR="005C2036" w:rsidRDefault="005C2036" w:rsidP="00214655">
      <w:pPr>
        <w:spacing w:after="120"/>
        <w:jc w:val="both"/>
        <w:rPr>
          <w:rFonts w:eastAsia="宋体"/>
          <w:szCs w:val="20"/>
          <w:lang w:eastAsia="zh-CN"/>
        </w:rPr>
      </w:pPr>
    </w:p>
    <w:p w14:paraId="5EB7CE74" w14:textId="1E125890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</w:t>
      </w:r>
      <w:r w:rsidR="005C2036" w:rsidRPr="005C2036">
        <w:rPr>
          <w:rFonts w:eastAsia="宋体"/>
          <w:szCs w:val="20"/>
          <w:lang w:eastAsia="zh-CN"/>
        </w:rPr>
        <w:t>May</w:t>
      </w:r>
      <w:r w:rsidR="005C2036">
        <w:rPr>
          <w:rFonts w:eastAsia="宋体"/>
          <w:szCs w:val="20"/>
          <w:lang w:eastAsia="zh-CN"/>
        </w:rPr>
        <w:t xml:space="preserve"> 1</w:t>
      </w:r>
      <w:r w:rsidR="005C2036" w:rsidRPr="005C2036">
        <w:rPr>
          <w:rFonts w:eastAsia="宋体"/>
          <w:szCs w:val="20"/>
          <w:vertAlign w:val="superscript"/>
          <w:lang w:eastAsia="zh-CN"/>
        </w:rPr>
        <w:t>st</w:t>
      </w:r>
      <w:r w:rsidR="005C2036">
        <w:rPr>
          <w:rFonts w:eastAsia="宋体"/>
          <w:szCs w:val="20"/>
          <w:lang w:eastAsia="zh-CN"/>
        </w:rPr>
        <w:t xml:space="preserve"> </w:t>
      </w:r>
      <w:r w:rsidR="005C2036" w:rsidRPr="005C2036">
        <w:rPr>
          <w:rFonts w:eastAsia="宋体"/>
          <w:szCs w:val="20"/>
          <w:lang w:eastAsia="zh-CN"/>
        </w:rPr>
        <w:t>10:00 UTC</w:t>
      </w:r>
      <w:r w:rsidR="005C2036">
        <w:rPr>
          <w:rFonts w:eastAsia="宋体"/>
          <w:szCs w:val="20"/>
          <w:lang w:eastAsia="zh-CN"/>
        </w:rPr>
        <w:t>, 2025.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3DEA35A9" w:rsidR="006849C8" w:rsidRPr="006849C8" w:rsidRDefault="00D846DF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</w:t>
      </w:r>
      <w:r w:rsidR="005430A3">
        <w:rPr>
          <w:rFonts w:ascii="Arial" w:eastAsiaTheme="minorEastAsia" w:hAnsi="Arial" w:cs="Arial"/>
          <w:iCs/>
          <w:sz w:val="30"/>
          <w:szCs w:val="30"/>
          <w:lang w:eastAsia="zh-CN"/>
        </w:rPr>
        <w:t>pen issues</w:t>
      </w:r>
    </w:p>
    <w:p w14:paraId="64D1417F" w14:textId="350F66B7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 w:rsidR="000A338A">
        <w:rPr>
          <w:b/>
          <w:bCs/>
          <w:u w:val="single"/>
          <w:lang w:val="en-GB" w:eastAsia="zh-CN"/>
        </w:rPr>
        <w:t>LTE</w:t>
      </w:r>
      <w:r w:rsidRPr="00551AD8">
        <w:rPr>
          <w:b/>
          <w:bCs/>
          <w:u w:val="single"/>
          <w:lang w:val="en-GB" w:eastAsia="zh-CN"/>
        </w:rPr>
        <w:t>RRC-</w:t>
      </w:r>
      <w:r>
        <w:rPr>
          <w:b/>
          <w:bCs/>
          <w:u w:val="single"/>
          <w:lang w:val="en-GB" w:eastAsia="zh-CN"/>
        </w:rPr>
        <w:t>1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0A338A">
        <w:rPr>
          <w:b/>
          <w:bCs/>
          <w:u w:val="single"/>
          <w:lang w:val="en-GB" w:eastAsia="zh-CN"/>
        </w:rPr>
        <w:t>Condition for UE setting timeSCGFailure and previousPSCellId</w:t>
      </w:r>
    </w:p>
    <w:p w14:paraId="55C40D6F" w14:textId="13E23EF6" w:rsidR="000A338A" w:rsidRDefault="000A338A" w:rsidP="000A338A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At RAN2#129bis meeting, the open issue list Tdoc [2] was discussed. For the second open issue, RAN2 had some online discussion, but it still needed more time to check it. The following text is about this </w:t>
      </w:r>
      <w:r>
        <w:rPr>
          <w:rFonts w:eastAsiaTheme="minorEastAsia" w:hint="eastAsia"/>
          <w:szCs w:val="20"/>
          <w:lang w:eastAsia="zh-CN"/>
        </w:rPr>
        <w:t>issue</w:t>
      </w:r>
      <w:r>
        <w:rPr>
          <w:rFonts w:eastAsiaTheme="minorEastAsia"/>
          <w:szCs w:val="20"/>
          <w:lang w:eastAsia="zh-CN"/>
        </w:rPr>
        <w:t xml:space="preserve"> (from [2]):</w:t>
      </w:r>
    </w:p>
    <w:p w14:paraId="105C23E3" w14:textId="1A49CF19" w:rsidR="000A338A" w:rsidRPr="000A338A" w:rsidRDefault="000A338A" w:rsidP="000A338A">
      <w:pPr>
        <w:rPr>
          <w:lang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7361A53B" w14:textId="77777777" w:rsidR="000A338A" w:rsidRDefault="000A338A" w:rsidP="000A338A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uring the email discussion, the following text was discussed.</w:t>
      </w:r>
    </w:p>
    <w:p w14:paraId="040CC139" w14:textId="77777777" w:rsidR="000A338A" w:rsidRPr="00B82B23" w:rsidRDefault="000A338A" w:rsidP="000A338A">
      <w:pPr>
        <w:pStyle w:val="B2"/>
        <w:rPr>
          <w:color w:val="FF0000"/>
          <w:u w:val="single"/>
        </w:rPr>
      </w:pPr>
      <w:r w:rsidRPr="00B82B23">
        <w:rPr>
          <w:color w:val="FF0000"/>
          <w:u w:val="single"/>
        </w:rPr>
        <w:t>2&gt;</w:t>
      </w:r>
      <w:r w:rsidRPr="00B82B23">
        <w:rPr>
          <w:color w:val="FF0000"/>
          <w:u w:val="single"/>
        </w:rPr>
        <w:tab/>
        <w:t>else:</w:t>
      </w:r>
    </w:p>
    <w:p w14:paraId="785D53B0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color w:val="FF0000"/>
          <w:u w:val="single"/>
        </w:rPr>
        <w:t>3&gt;</w:t>
      </w:r>
      <w:r w:rsidRPr="00B82B23">
        <w:rPr>
          <w:color w:val="FF0000"/>
          <w:u w:val="single"/>
        </w:rPr>
        <w:tab/>
        <w:t>set the</w:t>
      </w:r>
      <w:r w:rsidRPr="00B82B23">
        <w:rPr>
          <w:i/>
          <w:iCs/>
          <w:color w:val="FF0000"/>
          <w:u w:val="single"/>
        </w:rPr>
        <w:t xml:space="preserve"> failedPSCellId</w:t>
      </w:r>
      <w:r w:rsidRPr="00B82B23">
        <w:rPr>
          <w:color w:val="FF0000"/>
          <w:u w:val="single"/>
        </w:rPr>
        <w:t xml:space="preserve"> to the physical cell identity and carrier frequency of the PSCell in which the SCG failure was declared;</w:t>
      </w:r>
    </w:p>
    <w:p w14:paraId="2F6078AE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rFonts w:eastAsia="宋体"/>
          <w:color w:val="FF0000"/>
          <w:highlight w:val="yellow"/>
          <w:u w:val="single"/>
        </w:rPr>
        <w:t>3&gt;</w:t>
      </w:r>
      <w:r w:rsidRPr="00B82B23">
        <w:rPr>
          <w:rFonts w:eastAsia="宋体"/>
          <w:color w:val="FF0000"/>
          <w:highlight w:val="yellow"/>
          <w:u w:val="single"/>
        </w:rPr>
        <w:tab/>
      </w:r>
      <w:r w:rsidRPr="00B82B23">
        <w:rPr>
          <w:color w:val="FF0000"/>
          <w:highlight w:val="yellow"/>
          <w:u w:val="single"/>
        </w:rPr>
        <w:t xml:space="preserve">if the last </w:t>
      </w:r>
      <w:r w:rsidRPr="00B82B23">
        <w:rPr>
          <w:i/>
          <w:color w:val="FF0000"/>
          <w:highlight w:val="yellow"/>
          <w:u w:val="single"/>
        </w:rPr>
        <w:t>RRCReconfiguration</w:t>
      </w:r>
      <w:r w:rsidRPr="00B82B23">
        <w:rPr>
          <w:color w:val="FF0000"/>
          <w:highlight w:val="yellow"/>
          <w:u w:val="single"/>
        </w:rPr>
        <w:t xml:space="preserve"> message including the </w:t>
      </w:r>
      <w:r w:rsidRPr="00B82B23">
        <w:rPr>
          <w:i/>
          <w:color w:val="FF0000"/>
          <w:highlight w:val="yellow"/>
          <w:u w:val="single"/>
        </w:rPr>
        <w:t>reconfigurationWithSync</w:t>
      </w:r>
      <w:r w:rsidRPr="00B82B23">
        <w:rPr>
          <w:color w:val="FF0000"/>
          <w:highlight w:val="yellow"/>
          <w:u w:val="single"/>
        </w:rPr>
        <w:t xml:space="preserve"> for the SCG was received to enter the PSCell in which the SCG failure was declared:</w:t>
      </w:r>
    </w:p>
    <w:p w14:paraId="23027ADD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color w:val="FF0000"/>
          <w:u w:val="single"/>
        </w:rPr>
        <w:lastRenderedPageBreak/>
        <w:t>4&gt;</w:t>
      </w:r>
      <w:r w:rsidRPr="00B82B23">
        <w:rPr>
          <w:color w:val="FF0000"/>
          <w:u w:val="single"/>
        </w:rPr>
        <w:tab/>
        <w:t xml:space="preserve">set the </w:t>
      </w:r>
      <w:r w:rsidRPr="00B82B23">
        <w:rPr>
          <w:i/>
          <w:color w:val="FF0000"/>
          <w:u w:val="single"/>
        </w:rPr>
        <w:t>timeSCGFailure</w:t>
      </w:r>
      <w:r w:rsidRPr="00B82B23">
        <w:rPr>
          <w:color w:val="FF0000"/>
          <w:u w:val="single"/>
        </w:rPr>
        <w:t xml:space="preserve"> to the elapsed time since the last execution of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the </w:t>
      </w:r>
      <w:r w:rsidRPr="00B82B23">
        <w:rPr>
          <w:i/>
          <w:color w:val="FF0000"/>
          <w:u w:val="single"/>
        </w:rPr>
        <w:t xml:space="preserve">reconfigurationWithSync </w:t>
      </w:r>
      <w:r w:rsidRPr="00B82B23">
        <w:rPr>
          <w:iCs/>
          <w:color w:val="FF0000"/>
          <w:u w:val="single"/>
        </w:rPr>
        <w:t>for the SCG until declaring the SCG failure</w:t>
      </w:r>
      <w:r w:rsidRPr="00B82B23">
        <w:rPr>
          <w:color w:val="FF0000"/>
          <w:u w:val="single"/>
        </w:rPr>
        <w:t>;</w:t>
      </w:r>
    </w:p>
    <w:p w14:paraId="313026FC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rFonts w:eastAsia="宋体"/>
          <w:color w:val="FF0000"/>
          <w:u w:val="single"/>
        </w:rPr>
        <w:t>4&gt;</w:t>
      </w:r>
      <w:r w:rsidRPr="00B82B23">
        <w:rPr>
          <w:rFonts w:eastAsia="宋体"/>
          <w:color w:val="FF0000"/>
          <w:u w:val="single"/>
        </w:rPr>
        <w:tab/>
      </w:r>
      <w:r w:rsidRPr="00B82B23">
        <w:rPr>
          <w:color w:val="FF0000"/>
          <w:u w:val="single"/>
        </w:rPr>
        <w:t xml:space="preserve">set the </w:t>
      </w:r>
      <w:r w:rsidRPr="00B82B23">
        <w:rPr>
          <w:i/>
          <w:color w:val="FF0000"/>
          <w:u w:val="single"/>
        </w:rPr>
        <w:t>previousPSCellId</w:t>
      </w:r>
      <w:r w:rsidRPr="00B82B23">
        <w:rPr>
          <w:color w:val="FF0000"/>
          <w:u w:val="single"/>
        </w:rPr>
        <w:t xml:space="preserve"> to the physical cell identity and carrier frequency of the source PSCell associated to the last received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</w:t>
      </w:r>
      <w:r w:rsidRPr="00B82B23">
        <w:rPr>
          <w:i/>
          <w:color w:val="FF0000"/>
          <w:u w:val="single"/>
        </w:rPr>
        <w:t>reconfigurationWithSync</w:t>
      </w:r>
      <w:r w:rsidRPr="00B82B23">
        <w:rPr>
          <w:color w:val="FF0000"/>
          <w:u w:val="single"/>
        </w:rPr>
        <w:t xml:space="preserve"> </w:t>
      </w:r>
      <w:r w:rsidRPr="00B82B23">
        <w:rPr>
          <w:iCs/>
          <w:color w:val="FF0000"/>
          <w:u w:val="single"/>
        </w:rPr>
        <w:t>for the SCG</w:t>
      </w:r>
      <w:r w:rsidRPr="00B82B23">
        <w:rPr>
          <w:color w:val="FF0000"/>
          <w:u w:val="single"/>
        </w:rPr>
        <w:t>;</w:t>
      </w:r>
    </w:p>
    <w:p w14:paraId="1F545BF4" w14:textId="77777777" w:rsidR="000A338A" w:rsidRDefault="000A338A" w:rsidP="000A338A">
      <w:pPr>
        <w:rPr>
          <w:lang w:val="en-GB" w:eastAsia="zh-CN"/>
        </w:rPr>
      </w:pPr>
    </w:p>
    <w:p w14:paraId="02586148" w14:textId="77777777" w:rsidR="000A338A" w:rsidRPr="00B82B23" w:rsidRDefault="000A338A" w:rsidP="000A338A">
      <w:pPr>
        <w:rPr>
          <w:lang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above highlighted part, one company would like to further discuss it.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A338A" w14:paraId="65100DA8" w14:textId="77777777" w:rsidTr="005C773A">
        <w:tc>
          <w:tcPr>
            <w:tcW w:w="9307" w:type="dxa"/>
          </w:tcPr>
          <w:p w14:paraId="1398BF21" w14:textId="77777777" w:rsidR="000A338A" w:rsidRDefault="000A338A" w:rsidP="005C773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S</w:t>
            </w:r>
            <w:r>
              <w:rPr>
                <w:lang w:val="en-GB" w:eastAsia="zh-CN"/>
              </w:rPr>
              <w:t>amsung (Aby):</w:t>
            </w:r>
          </w:p>
          <w:p w14:paraId="65E922C4" w14:textId="77777777" w:rsidR="000A338A" w:rsidRDefault="000A338A" w:rsidP="005C773A">
            <w:pPr>
              <w:pStyle w:val="a7"/>
            </w:pPr>
            <w:r>
              <w:t xml:space="preserve">Woundn’t this caluse in </w:t>
            </w:r>
            <w:r w:rsidRPr="000373F8">
              <w:rPr>
                <w:highlight w:val="green"/>
              </w:rPr>
              <w:t>3&gt;</w:t>
            </w:r>
            <w:r>
              <w:t xml:space="preserve"> will be always true? For both SCG addition and change, RRCReconfiguration message will include reconfigurationWithSync for the SCG.</w:t>
            </w:r>
          </w:p>
          <w:p w14:paraId="3BE79883" w14:textId="77777777" w:rsidR="000A338A" w:rsidRDefault="000A338A" w:rsidP="005C773A">
            <w:pPr>
              <w:pStyle w:val="a7"/>
            </w:pPr>
            <w:r>
              <w:t>It looks to me that this part seems to be intended only PSCellChange.</w:t>
            </w:r>
          </w:p>
          <w:p w14:paraId="3ED2B53A" w14:textId="77777777" w:rsidR="000A338A" w:rsidRDefault="000A338A" w:rsidP="005C773A">
            <w:pPr>
              <w:pStyle w:val="a7"/>
            </w:pPr>
            <w:r>
              <w:t>First it needs to be clarified, if timeSinceSCGFailure needs to be set for PSCellAddition for these cases.</w:t>
            </w:r>
          </w:p>
          <w:p w14:paraId="347F5188" w14:textId="77777777" w:rsidR="000A338A" w:rsidRDefault="000A338A" w:rsidP="005C773A">
            <w:pPr>
              <w:pStyle w:val="a7"/>
            </w:pPr>
            <w:r>
              <w:t xml:space="preserve">If yes, this 3&gt; can be removed and 4 should be </w:t>
            </w:r>
          </w:p>
          <w:p w14:paraId="1367919F" w14:textId="77777777" w:rsidR="000A338A" w:rsidRPr="00121B46" w:rsidRDefault="000A338A" w:rsidP="005C773A">
            <w:pPr>
              <w:pStyle w:val="B4"/>
              <w:rPr>
                <w:color w:val="FF0000"/>
              </w:rPr>
            </w:pPr>
            <w:r w:rsidRPr="00121B46">
              <w:rPr>
                <w:rFonts w:eastAsia="宋体"/>
                <w:color w:val="FF0000"/>
              </w:rPr>
              <w:t>4&gt;</w:t>
            </w:r>
            <w:r w:rsidRPr="00121B46">
              <w:rPr>
                <w:color w:val="FF0000"/>
              </w:rPr>
              <w:t xml:space="preserve">set the </w:t>
            </w:r>
            <w:r w:rsidRPr="00121B46">
              <w:rPr>
                <w:i/>
                <w:color w:val="FF0000"/>
              </w:rPr>
              <w:t>previousPSCellId</w:t>
            </w:r>
            <w:r w:rsidRPr="00121B46">
              <w:rPr>
                <w:color w:val="FF0000"/>
              </w:rPr>
              <w:t xml:space="preserve"> to the physical cell identity and carrier frequency of the source PSCell associated to the last received</w:t>
            </w:r>
            <w:r w:rsidRPr="00121B46">
              <w:rPr>
                <w:i/>
                <w:color w:val="FF0000"/>
              </w:rPr>
              <w:t xml:space="preserve"> RRCReconfiguration</w:t>
            </w:r>
            <w:r w:rsidRPr="00121B46">
              <w:rPr>
                <w:color w:val="FF0000"/>
              </w:rPr>
              <w:t xml:space="preserve"> message including </w:t>
            </w:r>
            <w:r w:rsidRPr="00121B46">
              <w:rPr>
                <w:i/>
                <w:color w:val="FF0000"/>
              </w:rPr>
              <w:t>reconfigurationWithSync</w:t>
            </w:r>
            <w:r w:rsidRPr="000373F8">
              <w:rPr>
                <w:iCs/>
                <w:color w:val="FF0000"/>
                <w:highlight w:val="yellow"/>
              </w:rPr>
              <w:t>, if available</w:t>
            </w:r>
            <w:r w:rsidRPr="00121B46">
              <w:rPr>
                <w:color w:val="FF0000"/>
              </w:rPr>
              <w:t>;</w:t>
            </w:r>
          </w:p>
          <w:p w14:paraId="074A319E" w14:textId="77777777" w:rsidR="000A338A" w:rsidRDefault="000A338A" w:rsidP="005C773A">
            <w:pPr>
              <w:pStyle w:val="a7"/>
            </w:pPr>
            <w:r>
              <w:t>If no,</w:t>
            </w:r>
          </w:p>
          <w:p w14:paraId="445E3E5C" w14:textId="77777777" w:rsidR="000A338A" w:rsidRDefault="000A338A" w:rsidP="005C773A">
            <w:pPr>
              <w:pStyle w:val="a7"/>
            </w:pPr>
            <w:r>
              <w:t>We may need to update 3&gt; as below:</w:t>
            </w:r>
          </w:p>
          <w:p w14:paraId="6E8B1F98" w14:textId="77777777" w:rsidR="000A338A" w:rsidRPr="00121B46" w:rsidRDefault="000A338A" w:rsidP="005C773A">
            <w:pPr>
              <w:pStyle w:val="B3"/>
              <w:rPr>
                <w:color w:val="FF0000"/>
              </w:rPr>
            </w:pPr>
            <w:r w:rsidRPr="00C33388">
              <w:rPr>
                <w:rFonts w:eastAsia="宋体"/>
                <w:color w:val="FF0000"/>
                <w:highlight w:val="green"/>
              </w:rPr>
              <w:t>3&gt;</w:t>
            </w:r>
            <w:r w:rsidRPr="00C33388">
              <w:rPr>
                <w:rFonts w:eastAsia="宋体"/>
                <w:color w:val="FF0000"/>
                <w:highlight w:val="green"/>
              </w:rPr>
              <w:tab/>
            </w:r>
            <w:r w:rsidRPr="00C33388">
              <w:rPr>
                <w:color w:val="FF0000"/>
                <w:highlight w:val="green"/>
              </w:rPr>
              <w:t xml:space="preserve">if the last </w:t>
            </w:r>
            <w:r w:rsidRPr="00C33388">
              <w:rPr>
                <w:i/>
                <w:color w:val="FF0000"/>
                <w:highlight w:val="green"/>
              </w:rPr>
              <w:t>RRCReconfiguration</w:t>
            </w:r>
            <w:r w:rsidRPr="00C33388">
              <w:rPr>
                <w:color w:val="FF0000"/>
                <w:highlight w:val="green"/>
              </w:rPr>
              <w:t xml:space="preserve"> message including the </w:t>
            </w:r>
            <w:r w:rsidRPr="00C33388">
              <w:rPr>
                <w:i/>
                <w:color w:val="FF0000"/>
                <w:highlight w:val="green"/>
              </w:rPr>
              <w:t>reconfigurationWithSync</w:t>
            </w:r>
            <w:r w:rsidRPr="00C33388">
              <w:rPr>
                <w:color w:val="FF0000"/>
                <w:highlight w:val="green"/>
              </w:rPr>
              <w:t xml:space="preserve"> for the SCG was received to enter the PSCell in which the SCG failure was declared</w:t>
            </w:r>
            <w:r>
              <w:rPr>
                <w:color w:val="FF0000"/>
                <w:highlight w:val="green"/>
              </w:rPr>
              <w:t xml:space="preserve"> </w:t>
            </w:r>
            <w:r w:rsidRPr="000373F8">
              <w:rPr>
                <w:color w:val="FF0000"/>
                <w:highlight w:val="yellow"/>
              </w:rPr>
              <w:t>from another PSCell</w:t>
            </w:r>
            <w:r w:rsidRPr="00C33388">
              <w:rPr>
                <w:color w:val="FF0000"/>
                <w:highlight w:val="green"/>
              </w:rPr>
              <w:t>:</w:t>
            </w:r>
          </w:p>
          <w:p w14:paraId="6A47F1B1" w14:textId="77777777" w:rsidR="000A338A" w:rsidRDefault="000A338A" w:rsidP="005C773A">
            <w:pPr>
              <w:pStyle w:val="a7"/>
            </w:pPr>
            <w:r>
              <w:t>I think it will need some discussion.</w:t>
            </w:r>
          </w:p>
        </w:tc>
      </w:tr>
    </w:tbl>
    <w:p w14:paraId="33E8D7A0" w14:textId="77777777" w:rsidR="000A338A" w:rsidRDefault="000A338A" w:rsidP="000A338A">
      <w:pPr>
        <w:pStyle w:val="a7"/>
      </w:pPr>
    </w:p>
    <w:p w14:paraId="06A4D6B1" w14:textId="77777777" w:rsidR="000A338A" w:rsidRDefault="000A338A" w:rsidP="000A338A">
      <w:pPr>
        <w:pStyle w:val="a7"/>
        <w:rPr>
          <w:rFonts w:eastAsia="等线"/>
          <w:lang w:eastAsia="zh-CN"/>
        </w:rPr>
      </w:pPr>
      <w:r>
        <w:rPr>
          <w:lang w:val="en-GB" w:eastAsia="zh-CN"/>
        </w:rPr>
        <w:t xml:space="preserve">For the above changes, they are following the definitions </w:t>
      </w:r>
      <w:r>
        <w:rPr>
          <w:lang w:eastAsia="zh-CN"/>
        </w:rPr>
        <w:t>from TS 38.331, and NR introduced this text since Rel-17</w:t>
      </w:r>
      <w:r>
        <w:rPr>
          <w:rFonts w:eastAsia="等线"/>
          <w:lang w:eastAsia="zh-CN"/>
        </w:rPr>
        <w:t xml:space="preserve">, i.e. </w:t>
      </w:r>
      <w:r w:rsidRPr="00F93D51">
        <w:rPr>
          <w:rFonts w:eastAsia="等线"/>
          <w:lang w:eastAsia="zh-CN"/>
        </w:rPr>
        <w:t>R2-2204209</w:t>
      </w:r>
      <w:r>
        <w:rPr>
          <w:rFonts w:eastAsia="等线"/>
          <w:lang w:eastAsia="zh-CN"/>
        </w:rPr>
        <w:t>. Furthermore, the changes were made based on the RAN3 requirement in the LS R3-211332, and the applicable use case is PScell change failure for MRO.</w:t>
      </w:r>
    </w:p>
    <w:p w14:paraId="7CCCF54D" w14:textId="77777777" w:rsidR="000A338A" w:rsidRDefault="000A338A" w:rsidP="000A338A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The</w:t>
      </w:r>
      <w:r>
        <w:rPr>
          <w:rFonts w:eastAsia="等线"/>
          <w:lang w:eastAsia="zh-CN"/>
        </w:rPr>
        <w:t xml:space="preserve"> </w:t>
      </w:r>
      <w:r>
        <w:rPr>
          <w:rFonts w:eastAsia="等线" w:hint="eastAsia"/>
          <w:lang w:eastAsia="zh-CN"/>
        </w:rPr>
        <w:t>CR</w:t>
      </w:r>
      <w:r>
        <w:rPr>
          <w:rFonts w:eastAsia="等线"/>
          <w:lang w:eastAsia="zh-CN"/>
        </w:rPr>
        <w:t xml:space="preserve"> rapporteur thinks that the condition "</w:t>
      </w:r>
      <w:r w:rsidRPr="007073D3">
        <w:rPr>
          <w:rFonts w:eastAsia="等线"/>
          <w:lang w:eastAsia="zh-CN"/>
        </w:rPr>
        <w:t>RRCReconfiguration message including the reconfigurationWithSync for the SCG</w:t>
      </w:r>
      <w:r>
        <w:rPr>
          <w:rFonts w:eastAsia="等线"/>
          <w:lang w:eastAsia="zh-CN"/>
        </w:rPr>
        <w:t>" may not always happen before SCG failure happens, e.g. a</w:t>
      </w:r>
      <w:r w:rsidRPr="007073D3">
        <w:rPr>
          <w:rFonts w:eastAsia="等线"/>
          <w:lang w:eastAsia="zh-CN"/>
        </w:rPr>
        <w:t>fter the UE accesses the network, the MCG and SCG are configured</w:t>
      </w:r>
      <w:r>
        <w:rPr>
          <w:rFonts w:eastAsia="等线"/>
          <w:lang w:eastAsia="zh-CN"/>
        </w:rPr>
        <w:t xml:space="preserve"> by the network, and then </w:t>
      </w:r>
      <w:r w:rsidRPr="007073D3">
        <w:rPr>
          <w:rFonts w:eastAsia="等线"/>
          <w:lang w:eastAsia="zh-CN"/>
        </w:rPr>
        <w:t>an SCG failure occurs.</w:t>
      </w:r>
      <w:r>
        <w:rPr>
          <w:rFonts w:eastAsia="等线"/>
          <w:lang w:eastAsia="zh-CN"/>
        </w:rPr>
        <w:t xml:space="preserve"> So this condition is important and it should be kept.</w:t>
      </w:r>
    </w:p>
    <w:p w14:paraId="5DEB833B" w14:textId="6CCFD519" w:rsidR="000A338A" w:rsidRDefault="000A338A" w:rsidP="000A338A">
      <w:pPr>
        <w:rPr>
          <w:rFonts w:eastAsiaTheme="minorEastAsia"/>
          <w:lang w:val="en-GB"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1F2541FF" w14:textId="77777777" w:rsidR="000A338A" w:rsidRPr="000A338A" w:rsidRDefault="000A338A" w:rsidP="00504152">
      <w:pPr>
        <w:pStyle w:val="a0"/>
        <w:rPr>
          <w:rFonts w:eastAsiaTheme="minorEastAsia"/>
          <w:b/>
          <w:bCs/>
          <w:u w:val="single"/>
          <w:lang w:eastAsia="zh-CN"/>
        </w:rPr>
      </w:pPr>
    </w:p>
    <w:p w14:paraId="7996E8DA" w14:textId="1E3B741E" w:rsidR="000A338A" w:rsidRDefault="000A338A" w:rsidP="000A338A">
      <w:pPr>
        <w:pStyle w:val="EditorsNote"/>
        <w:ind w:left="0" w:firstLine="0"/>
        <w:rPr>
          <w:rFonts w:eastAsia="MS Mincho"/>
          <w:b/>
          <w:bCs/>
          <w:color w:val="auto"/>
          <w:lang w:val="en-US" w:eastAsia="ko-KR"/>
        </w:rPr>
      </w:pPr>
      <w:r>
        <w:rPr>
          <w:rFonts w:eastAsia="MS Mincho"/>
          <w:b/>
          <w:bCs/>
          <w:color w:val="auto"/>
          <w:lang w:eastAsia="ko-KR"/>
        </w:rPr>
        <w:t xml:space="preserve">Regarding </w:t>
      </w:r>
      <w:r w:rsidRPr="000A338A">
        <w:rPr>
          <w:rFonts w:eastAsia="MS Mincho"/>
          <w:b/>
          <w:bCs/>
          <w:color w:val="auto"/>
          <w:lang w:eastAsia="ko-KR"/>
        </w:rPr>
        <w:t>Open issue LTERRC-1</w:t>
      </w:r>
      <w:r>
        <w:rPr>
          <w:rFonts w:eastAsia="MS Mincho"/>
          <w:b/>
          <w:bCs/>
          <w:color w:val="auto"/>
          <w:lang w:eastAsia="ko-KR"/>
        </w:rPr>
        <w:t>, c</w:t>
      </w:r>
      <w:r w:rsidRPr="00BE3BEB">
        <w:rPr>
          <w:rFonts w:eastAsia="MS Mincho"/>
          <w:b/>
          <w:bCs/>
          <w:color w:val="auto"/>
          <w:lang w:eastAsia="ko-KR"/>
        </w:rPr>
        <w:t xml:space="preserve">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 xml:space="preserve">to keep the </w:t>
      </w:r>
      <w:r w:rsidR="00272CEE">
        <w:rPr>
          <w:rFonts w:eastAsia="MS Mincho"/>
          <w:b/>
          <w:bCs/>
          <w:color w:val="auto"/>
          <w:lang w:val="en-US" w:eastAsia="ko-KR"/>
        </w:rPr>
        <w:t>following</w:t>
      </w:r>
      <w:r>
        <w:rPr>
          <w:rFonts w:eastAsia="MS Mincho"/>
          <w:b/>
          <w:bCs/>
          <w:color w:val="auto"/>
          <w:lang w:val="en-US" w:eastAsia="ko-KR"/>
        </w:rPr>
        <w:t xml:space="preserve"> condition or not</w:t>
      </w:r>
      <w:r w:rsidR="00272CEE">
        <w:rPr>
          <w:rFonts w:eastAsia="MS Mincho"/>
          <w:b/>
          <w:bCs/>
          <w:color w:val="auto"/>
          <w:lang w:val="en-US" w:eastAsia="ko-KR"/>
        </w:rPr>
        <w:t xml:space="preserve"> (it has been captured </w:t>
      </w:r>
      <w:r w:rsidR="00272CEE" w:rsidRPr="00272CEE">
        <w:rPr>
          <w:rFonts w:eastAsia="MS Mincho"/>
          <w:b/>
          <w:bCs/>
          <w:color w:val="auto"/>
          <w:lang w:val="en-US" w:eastAsia="ko-KR"/>
        </w:rPr>
        <w:t xml:space="preserve">in section 5.6.13a.3 in </w:t>
      </w:r>
      <w:r w:rsidR="00272CEE" w:rsidRPr="00883B5A">
        <w:rPr>
          <w:rFonts w:eastAsia="MS Mincho"/>
          <w:b/>
          <w:bCs/>
          <w:i/>
          <w:color w:val="auto"/>
          <w:lang w:val="en-US" w:eastAsia="ko-KR"/>
        </w:rPr>
        <w:t>draft_Running 36.331 CR for R19 SONMDT_v00-Rapp</w:t>
      </w:r>
      <w:r w:rsidR="00272CEE">
        <w:rPr>
          <w:rFonts w:eastAsia="MS Mincho"/>
          <w:b/>
          <w:bCs/>
          <w:color w:val="auto"/>
          <w:lang w:val="en-US" w:eastAsia="ko-KR"/>
        </w:rPr>
        <w:t>)</w:t>
      </w:r>
      <w:r>
        <w:rPr>
          <w:rFonts w:eastAsia="MS Mincho"/>
          <w:b/>
          <w:bCs/>
          <w:color w:val="auto"/>
          <w:lang w:val="en-US" w:eastAsia="ko-KR"/>
        </w:rPr>
        <w:t>. If No, please provide your comments/suggestions.</w:t>
      </w:r>
    </w:p>
    <w:p w14:paraId="7A5DF897" w14:textId="3B1159DB" w:rsidR="00272CEE" w:rsidRPr="00272CEE" w:rsidRDefault="00272CEE" w:rsidP="00272CEE">
      <w:pPr>
        <w:pStyle w:val="B3"/>
        <w:rPr>
          <w:rFonts w:eastAsia="Malgun Gothic"/>
          <w:b/>
          <w:bCs/>
          <w:lang w:eastAsia="ko-KR"/>
        </w:rPr>
      </w:pPr>
      <w:r w:rsidRPr="00272CEE">
        <w:rPr>
          <w:rFonts w:eastAsia="宋体"/>
          <w:highlight w:val="yellow"/>
        </w:rPr>
        <w:t>3&gt;</w:t>
      </w:r>
      <w:r w:rsidRPr="00272CEE">
        <w:rPr>
          <w:rFonts w:eastAsia="宋体"/>
          <w:highlight w:val="yellow"/>
        </w:rPr>
        <w:tab/>
      </w:r>
      <w:r w:rsidRPr="00272CEE">
        <w:rPr>
          <w:highlight w:val="yellow"/>
        </w:rPr>
        <w:t xml:space="preserve">if the last </w:t>
      </w:r>
      <w:r w:rsidRPr="00272CEE">
        <w:rPr>
          <w:i/>
          <w:highlight w:val="yellow"/>
        </w:rPr>
        <w:t>RRCReconfiguration</w:t>
      </w:r>
      <w:r w:rsidRPr="00272CEE">
        <w:rPr>
          <w:highlight w:val="yellow"/>
        </w:rPr>
        <w:t xml:space="preserve"> message including the </w:t>
      </w:r>
      <w:r w:rsidRPr="00272CEE">
        <w:rPr>
          <w:i/>
          <w:highlight w:val="yellow"/>
        </w:rPr>
        <w:t>reconfigurationWithSync</w:t>
      </w:r>
      <w:r w:rsidRPr="00272CEE">
        <w:rPr>
          <w:highlight w:val="yellow"/>
        </w:rPr>
        <w:t xml:space="preserve"> for the SCG was received to enter the PSCell in which the SCG failure was declared: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0A338A" w:rsidRPr="00B10971" w14:paraId="2E8899B1" w14:textId="77777777" w:rsidTr="005C773A">
        <w:tc>
          <w:tcPr>
            <w:tcW w:w="1276" w:type="dxa"/>
          </w:tcPr>
          <w:p w14:paraId="2D6FE8C2" w14:textId="77777777" w:rsidR="000A338A" w:rsidRPr="00B10971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3941342B" w14:textId="77777777" w:rsidR="000A338A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157B195C" w14:textId="77777777" w:rsidR="000A338A" w:rsidRPr="00B10971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0A338A" w14:paraId="019E73DA" w14:textId="77777777" w:rsidTr="005C773A">
        <w:tc>
          <w:tcPr>
            <w:tcW w:w="1276" w:type="dxa"/>
          </w:tcPr>
          <w:p w14:paraId="497CE8C7" w14:textId="52F63470" w:rsidR="000A338A" w:rsidRDefault="00FE5843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2437" w:type="dxa"/>
          </w:tcPr>
          <w:p w14:paraId="57FAED16" w14:textId="7E7DCC32" w:rsidR="000A338A" w:rsidRDefault="00644986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</w:t>
            </w:r>
          </w:p>
        </w:tc>
        <w:tc>
          <w:tcPr>
            <w:tcW w:w="5926" w:type="dxa"/>
          </w:tcPr>
          <w:p w14:paraId="387E9C57" w14:textId="4B823E53" w:rsidR="007925AA" w:rsidRDefault="007925AA" w:rsidP="007925AA">
            <w:pPr>
              <w:pStyle w:val="a7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We think that the condition "</w:t>
            </w:r>
            <w:r w:rsidRPr="007073D3">
              <w:rPr>
                <w:rFonts w:eastAsia="等线"/>
                <w:lang w:eastAsia="zh-CN"/>
              </w:rPr>
              <w:t>RRCReconfiguration message including the reconfigurationWithSync for the SCG</w:t>
            </w:r>
            <w:r>
              <w:rPr>
                <w:rFonts w:eastAsia="等线"/>
                <w:lang w:eastAsia="zh-CN"/>
              </w:rPr>
              <w:t xml:space="preserve">" </w:t>
            </w:r>
            <w:r w:rsidRPr="007925AA">
              <w:rPr>
                <w:rFonts w:eastAsia="等线"/>
                <w:color w:val="FF0000"/>
                <w:lang w:eastAsia="zh-CN"/>
              </w:rPr>
              <w:t xml:space="preserve">will always happen </w:t>
            </w:r>
            <w:r>
              <w:rPr>
                <w:rFonts w:eastAsia="等线"/>
                <w:lang w:eastAsia="zh-CN"/>
              </w:rPr>
              <w:t xml:space="preserve">before SCG failure happens </w:t>
            </w:r>
          </w:p>
          <w:p w14:paraId="3BD932E7" w14:textId="77777777" w:rsidR="00545CBC" w:rsidRDefault="007925AA" w:rsidP="007925AA">
            <w:pPr>
              <w:pStyle w:val="a7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Regarding “a</w:t>
            </w:r>
            <w:r w:rsidRPr="007073D3">
              <w:rPr>
                <w:rFonts w:eastAsia="等线"/>
                <w:lang w:eastAsia="zh-CN"/>
              </w:rPr>
              <w:t>fter the UE accesses the network, the MCG and SCG are configured</w:t>
            </w:r>
            <w:r>
              <w:rPr>
                <w:rFonts w:eastAsia="等线"/>
                <w:lang w:eastAsia="zh-CN"/>
              </w:rPr>
              <w:t xml:space="preserve"> by the network, and then </w:t>
            </w:r>
            <w:r w:rsidRPr="007073D3">
              <w:rPr>
                <w:rFonts w:eastAsia="等线"/>
                <w:lang w:eastAsia="zh-CN"/>
              </w:rPr>
              <w:t>an SCG failure occurs.</w:t>
            </w:r>
            <w:r>
              <w:rPr>
                <w:rFonts w:eastAsia="等线"/>
                <w:lang w:eastAsia="zh-CN"/>
              </w:rPr>
              <w:t xml:space="preserve"> So this condition is important and it should be kept.”, please see the below the </w:t>
            </w:r>
            <w:r>
              <w:rPr>
                <w:rFonts w:eastAsia="等线"/>
                <w:lang w:eastAsia="zh-CN"/>
              </w:rPr>
              <w:lastRenderedPageBreak/>
              <w:t xml:space="preserve">presence condition in reconfigurationWithSync. ReconfWithSync is present during PSCellChange,PSCellAddition,SCG resume. </w:t>
            </w:r>
          </w:p>
          <w:p w14:paraId="2D05BB55" w14:textId="77777777" w:rsidR="00545CBC" w:rsidRDefault="00545CBC" w:rsidP="007925AA">
            <w:pPr>
              <w:pStyle w:val="a7"/>
              <w:rPr>
                <w:rFonts w:eastAsia="等线"/>
                <w:lang w:eastAsia="zh-CN"/>
              </w:rPr>
            </w:pPr>
          </w:p>
          <w:p w14:paraId="3B686C2C" w14:textId="7FD9D321" w:rsidR="007925AA" w:rsidRDefault="00545CBC" w:rsidP="007925AA">
            <w:pPr>
              <w:pStyle w:val="a7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What is the </w:t>
            </w:r>
            <w:r w:rsidR="007925AA">
              <w:rPr>
                <w:rFonts w:eastAsia="等线"/>
                <w:lang w:eastAsia="zh-CN"/>
              </w:rPr>
              <w:t xml:space="preserve"> condition by which UE enters PSCell</w:t>
            </w:r>
            <w:r>
              <w:rPr>
                <w:rFonts w:eastAsia="等线"/>
                <w:lang w:eastAsia="zh-CN"/>
              </w:rPr>
              <w:t xml:space="preserve"> without </w:t>
            </w:r>
            <w:r w:rsidRPr="00545CBC">
              <w:rPr>
                <w:rFonts w:eastAsia="等线"/>
                <w:i/>
                <w:lang w:eastAsia="zh-CN"/>
              </w:rPr>
              <w:t>reconfigurationWithSync</w:t>
            </w:r>
            <w:r w:rsidR="007925AA">
              <w:rPr>
                <w:rFonts w:eastAsia="等线"/>
                <w:lang w:eastAsia="zh-CN"/>
              </w:rPr>
              <w:t>, before SCG failure occur</w:t>
            </w:r>
            <w:r w:rsidR="003177C5">
              <w:rPr>
                <w:rFonts w:eastAsia="等线"/>
                <w:lang w:eastAsia="zh-CN"/>
              </w:rPr>
              <w:t xml:space="preserve"> (other than the highlighted ones)</w:t>
            </w:r>
            <w:r w:rsidR="007925AA">
              <w:rPr>
                <w:rFonts w:eastAsia="等线"/>
                <w:lang w:eastAsia="zh-CN"/>
              </w:rPr>
              <w:t>?</w:t>
            </w:r>
            <w:r>
              <w:rPr>
                <w:rFonts w:eastAsia="等线"/>
                <w:lang w:eastAsia="zh-CN"/>
              </w:rPr>
              <w:t xml:space="preserve"> If there is such a condition and it needs to be excluded for </w:t>
            </w:r>
            <w:r w:rsidRPr="00545CBC">
              <w:rPr>
                <w:rFonts w:eastAsia="等线"/>
                <w:i/>
                <w:lang w:eastAsia="zh-CN"/>
              </w:rPr>
              <w:t>timeSCGFai</w:t>
            </w:r>
            <w:r>
              <w:rPr>
                <w:rFonts w:eastAsia="等线"/>
                <w:i/>
                <w:lang w:eastAsia="zh-CN"/>
              </w:rPr>
              <w:t>l</w:t>
            </w:r>
            <w:r w:rsidRPr="00545CBC">
              <w:rPr>
                <w:rFonts w:eastAsia="等线"/>
                <w:i/>
                <w:lang w:eastAsia="zh-CN"/>
              </w:rPr>
              <w:t>ure</w:t>
            </w:r>
            <w:r>
              <w:rPr>
                <w:rFonts w:eastAsia="等线"/>
                <w:lang w:eastAsia="zh-CN"/>
              </w:rPr>
              <w:t>, this “if clause” can be kept, otherwise the “if clause” is useless and need to be removed.</w:t>
            </w:r>
          </w:p>
          <w:p w14:paraId="538F4C21" w14:textId="77777777" w:rsidR="007925AA" w:rsidRDefault="007925A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7"/>
              <w:gridCol w:w="4163"/>
            </w:tblGrid>
            <w:tr w:rsidR="007925AA" w14:paraId="54030519" w14:textId="77777777">
              <w:trPr>
                <w:trHeight w:val="1223"/>
              </w:trPr>
              <w:tc>
                <w:tcPr>
                  <w:tcW w:w="0" w:type="auto"/>
                </w:tcPr>
                <w:p w14:paraId="68F43F20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ReconfWithSync </w:t>
                  </w:r>
                </w:p>
              </w:tc>
              <w:tc>
                <w:tcPr>
                  <w:tcW w:w="0" w:type="auto"/>
                </w:tcPr>
                <w:p w14:paraId="7D26B066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field is mandatory present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RRCReconfiguration </w:t>
                  </w:r>
                  <w:r>
                    <w:rPr>
                      <w:sz w:val="18"/>
                      <w:szCs w:val="18"/>
                    </w:rPr>
                    <w:t xml:space="preserve">message: </w:t>
                  </w:r>
                </w:p>
                <w:p w14:paraId="504A29F9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in each configured </w:t>
                  </w:r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 xml:space="preserve">CellGroupConfig </w:t>
                  </w:r>
                  <w:r w:rsidRPr="007925AA">
                    <w:rPr>
                      <w:sz w:val="18"/>
                      <w:szCs w:val="18"/>
                      <w:highlight w:val="yellow"/>
                    </w:rPr>
                    <w:t>for which the SpCell changes,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4839051B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masterCellGroup </w:t>
                  </w:r>
                  <w:r>
                    <w:rPr>
                      <w:sz w:val="18"/>
                      <w:szCs w:val="18"/>
                    </w:rPr>
                    <w:t>at change of AS security key derived from K</w:t>
                  </w:r>
                  <w:r>
                    <w:rPr>
                      <w:sz w:val="12"/>
                      <w:szCs w:val="12"/>
                    </w:rPr>
                    <w:t>gNB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</w:p>
                <w:p w14:paraId="4E85B9DE" w14:textId="77777777" w:rsidR="007925AA" w:rsidRPr="007925AA" w:rsidRDefault="007925AA" w:rsidP="007925AA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in the </w:t>
                  </w:r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 xml:space="preserve">secondaryCellGroup </w:t>
                  </w: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at: </w:t>
                  </w:r>
                </w:p>
                <w:p w14:paraId="7B386A6A" w14:textId="77777777" w:rsidR="007925AA" w:rsidRPr="007925AA" w:rsidRDefault="007925AA" w:rsidP="007925AA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PSCell addition, </w:t>
                  </w:r>
                </w:p>
                <w:p w14:paraId="3E574C82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>- SCG resume with NR-DC or (NG)EN-DC,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361EF590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update of required SI for PSCell, </w:t>
                  </w:r>
                </w:p>
                <w:p w14:paraId="5CBF6316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change of AS security key derived from S-K</w:t>
                  </w:r>
                  <w:r>
                    <w:rPr>
                      <w:sz w:val="12"/>
                      <w:szCs w:val="12"/>
                    </w:rPr>
                    <w:t xml:space="preserve">gNB </w:t>
                  </w:r>
                  <w:r>
                    <w:rPr>
                      <w:sz w:val="18"/>
                      <w:szCs w:val="18"/>
                    </w:rPr>
                    <w:t xml:space="preserve">while the UE is configured with at least one radio bearer with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keyToUse </w:t>
                  </w:r>
                  <w:r>
                    <w:rPr>
                      <w:sz w:val="18"/>
                      <w:szCs w:val="18"/>
                    </w:rPr>
                    <w:t xml:space="preserve">set to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secondary </w:t>
                  </w:r>
                  <w:r>
                    <w:rPr>
                      <w:sz w:val="18"/>
                      <w:szCs w:val="18"/>
                    </w:rPr>
                    <w:t xml:space="preserve">and that is not released by this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RRCReconfiguration </w:t>
                  </w:r>
                  <w:r>
                    <w:rPr>
                      <w:sz w:val="18"/>
                      <w:szCs w:val="18"/>
                    </w:rPr>
                    <w:t xml:space="preserve">message, </w:t>
                  </w:r>
                </w:p>
                <w:p w14:paraId="7505563C" w14:textId="77777777" w:rsidR="00D309D0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Otherwise, it is optionally present, need M. The field is absent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masterCellGroup </w:t>
                  </w:r>
                  <w:r>
                    <w:rPr>
                      <w:sz w:val="18"/>
                      <w:szCs w:val="18"/>
                    </w:rPr>
                    <w:t xml:space="preserve">in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RRCResume </w:t>
                  </w:r>
                  <w:r>
                    <w:rPr>
                      <w:sz w:val="18"/>
                      <w:szCs w:val="18"/>
                    </w:rPr>
                    <w:t xml:space="preserve">and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RRCSetup </w:t>
                  </w:r>
                  <w:r>
                    <w:rPr>
                      <w:sz w:val="18"/>
                      <w:szCs w:val="18"/>
                    </w:rPr>
                    <w:t xml:space="preserve">messages and is absent in the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masterCellGroup </w:t>
                  </w:r>
                  <w:r>
                    <w:rPr>
                      <w:sz w:val="18"/>
                      <w:szCs w:val="18"/>
                    </w:rPr>
                    <w:t xml:space="preserve">in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RRCReconfiguration </w:t>
                  </w:r>
                  <w:r>
                    <w:rPr>
                      <w:sz w:val="18"/>
                      <w:szCs w:val="18"/>
                    </w:rPr>
                    <w:t>messages if source configuration is not released during DAPS handover.</w:t>
                  </w:r>
                </w:p>
                <w:p w14:paraId="2E420238" w14:textId="77777777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2E57DA2" w14:textId="6F9E0ADE" w:rsidR="007925AA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Assuming that the intention is to consider </w:t>
                  </w:r>
                  <w:r w:rsidR="007925A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PSCell addition or SCG resume during (NG) EN-DC, the condition can be removed, and “if available” needs to be added for previous PSCellId.</w:t>
                  </w:r>
                </w:p>
                <w:p w14:paraId="1FFBE710" w14:textId="77777777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54931AA" w14:textId="04AD9E2E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665A2E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6773BD42" w14:textId="77777777" w:rsidTr="005C773A">
        <w:tc>
          <w:tcPr>
            <w:tcW w:w="1276" w:type="dxa"/>
          </w:tcPr>
          <w:p w14:paraId="36CF1D34" w14:textId="5093AB8E" w:rsidR="000A338A" w:rsidRDefault="00FE5843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H</w:t>
            </w:r>
            <w:r>
              <w:rPr>
                <w:rFonts w:eastAsia="等线"/>
                <w:lang w:eastAsia="zh-CN"/>
              </w:rPr>
              <w:t>uawei, HiSilicon</w:t>
            </w:r>
          </w:p>
        </w:tc>
        <w:tc>
          <w:tcPr>
            <w:tcW w:w="2437" w:type="dxa"/>
          </w:tcPr>
          <w:p w14:paraId="42A037C5" w14:textId="2DDE9A03" w:rsidR="000A338A" w:rsidRDefault="00D10668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 strong opinion</w:t>
            </w:r>
          </w:p>
        </w:tc>
        <w:tc>
          <w:tcPr>
            <w:tcW w:w="5926" w:type="dxa"/>
          </w:tcPr>
          <w:p w14:paraId="46D6ADB7" w14:textId="69236BBC" w:rsidR="000A338A" w:rsidRDefault="00D10668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think that the condition does not have much value, as pointed out by Samsung. However, this condition is not harmful for UE.</w:t>
            </w:r>
          </w:p>
          <w:p w14:paraId="17886ABE" w14:textId="2019950E" w:rsidR="00D10668" w:rsidRDefault="00D10668" w:rsidP="005C773A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f other companies are also fine to remove the condition, we can be fine.</w:t>
            </w:r>
          </w:p>
        </w:tc>
      </w:tr>
      <w:tr w:rsidR="000A338A" w14:paraId="4AC100E4" w14:textId="77777777" w:rsidTr="005C773A">
        <w:tc>
          <w:tcPr>
            <w:tcW w:w="1276" w:type="dxa"/>
          </w:tcPr>
          <w:p w14:paraId="5E307CB1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52C8BD7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8FD5C0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0304591A" w14:textId="77777777" w:rsidTr="005C773A">
        <w:tc>
          <w:tcPr>
            <w:tcW w:w="1276" w:type="dxa"/>
          </w:tcPr>
          <w:p w14:paraId="694BFE12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35EF12D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C570FC3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612C5B7F" w14:textId="77777777" w:rsidTr="005C773A">
        <w:tc>
          <w:tcPr>
            <w:tcW w:w="1276" w:type="dxa"/>
          </w:tcPr>
          <w:p w14:paraId="58DAE2D5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03CDB8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9BF765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5BCC6133" w14:textId="77777777" w:rsidTr="005C773A">
        <w:tc>
          <w:tcPr>
            <w:tcW w:w="1276" w:type="dxa"/>
          </w:tcPr>
          <w:p w14:paraId="00700A59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5499DDF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43A4DED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EC7BA0" w14:paraId="22810C42" w14:textId="77777777" w:rsidTr="005C773A">
        <w:tc>
          <w:tcPr>
            <w:tcW w:w="1276" w:type="dxa"/>
          </w:tcPr>
          <w:p w14:paraId="7E5DC627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E87B74F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7903653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</w:tr>
      <w:tr w:rsidR="00EC7BA0" w14:paraId="0CC345C5" w14:textId="77777777" w:rsidTr="005C773A">
        <w:tc>
          <w:tcPr>
            <w:tcW w:w="1276" w:type="dxa"/>
          </w:tcPr>
          <w:p w14:paraId="7FC015A8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70BC1E0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9195AF5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</w:tr>
    </w:tbl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2C3BEBFC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</w:t>
      </w:r>
      <w:r w:rsidR="00D87FE0">
        <w:rPr>
          <w:rFonts w:ascii="Arial" w:eastAsiaTheme="minorEastAsia" w:hAnsi="Arial" w:cs="Arial"/>
          <w:iCs/>
          <w:sz w:val="30"/>
          <w:szCs w:val="30"/>
          <w:lang w:eastAsia="zh-CN"/>
        </w:rPr>
        <w:t>s</w:t>
      </w:r>
    </w:p>
    <w:p w14:paraId="64238F36" w14:textId="6D78FDD1" w:rsidR="00114AFB" w:rsidRPr="009D1CDA" w:rsidRDefault="00114AFB" w:rsidP="009D1CDA">
      <w:pPr>
        <w:spacing w:after="120"/>
        <w:jc w:val="both"/>
        <w:rPr>
          <w:rFonts w:eastAsiaTheme="minorEastAsia"/>
          <w:szCs w:val="20"/>
          <w:lang w:eastAsia="zh-CN"/>
        </w:rPr>
      </w:pPr>
      <w:r w:rsidRPr="009D1CDA">
        <w:rPr>
          <w:rFonts w:eastAsiaTheme="minorEastAsia"/>
          <w:szCs w:val="20"/>
          <w:lang w:eastAsia="zh-CN"/>
        </w:rPr>
        <w:t xml:space="preserve">Companies are invited to provide </w:t>
      </w:r>
      <w:r w:rsidR="009D1CDA">
        <w:rPr>
          <w:rFonts w:eastAsiaTheme="minorEastAsia"/>
          <w:szCs w:val="20"/>
          <w:lang w:eastAsia="zh-CN"/>
        </w:rPr>
        <w:t>other open issues if any.</w:t>
      </w:r>
      <w:r w:rsidRPr="009D1CDA">
        <w:rPr>
          <w:rFonts w:eastAsiaTheme="minorEastAsia"/>
          <w:szCs w:val="20"/>
          <w:lang w:eastAsia="zh-CN"/>
        </w:rPr>
        <w:t xml:space="preserve">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5E2C40BA" w:rsidR="00114AFB" w:rsidRDefault="00CC731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7229" w:type="dxa"/>
          </w:tcPr>
          <w:p w14:paraId="7D187629" w14:textId="45C571A6" w:rsidR="00CC7316" w:rsidRPr="00CC7316" w:rsidRDefault="00CC7316" w:rsidP="00CC7316">
            <w:pPr>
              <w:pStyle w:val="Agreement"/>
              <w:numPr>
                <w:ilvl w:val="0"/>
                <w:numId w:val="0"/>
              </w:numPr>
              <w:ind w:left="360" w:hanging="360"/>
              <w:rPr>
                <w:b w:val="0"/>
              </w:rPr>
            </w:pPr>
            <w:r>
              <w:rPr>
                <w:b w:val="0"/>
              </w:rPr>
              <w:t xml:space="preserve">There may be an impact due to </w:t>
            </w:r>
            <w:r w:rsidRPr="00CC7316">
              <w:rPr>
                <w:b w:val="0"/>
              </w:rPr>
              <w:t xml:space="preserve"> the below agreement</w:t>
            </w:r>
            <w:r w:rsidR="00F84D3B">
              <w:rPr>
                <w:b w:val="0"/>
              </w:rPr>
              <w:t>- When the LTM based recovery fails and the UE selects E-UTRA cell and receives RRCConnectionSetup,</w:t>
            </w:r>
            <w:r>
              <w:rPr>
                <w:b w:val="0"/>
              </w:rPr>
              <w:t xml:space="preserve"> </w:t>
            </w:r>
            <w:r w:rsidR="00F84D3B" w:rsidRPr="00F84D3B">
              <w:rPr>
                <w:b w:val="0"/>
              </w:rPr>
              <w:t>timeUntilReconnection</w:t>
            </w:r>
            <w:r w:rsidR="00F84D3B">
              <w:rPr>
                <w:b w:val="0"/>
              </w:rPr>
              <w:t xml:space="preserve"> need to refer to the first failure.</w:t>
            </w:r>
          </w:p>
          <w:p w14:paraId="62BC1714" w14:textId="44945CD6" w:rsidR="00CC7316" w:rsidRDefault="00CC7316" w:rsidP="00CC7316">
            <w:pPr>
              <w:pStyle w:val="Agreement"/>
              <w:tabs>
                <w:tab w:val="num" w:pos="1619"/>
              </w:tabs>
              <w:ind w:left="1619"/>
            </w:pPr>
            <w:r w:rsidRPr="004D711C">
              <w:t>Reuse the existing approach of using timeUntilReconnection in RLF-report also for LTM failure scenarios.</w:t>
            </w:r>
          </w:p>
          <w:p w14:paraId="0ABA4C6C" w14:textId="22E09101" w:rsidR="00CE3FD4" w:rsidRDefault="00CE3FD4" w:rsidP="00CE3FD4">
            <w:pPr>
              <w:pStyle w:val="Doc-text2"/>
              <w:ind w:left="0" w:firstLine="0"/>
            </w:pPr>
            <w:r>
              <w:t>Something similar to the below may be needed</w:t>
            </w:r>
          </w:p>
          <w:p w14:paraId="388E5CAD" w14:textId="77777777" w:rsidR="00CE3FD4" w:rsidRDefault="00CE3FD4" w:rsidP="00CE3FD4">
            <w:pPr>
              <w:pStyle w:val="B5"/>
            </w:pPr>
            <w:r>
              <w:rPr>
                <w:rFonts w:hint="eastAsia"/>
                <w:lang w:val="en-US" w:eastAsia="zh-CN"/>
              </w:rPr>
              <w:t>5</w:t>
            </w:r>
            <w:r>
              <w:t>&gt;</w:t>
            </w:r>
            <w:r>
              <w:tab/>
            </w:r>
            <w:r>
              <w:rPr>
                <w:rFonts w:hint="eastAsia"/>
              </w:rPr>
              <w:t xml:space="preserve">if the UE supports RLF-Report for </w:t>
            </w:r>
            <w:r>
              <w:t>LTM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as defined in TS 38.306 [87]</w:t>
            </w:r>
            <w:r>
              <w:rPr>
                <w:rFonts w:hint="eastAsia"/>
              </w:rPr>
              <w:t xml:space="preserve"> and if </w:t>
            </w:r>
            <w:r>
              <w:rPr>
                <w:i/>
                <w:iCs/>
              </w:rPr>
              <w:t>LTM</w:t>
            </w:r>
            <w:r>
              <w:rPr>
                <w:rFonts w:hint="eastAsia"/>
                <w:i/>
                <w:iCs/>
              </w:rPr>
              <w:t>CellId</w:t>
            </w:r>
            <w:r>
              <w:rPr>
                <w:rFonts w:hint="eastAsia"/>
              </w:rPr>
              <w:t xml:space="preserve"> in </w:t>
            </w:r>
            <w:r>
              <w:rPr>
                <w:rFonts w:hint="eastAsia"/>
                <w:i/>
                <w:iCs/>
              </w:rPr>
              <w:t>VarRLF-Report</w:t>
            </w:r>
            <w:r>
              <w:t xml:space="preserve"> of TS 38.331 [82]</w:t>
            </w:r>
            <w:r>
              <w:rPr>
                <w:rFonts w:hint="eastAsia"/>
              </w:rPr>
              <w:t xml:space="preserve"> is set:</w:t>
            </w:r>
          </w:p>
          <w:p w14:paraId="48862EB7" w14:textId="77777777" w:rsidR="00CE3FD4" w:rsidRDefault="00CE3FD4" w:rsidP="00CE3FD4">
            <w:pPr>
              <w:pStyle w:val="B6"/>
            </w:pPr>
            <w:r>
              <w:rPr>
                <w:rFonts w:hint="eastAsia"/>
                <w:lang w:eastAsia="zh-CN"/>
              </w:rPr>
              <w:lastRenderedPageBreak/>
              <w:t>6</w:t>
            </w:r>
            <w:r>
              <w:t>&gt;</w:t>
            </w:r>
            <w:r>
              <w:tab/>
              <w:t xml:space="preserve">set </w:t>
            </w:r>
            <w:r>
              <w:rPr>
                <w:i/>
                <w:iCs/>
              </w:rPr>
              <w:t>timeUntilReconnection</w:t>
            </w:r>
            <w:r>
              <w:t xml:space="preserve"> in </w:t>
            </w:r>
            <w:r>
              <w:rPr>
                <w:i/>
              </w:rPr>
              <w:t>VarRLF-Report</w:t>
            </w:r>
            <w:r>
              <w:t xml:space="preserve"> of TS 38.331 [82] to the time that elapsed since the radio link failure or handover failure</w:t>
            </w:r>
            <w:r>
              <w:rPr>
                <w:lang w:eastAsia="zh-CN"/>
              </w:rPr>
              <w:t xml:space="preserve"> experienced in the </w:t>
            </w:r>
            <w:r>
              <w:rPr>
                <w:i/>
                <w:iCs/>
                <w:lang w:eastAsia="zh-CN"/>
              </w:rPr>
              <w:t>failedPCellID</w:t>
            </w:r>
            <w:r>
              <w:rPr>
                <w:lang w:eastAsia="zh-CN"/>
              </w:rPr>
              <w:t xml:space="preserve"> stored in </w:t>
            </w:r>
            <w:r>
              <w:rPr>
                <w:i/>
                <w:iCs/>
                <w:lang w:eastAsia="zh-CN"/>
              </w:rPr>
              <w:t>VarRLF-Report</w:t>
            </w:r>
            <w:r>
              <w:rPr>
                <w:lang w:eastAsia="zh-CN"/>
              </w:rPr>
              <w:t xml:space="preserve"> </w:t>
            </w:r>
            <w:r>
              <w:t>of TS 38.331 [82];</w:t>
            </w:r>
          </w:p>
          <w:p w14:paraId="5EBB0276" w14:textId="77777777" w:rsidR="00CE3FD4" w:rsidRDefault="00CE3FD4" w:rsidP="00CE3FD4">
            <w:pPr>
              <w:pStyle w:val="B5"/>
              <w:rPr>
                <w:lang w:val="en-US" w:eastAsia="zh-CN"/>
              </w:rPr>
            </w:pPr>
            <w:r>
              <w:t>5&gt;</w:t>
            </w:r>
            <w:r>
              <w:tab/>
            </w:r>
            <w:r>
              <w:rPr>
                <w:rFonts w:hint="eastAsia"/>
                <w:lang w:val="en-US" w:eastAsia="zh-CN"/>
              </w:rPr>
              <w:t>else:</w:t>
            </w:r>
          </w:p>
          <w:p w14:paraId="475A5CDB" w14:textId="77777777" w:rsidR="00CE3FD4" w:rsidRDefault="00CE3FD4" w:rsidP="00CE3FD4">
            <w:pPr>
              <w:pStyle w:val="B6"/>
            </w:pPr>
            <w:r>
              <w:rPr>
                <w:rFonts w:hint="eastAsia"/>
                <w:lang w:eastAsia="zh-CN"/>
              </w:rPr>
              <w:t>6</w:t>
            </w:r>
            <w:r>
              <w:t>&gt;</w:t>
            </w:r>
            <w:r>
              <w:tab/>
              <w:t xml:space="preserve">set </w:t>
            </w:r>
            <w:r>
              <w:rPr>
                <w:i/>
                <w:iCs/>
              </w:rPr>
              <w:t>timeUntilReconnection</w:t>
            </w:r>
            <w:r>
              <w:t xml:space="preserve"> in </w:t>
            </w:r>
            <w:r>
              <w:rPr>
                <w:i/>
              </w:rPr>
              <w:t>VarRLF-Report</w:t>
            </w:r>
            <w:r>
              <w:t xml:space="preserve"> of TS 38.331 [82] to the time that elapsed since the last radio link failure or handover failure;</w:t>
            </w:r>
          </w:p>
          <w:p w14:paraId="1C27A915" w14:textId="77777777" w:rsidR="00CE3FD4" w:rsidRPr="00CE3FD4" w:rsidRDefault="00CE3FD4" w:rsidP="00CE3FD4">
            <w:pPr>
              <w:pStyle w:val="Doc-text2"/>
              <w:ind w:left="0" w:firstLine="0"/>
            </w:pPr>
          </w:p>
          <w:p w14:paraId="695EA86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3891A9E7" w:rsidR="00114AFB" w:rsidRDefault="005F4783" w:rsidP="00E6053E">
            <w:pPr>
              <w:rPr>
                <w:rFonts w:eastAsia="等线"/>
                <w:lang w:eastAsia="zh-CN"/>
              </w:rPr>
            </w:pPr>
            <w:r w:rsidRPr="005F4783">
              <w:rPr>
                <w:rFonts w:eastAsia="等线"/>
                <w:lang w:eastAsia="zh-CN"/>
              </w:rPr>
              <w:lastRenderedPageBreak/>
              <w:t>Huawei, HiSilicon</w:t>
            </w:r>
          </w:p>
        </w:tc>
        <w:tc>
          <w:tcPr>
            <w:tcW w:w="7229" w:type="dxa"/>
          </w:tcPr>
          <w:p w14:paraId="70F1C64E" w14:textId="46706502" w:rsidR="00F947C3" w:rsidRPr="00F947C3" w:rsidRDefault="00F947C3" w:rsidP="00E6053E">
            <w:pPr>
              <w:rPr>
                <w:rFonts w:eastAsia="等线" w:hint="eastAsia"/>
                <w:lang w:val="en-GB" w:eastAsia="zh-CN"/>
              </w:rPr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>hanks to Samsung for pointing out this. We also think that running 36.331 CR can align this part with running 38.331 CR.</w:t>
            </w:r>
            <w:bookmarkStart w:id="1" w:name="_GoBack"/>
            <w:bookmarkEnd w:id="1"/>
          </w:p>
          <w:p w14:paraId="5FB5509D" w14:textId="28965EAB" w:rsidR="005F4783" w:rsidRDefault="005F4783" w:rsidP="00E6053E">
            <w:pPr>
              <w:rPr>
                <w:rFonts w:eastAsia="等线" w:hint="eastAsia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55F27505" w14:textId="53B2BAEC" w:rsidR="00D846DF" w:rsidRDefault="00D846DF" w:rsidP="008A5794">
      <w:pPr>
        <w:jc w:val="both"/>
        <w:rPr>
          <w:rFonts w:eastAsia="宋体"/>
          <w:lang w:eastAsia="zh-CN"/>
        </w:rPr>
      </w:pPr>
      <w:r w:rsidRPr="00D846DF">
        <w:rPr>
          <w:rFonts w:eastAsia="宋体" w:hint="eastAsia"/>
          <w:highlight w:val="yellow"/>
          <w:lang w:eastAsia="zh-CN"/>
        </w:rPr>
        <w:t>[</w:t>
      </w:r>
      <w:r w:rsidRPr="00D846DF">
        <w:rPr>
          <w:rFonts w:eastAsia="宋体"/>
          <w:highlight w:val="yellow"/>
          <w:lang w:eastAsia="zh-CN"/>
        </w:rPr>
        <w:t>To be updated]</w:t>
      </w:r>
    </w:p>
    <w:p w14:paraId="3C34DD90" w14:textId="0AB9C89A" w:rsidR="00D846DF" w:rsidRDefault="00D846DF" w:rsidP="008A5794">
      <w:pPr>
        <w:jc w:val="both"/>
        <w:rPr>
          <w:rFonts w:eastAsia="宋体"/>
          <w:lang w:eastAsia="zh-CN"/>
        </w:rPr>
      </w:pP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52A0F01C" w:rsidR="00B45FD8" w:rsidRPr="008E5B56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2" w:name="_Ref35851607"/>
      <w:bookmarkStart w:id="3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="00D846DF" w:rsidRPr="00D846DF">
        <w:rPr>
          <w:rFonts w:ascii="Times New Roman" w:eastAsiaTheme="minorEastAsia" w:hAnsi="Times New Roman"/>
          <w:bCs/>
          <w:kern w:val="0"/>
          <w:sz w:val="20"/>
          <w:szCs w:val="24"/>
        </w:rPr>
        <w:t>Running 36.331 CR for R19 SONMDT</w:t>
      </w:r>
      <w:r w:rsidR="00D846DF">
        <w:rPr>
          <w:rFonts w:ascii="Times New Roman" w:eastAsiaTheme="minorEastAsia" w:hAnsi="Times New Roman"/>
          <w:bCs/>
          <w:kern w:val="0"/>
          <w:sz w:val="20"/>
          <w:szCs w:val="24"/>
        </w:rPr>
        <w:t>, Huawei, HiSilicon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 </w:t>
      </w:r>
      <w:bookmarkEnd w:id="2"/>
      <w:bookmarkEnd w:id="3"/>
    </w:p>
    <w:p w14:paraId="03283C3D" w14:textId="1C59EB1E" w:rsidR="008E5B56" w:rsidRDefault="008E5B56" w:rsidP="00454096">
      <w:pPr>
        <w:pStyle w:val="af9"/>
        <w:numPr>
          <w:ilvl w:val="0"/>
          <w:numId w:val="10"/>
        </w:numPr>
        <w:ind w:firstLineChars="0"/>
        <w:rPr>
          <w:rFonts w:ascii="Times New Roman" w:eastAsiaTheme="minorEastAsia" w:hAnsi="Times New Roman"/>
          <w:bCs/>
          <w:kern w:val="0"/>
          <w:sz w:val="20"/>
          <w:szCs w:val="24"/>
        </w:rPr>
      </w:pP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R2-2502788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Open issue list for running 36.331 CR for R19 SONMDT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Huawei, HiSilicon</w:t>
      </w:r>
    </w:p>
    <w:p w14:paraId="409DA17C" w14:textId="77777777" w:rsidR="008E5B56" w:rsidRPr="008E5B56" w:rsidRDefault="008E5B56" w:rsidP="008E5B56">
      <w:pPr>
        <w:pStyle w:val="af9"/>
        <w:ind w:left="420" w:firstLineChars="0" w:firstLine="0"/>
        <w:rPr>
          <w:rFonts w:ascii="Times New Roman" w:eastAsiaTheme="minorEastAsia" w:hAnsi="Times New Roman"/>
          <w:bCs/>
          <w:kern w:val="0"/>
          <w:sz w:val="20"/>
          <w:szCs w:val="24"/>
        </w:rPr>
      </w:pPr>
    </w:p>
    <w:sectPr w:rsidR="008E5B56" w:rsidRPr="008E5B56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CA1B" w14:textId="77777777" w:rsidR="009C5CED" w:rsidRDefault="009C5CED">
      <w:r>
        <w:separator/>
      </w:r>
    </w:p>
  </w:endnote>
  <w:endnote w:type="continuationSeparator" w:id="0">
    <w:p w14:paraId="49D0E7B6" w14:textId="77777777" w:rsidR="009C5CED" w:rsidRDefault="009C5CED">
      <w:r>
        <w:continuationSeparator/>
      </w:r>
    </w:p>
  </w:endnote>
  <w:endnote w:type="continuationNotice" w:id="1">
    <w:p w14:paraId="75625103" w14:textId="77777777" w:rsidR="009C5CED" w:rsidRDefault="009C5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400F3" w14:textId="77777777" w:rsidR="009C5CED" w:rsidRDefault="009C5CED">
      <w:r>
        <w:separator/>
      </w:r>
    </w:p>
  </w:footnote>
  <w:footnote w:type="continuationSeparator" w:id="0">
    <w:p w14:paraId="21F33015" w14:textId="77777777" w:rsidR="009C5CED" w:rsidRDefault="009C5CED">
      <w:r>
        <w:continuationSeparator/>
      </w:r>
    </w:p>
  </w:footnote>
  <w:footnote w:type="continuationNotice" w:id="1">
    <w:p w14:paraId="4F911E24" w14:textId="77777777" w:rsidR="009C5CED" w:rsidRDefault="009C5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4FD50C2"/>
    <w:multiLevelType w:val="hybridMultilevel"/>
    <w:tmpl w:val="BEE01642"/>
    <w:lvl w:ilvl="0" w:tplc="D0CA708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35A53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6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DDA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38A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CEE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7C5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17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CBC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036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94B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CF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783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0F41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986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5AA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A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5B56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CED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CDA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BD1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16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3FD4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668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9D0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6DF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87FE0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23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3F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71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C7BA0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4D3B"/>
    <w:rsid w:val="00F8507C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7C3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4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Back">
    <w:name w:val="ComeBack"/>
    <w:basedOn w:val="Doc-text2"/>
    <w:next w:val="Doc-text2"/>
    <w:rsid w:val="005C2036"/>
    <w:pPr>
      <w:numPr>
        <w:numId w:val="13"/>
      </w:numPr>
      <w:tabs>
        <w:tab w:val="clear" w:pos="1622"/>
      </w:tabs>
    </w:pPr>
  </w:style>
  <w:style w:type="paragraph" w:customStyle="1" w:styleId="B4">
    <w:name w:val="B4"/>
    <w:basedOn w:val="41"/>
    <w:link w:val="B4Char"/>
    <w:qFormat/>
    <w:rsid w:val="000A338A"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4Char">
    <w:name w:val="B4 Char"/>
    <w:link w:val="B4"/>
    <w:qFormat/>
    <w:rsid w:val="000A338A"/>
    <w:rPr>
      <w:rFonts w:eastAsia="Times New Roman"/>
      <w:lang w:val="en-GB" w:eastAsia="ja-JP"/>
    </w:rPr>
  </w:style>
  <w:style w:type="paragraph" w:styleId="41">
    <w:name w:val="List 4"/>
    <w:basedOn w:val="a"/>
    <w:rsid w:val="000A338A"/>
    <w:pPr>
      <w:ind w:leftChars="600" w:left="100" w:hangingChars="200" w:hanging="200"/>
      <w:contextualSpacing/>
    </w:pPr>
  </w:style>
  <w:style w:type="paragraph" w:customStyle="1" w:styleId="Default">
    <w:name w:val="Default"/>
    <w:rsid w:val="00792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  <w:style w:type="paragraph" w:customStyle="1" w:styleId="B5">
    <w:name w:val="B5"/>
    <w:basedOn w:val="51"/>
    <w:link w:val="B5Char"/>
    <w:qFormat/>
    <w:rsid w:val="00CE3FD4"/>
    <w:pPr>
      <w:overflowPunct w:val="0"/>
      <w:autoSpaceDE w:val="0"/>
      <w:autoSpaceDN w:val="0"/>
      <w:adjustRightInd w:val="0"/>
      <w:spacing w:after="180" w:line="259" w:lineRule="auto"/>
      <w:ind w:left="1702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5Char">
    <w:name w:val="B5 Char"/>
    <w:link w:val="B5"/>
    <w:qFormat/>
    <w:rsid w:val="00CE3FD4"/>
    <w:rPr>
      <w:rFonts w:eastAsia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CE3FD4"/>
    <w:pPr>
      <w:spacing w:line="240" w:lineRule="auto"/>
      <w:ind w:left="1985"/>
    </w:pPr>
    <w:rPr>
      <w:lang w:val="en-US"/>
    </w:rPr>
  </w:style>
  <w:style w:type="character" w:customStyle="1" w:styleId="B6Char">
    <w:name w:val="B6 Char"/>
    <w:link w:val="B6"/>
    <w:qFormat/>
    <w:rsid w:val="00CE3FD4"/>
    <w:rPr>
      <w:rFonts w:eastAsia="Times New Roman"/>
      <w:lang w:eastAsia="ja-JP"/>
    </w:rPr>
  </w:style>
  <w:style w:type="paragraph" w:styleId="51">
    <w:name w:val="List 5"/>
    <w:basedOn w:val="a"/>
    <w:rsid w:val="00CE3FD4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E423E9-98B6-428F-9BA3-F5C8AC6F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Huawei - Jun2 (after RAN2#129bis)</cp:lastModifiedBy>
  <cp:revision>13</cp:revision>
  <cp:lastPrinted>2011-08-03T09:36:00Z</cp:lastPrinted>
  <dcterms:created xsi:type="dcterms:W3CDTF">2025-04-24T05:10:00Z</dcterms:created>
  <dcterms:modified xsi:type="dcterms:W3CDTF">2025-04-28T07:37:00Z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