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sidelink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[Post129bis][407][Relay]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Scope: Update the 38.351 running CR from the baseline of R2-2503077 to take into account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r>
        <w:rPr>
          <w:rFonts w:hint="eastAsia"/>
          <w:b/>
          <w:bCs/>
          <w:color w:val="FF0000"/>
        </w:rPr>
        <w:t>2rd</w:t>
      </w:r>
      <w:r w:rsidRPr="00BE53E3">
        <w:rPr>
          <w:b/>
          <w:bCs/>
          <w:color w:val="FF0000"/>
        </w:rPr>
        <w:t xml:space="preserve"> May 2025</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H</w:t>
      </w:r>
      <w:r>
        <w:rPr>
          <w:rFonts w:hint="eastAsia"/>
        </w:rPr>
        <w:t>ow does the reflective bearer mapping mechanism work</w:t>
      </w:r>
      <w:r>
        <w:rPr>
          <w:rFonts w:hint="eastAsia"/>
        </w:rPr>
        <w:t xml:space="preserve">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rPr>
          <w:rFonts w:hint="eastAsia"/>
        </w:rPr>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pPr>
        <w:rPr>
          <w:rFonts w:hint="eastAsia"/>
        </w:rPr>
      </w:pPr>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w:t>
      </w:r>
      <w:r>
        <w:rPr>
          <w:rFonts w:hint="eastAsia"/>
        </w:rPr>
        <w:t>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w:t>
      </w:r>
      <w:r>
        <w:rPr>
          <w:rFonts w:hint="eastAsia"/>
        </w:rPr>
        <w:t>is</w:t>
      </w:r>
      <w:r>
        <w:rPr>
          <w:rFonts w:hint="eastAsia"/>
        </w:rPr>
        <w:t xml:space="preserve"> added in clause </w:t>
      </w:r>
      <w:r w:rsidRPr="004221B2">
        <w:t>5.2.2.</w:t>
      </w:r>
      <w:r>
        <w:rPr>
          <w:rFonts w:hint="eastAsia"/>
        </w:rPr>
        <w:t>2</w:t>
      </w:r>
      <w:r>
        <w:rPr>
          <w:rFonts w:hint="eastAsia"/>
        </w:rPr>
        <w:t xml:space="preserve">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Editor’s Notes: The IE name e.g., sl-SRAP-ConfigRelayList, sl-EgressRLC-Channel-DL, sl-EgressRLC-Channel-UL,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r>
        <w:rPr>
          <w:rFonts w:hint="eastAsia"/>
        </w:rPr>
        <w:t>.</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rPr>
          <w:rFonts w:hint="eastAsia"/>
        </w:rPr>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pPr>
        <w:rPr>
          <w:rFonts w:hint="eastAsia"/>
        </w:rPr>
      </w:pPr>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w:t>
      </w:r>
      <w:r>
        <w:rPr>
          <w:rFonts w:hint="eastAsia"/>
        </w:rPr>
        <w:t>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hint="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xml:space="preserve">, the UE will discard the unknown data PDU with unknown UE ID and/or BEARER ID. The current running </w:t>
      </w:r>
      <w:r>
        <w:rPr>
          <w:rFonts w:eastAsiaTheme="minorEastAsia" w:hint="eastAsia"/>
          <w:szCs w:val="20"/>
        </w:rPr>
        <w:t>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rPr>
          <w:rFonts w:hint="eastAsia"/>
        </w:rPr>
      </w:pPr>
      <w:r>
        <w:rPr>
          <w:rFonts w:hint="eastAsia"/>
        </w:rPr>
        <w:t xml:space="preserve">In the baseline procedure, seems </w:t>
      </w:r>
      <w:r>
        <w:rPr>
          <w:rFonts w:hint="eastAsia"/>
        </w:rPr>
        <w:t xml:space="preserve">the legacy principle can be reused and </w:t>
      </w:r>
      <w:r>
        <w:rPr>
          <w:rFonts w:hint="eastAsia"/>
        </w:rPr>
        <w:t>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t>
      </w:r>
      <w:r>
        <w:rPr>
          <w:rFonts w:hint="eastAsia"/>
          <w:u w:val="single"/>
        </w:rPr>
        <w:t>with additional SRAP header format</w:t>
      </w:r>
      <w:r>
        <w:rPr>
          <w:rFonts w:hint="eastAsia"/>
          <w:u w:val="single"/>
        </w:rPr>
        <w:t xml:space="preserve">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pPr>
        <w:rPr>
          <w:rFonts w:hint="eastAsia"/>
        </w:rPr>
      </w:pPr>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hint="eastAsia"/>
          <w:szCs w:val="20"/>
        </w:rPr>
      </w:pPr>
      <w:r>
        <w:rPr>
          <w:rFonts w:eastAsiaTheme="minorEastAsia" w:hint="eastAsia"/>
          <w:szCs w:val="20"/>
        </w:rPr>
        <w:t>The baseline SRAP header format is reused, a</w:t>
      </w:r>
      <w:r>
        <w:rPr>
          <w:rFonts w:eastAsiaTheme="minorEastAsia" w:hint="eastAsia"/>
          <w:szCs w:val="20"/>
        </w:rPr>
        <w:t>n Editor</w:t>
      </w:r>
      <w:r>
        <w:rPr>
          <w:rFonts w:eastAsiaTheme="minorEastAsia"/>
          <w:szCs w:val="20"/>
        </w:rPr>
        <w:t>’</w:t>
      </w:r>
      <w:r>
        <w:rPr>
          <w:rFonts w:eastAsiaTheme="minorEastAsia" w:hint="eastAsia"/>
          <w:szCs w:val="20"/>
        </w:rPr>
        <w:t xml:space="preserve">s Note is added in clause </w:t>
      </w:r>
      <w:r>
        <w:rPr>
          <w:rFonts w:eastAsiaTheme="minorEastAsia" w:hint="eastAsia"/>
          <w:szCs w:val="20"/>
        </w:rPr>
        <w:t>6.2.2</w:t>
      </w:r>
      <w:r>
        <w:rPr>
          <w:rFonts w:eastAsiaTheme="minorEastAsia" w:hint="eastAsia"/>
          <w:szCs w:val="20"/>
        </w:rPr>
        <w:t xml:space="preserve">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rPr>
          <w:rFonts w:hint="eastAsia"/>
        </w:rPr>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w:t>
      </w:r>
      <w:r w:rsidRPr="006E01AA">
        <w:rPr>
          <w:rFonts w:hint="eastAsia"/>
        </w:rPr>
        <w:t>3</w:t>
      </w:r>
      <w:r w:rsidRPr="006E01AA">
        <w:rPr>
          <w:rFonts w:hint="eastAsia"/>
        </w:rPr>
        <w:t xml:space="preserve">: Support parallel RRC setup procedure for </w:t>
      </w:r>
      <w:r w:rsidRPr="006E01AA">
        <w:rPr>
          <w:rFonts w:hint="eastAsia"/>
        </w:rPr>
        <w:t>both UL and DL</w:t>
      </w:r>
      <w:r w:rsidRPr="006E01AA">
        <w:rPr>
          <w:rFonts w:hint="eastAsia"/>
        </w:rPr>
        <w:t>.</w:t>
      </w:r>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77777777" w:rsidR="00101773" w:rsidRDefault="00101773" w:rsidP="00275E03">
            <w:pPr>
              <w:jc w:val="center"/>
              <w:rPr>
                <w:lang w:eastAsia="sv-SE"/>
              </w:rPr>
            </w:pPr>
          </w:p>
        </w:tc>
        <w:tc>
          <w:tcPr>
            <w:tcW w:w="8011" w:type="dxa"/>
            <w:vAlign w:val="center"/>
          </w:tcPr>
          <w:p w14:paraId="13B3A065" w14:textId="77777777" w:rsidR="00101773" w:rsidRDefault="00101773" w:rsidP="00275E03">
            <w:pPr>
              <w:jc w:val="center"/>
              <w:rPr>
                <w:lang w:eastAsia="sv-SE"/>
              </w:rPr>
            </w:pPr>
          </w:p>
        </w:tc>
      </w:tr>
      <w:tr w:rsidR="00101773" w14:paraId="6655901E" w14:textId="77777777" w:rsidTr="00275E03">
        <w:tc>
          <w:tcPr>
            <w:tcW w:w="1614" w:type="dxa"/>
            <w:vAlign w:val="center"/>
          </w:tcPr>
          <w:p w14:paraId="0CC32E49" w14:textId="77777777" w:rsidR="00101773" w:rsidRDefault="00101773" w:rsidP="00275E03">
            <w:pPr>
              <w:jc w:val="center"/>
              <w:rPr>
                <w:lang w:eastAsia="sv-SE"/>
              </w:rPr>
            </w:pPr>
          </w:p>
        </w:tc>
        <w:tc>
          <w:tcPr>
            <w:tcW w:w="8011" w:type="dxa"/>
            <w:vAlign w:val="center"/>
          </w:tcPr>
          <w:p w14:paraId="36D361A4" w14:textId="77777777" w:rsidR="00101773" w:rsidRDefault="00101773" w:rsidP="00275E03">
            <w:pPr>
              <w:jc w:val="center"/>
              <w:rPr>
                <w:lang w:eastAsia="sv-SE"/>
              </w:rPr>
            </w:pP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hint="eastAsia"/>
        </w:rPr>
      </w:pPr>
      <w:r>
        <w:rPr>
          <w:rFonts w:cs="Arial" w:hint="eastAsia"/>
          <w:szCs w:val="18"/>
          <w:lang w:val="en-US"/>
        </w:rPr>
        <w:t xml:space="preserve">[2] </w:t>
      </w:r>
      <w:r>
        <w:rPr>
          <w:rFonts w:cs="Arial" w:hint="eastAsia"/>
          <w:szCs w:val="18"/>
          <w:lang w:val="en-US"/>
        </w:rPr>
        <w:t>R2_129_Positioning_Relay_2025-0</w:t>
      </w:r>
      <w:r>
        <w:rPr>
          <w:rFonts w:cs="Arial" w:hint="eastAsia"/>
          <w:szCs w:val="18"/>
          <w:lang w:val="en-US"/>
        </w:rPr>
        <w:t>2-21-0845_eom</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The term “U2N relay UE” can include first/intermediate/last relay UEs in multihop, if not otherwise qualified.  We can distinguish explicitly when a requirement applies only to single-hop or only to certain multihop roles.</w:t>
      </w:r>
    </w:p>
    <w:p w14:paraId="454820C6" w14:textId="77777777" w:rsidR="00101773" w:rsidRDefault="00101773" w:rsidP="00101773">
      <w:r>
        <w:t>The term “U2N remote UE” can include multihop remote UEs, if not otherwise qualified.  We can distinguish explicitly when a requirement applies only to single-hop or only to multihop.</w:t>
      </w:r>
    </w:p>
    <w:p w14:paraId="7B1E2D42" w14:textId="77777777" w:rsidR="00101773" w:rsidRDefault="00101773" w:rsidP="00101773">
      <w:r>
        <w:t>Expand the definitions of “U2N relay UE” and “U2N remote UE” in the CR definition sections to include multihop.  This drafting can be done initially in the 38.300 running CR and migrated later into the other CRs.</w:t>
      </w:r>
    </w:p>
    <w:p w14:paraId="4FBB3B4E" w14:textId="77777777" w:rsidR="00101773" w:rsidRDefault="00101773" w:rsidP="00101773">
      <w:r>
        <w:t>The existing multihop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lastRenderedPageBreak/>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From a Remote UE perspective, the dedicated Uu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The Remote UE’s Uu SRB/DRB identity to Egress PC5 RLC channel mapping</w:t>
      </w:r>
    </w:p>
    <w:p w14:paraId="485E9E07" w14:textId="7FC95F43" w:rsidR="00101773" w:rsidRPr="00101773" w:rsidRDefault="00101773" w:rsidP="00101773">
      <w:pPr>
        <w:rPr>
          <w:rFonts w:hint="eastAsia"/>
        </w:rPr>
      </w:pPr>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2D28" w14:textId="77777777" w:rsidR="00557AEE" w:rsidRDefault="00557AEE">
      <w:pPr>
        <w:spacing w:after="0"/>
      </w:pPr>
      <w:r>
        <w:separator/>
      </w:r>
    </w:p>
  </w:endnote>
  <w:endnote w:type="continuationSeparator" w:id="0">
    <w:p w14:paraId="24DECDBC" w14:textId="77777777" w:rsidR="00557AEE" w:rsidRDefault="00557A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CD3A" w14:textId="77777777"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F8B9" w14:textId="77777777" w:rsidR="00557AEE" w:rsidRDefault="00557AEE">
      <w:pPr>
        <w:spacing w:after="0"/>
      </w:pPr>
      <w:r>
        <w:separator/>
      </w:r>
    </w:p>
  </w:footnote>
  <w:footnote w:type="continuationSeparator" w:id="0">
    <w:p w14:paraId="487D40A7" w14:textId="77777777" w:rsidR="00557AEE" w:rsidRDefault="00557A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993071179">
    <w:abstractNumId w:val="14"/>
  </w:num>
  <w:num w:numId="2" w16cid:durableId="167912016">
    <w:abstractNumId w:val="13"/>
  </w:num>
  <w:num w:numId="3" w16cid:durableId="1944026893">
    <w:abstractNumId w:val="28"/>
  </w:num>
  <w:num w:numId="4" w16cid:durableId="950742107">
    <w:abstractNumId w:val="5"/>
  </w:num>
  <w:num w:numId="5" w16cid:durableId="79185177">
    <w:abstractNumId w:val="22"/>
  </w:num>
  <w:num w:numId="6" w16cid:durableId="802816455">
    <w:abstractNumId w:val="8"/>
  </w:num>
  <w:num w:numId="7" w16cid:durableId="414205803">
    <w:abstractNumId w:val="6"/>
  </w:num>
  <w:num w:numId="8" w16cid:durableId="1331714642">
    <w:abstractNumId w:val="21"/>
  </w:num>
  <w:num w:numId="9" w16cid:durableId="1142625531">
    <w:abstractNumId w:val="24"/>
  </w:num>
  <w:num w:numId="10" w16cid:durableId="743185871">
    <w:abstractNumId w:val="19"/>
  </w:num>
  <w:num w:numId="11" w16cid:durableId="1478450482">
    <w:abstractNumId w:val="12"/>
  </w:num>
  <w:num w:numId="12" w16cid:durableId="465977672">
    <w:abstractNumId w:val="4"/>
  </w:num>
  <w:num w:numId="13" w16cid:durableId="1565405548">
    <w:abstractNumId w:val="11"/>
  </w:num>
  <w:num w:numId="14" w16cid:durableId="1290891419">
    <w:abstractNumId w:val="25"/>
  </w:num>
  <w:num w:numId="15" w16cid:durableId="689382456">
    <w:abstractNumId w:val="2"/>
  </w:num>
  <w:num w:numId="16" w16cid:durableId="132064545">
    <w:abstractNumId w:val="27"/>
  </w:num>
  <w:num w:numId="17" w16cid:durableId="495650262">
    <w:abstractNumId w:val="3"/>
  </w:num>
  <w:num w:numId="18" w16cid:durableId="1692683075">
    <w:abstractNumId w:val="18"/>
  </w:num>
  <w:num w:numId="19" w16cid:durableId="1779519471">
    <w:abstractNumId w:val="20"/>
  </w:num>
  <w:num w:numId="20" w16cid:durableId="842207737">
    <w:abstractNumId w:val="0"/>
  </w:num>
  <w:num w:numId="21" w16cid:durableId="219286873">
    <w:abstractNumId w:val="15"/>
  </w:num>
  <w:num w:numId="22" w16cid:durableId="1730880035">
    <w:abstractNumId w:val="7"/>
  </w:num>
  <w:num w:numId="23" w16cid:durableId="1879849728">
    <w:abstractNumId w:val="26"/>
  </w:num>
  <w:num w:numId="24" w16cid:durableId="927033010">
    <w:abstractNumId w:val="9"/>
  </w:num>
  <w:num w:numId="25" w16cid:durableId="780953879">
    <w:abstractNumId w:val="10"/>
  </w:num>
  <w:num w:numId="26" w16cid:durableId="1745688117">
    <w:abstractNumId w:val="17"/>
  </w:num>
  <w:num w:numId="27" w16cid:durableId="1255742995">
    <w:abstractNumId w:val="1"/>
  </w:num>
  <w:num w:numId="28" w16cid:durableId="1697197346">
    <w:abstractNumId w:val="16"/>
  </w:num>
  <w:num w:numId="29" w16cid:durableId="171241391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80DEC"/>
    <w:rsid w:val="0018150A"/>
    <w:rsid w:val="00185E1A"/>
    <w:rsid w:val="00185F43"/>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6597"/>
    <w:rsid w:val="002A71DE"/>
    <w:rsid w:val="002A7B3F"/>
    <w:rsid w:val="002B1C46"/>
    <w:rsid w:val="002B31C3"/>
    <w:rsid w:val="002C043C"/>
    <w:rsid w:val="002C278D"/>
    <w:rsid w:val="002C6CD3"/>
    <w:rsid w:val="002C7AE9"/>
    <w:rsid w:val="002D02B9"/>
    <w:rsid w:val="002D0DFA"/>
    <w:rsid w:val="002D1D15"/>
    <w:rsid w:val="002E06D5"/>
    <w:rsid w:val="002E0EE6"/>
    <w:rsid w:val="002E635A"/>
    <w:rsid w:val="002E6468"/>
    <w:rsid w:val="002E6820"/>
    <w:rsid w:val="002F28AB"/>
    <w:rsid w:val="002F6B1B"/>
    <w:rsid w:val="0030624E"/>
    <w:rsid w:val="00306EDF"/>
    <w:rsid w:val="00307EFB"/>
    <w:rsid w:val="00311126"/>
    <w:rsid w:val="003134B3"/>
    <w:rsid w:val="00313985"/>
    <w:rsid w:val="003200FE"/>
    <w:rsid w:val="00320928"/>
    <w:rsid w:val="00325BFC"/>
    <w:rsid w:val="00326F53"/>
    <w:rsid w:val="00327786"/>
    <w:rsid w:val="00330346"/>
    <w:rsid w:val="00333F69"/>
    <w:rsid w:val="00336AE4"/>
    <w:rsid w:val="0034168D"/>
    <w:rsid w:val="00343E39"/>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C5A"/>
    <w:rsid w:val="00463D49"/>
    <w:rsid w:val="00466280"/>
    <w:rsid w:val="004706FA"/>
    <w:rsid w:val="004712E1"/>
    <w:rsid w:val="00475A34"/>
    <w:rsid w:val="00476F75"/>
    <w:rsid w:val="004777AF"/>
    <w:rsid w:val="00490677"/>
    <w:rsid w:val="00492005"/>
    <w:rsid w:val="0049339C"/>
    <w:rsid w:val="0049681A"/>
    <w:rsid w:val="00497E23"/>
    <w:rsid w:val="004A09B4"/>
    <w:rsid w:val="004A2923"/>
    <w:rsid w:val="004A6682"/>
    <w:rsid w:val="004A6E6D"/>
    <w:rsid w:val="004B06A6"/>
    <w:rsid w:val="004B37F6"/>
    <w:rsid w:val="004B4F9E"/>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309DA"/>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E13BD"/>
    <w:rsid w:val="005E2099"/>
    <w:rsid w:val="005E28E5"/>
    <w:rsid w:val="005E52A0"/>
    <w:rsid w:val="005E7F5A"/>
    <w:rsid w:val="005F0C76"/>
    <w:rsid w:val="005F4477"/>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3DAC"/>
    <w:rsid w:val="006C648D"/>
    <w:rsid w:val="006C7A4C"/>
    <w:rsid w:val="006C7EE5"/>
    <w:rsid w:val="006D02B7"/>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250A"/>
    <w:rsid w:val="008A4FC2"/>
    <w:rsid w:val="008B0293"/>
    <w:rsid w:val="008B4EFF"/>
    <w:rsid w:val="008C3ECC"/>
    <w:rsid w:val="008C5F79"/>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EBF"/>
    <w:rsid w:val="00951C9C"/>
    <w:rsid w:val="009554F2"/>
    <w:rsid w:val="0096173F"/>
    <w:rsid w:val="009623F7"/>
    <w:rsid w:val="009676E9"/>
    <w:rsid w:val="00973DD5"/>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5418"/>
    <w:rsid w:val="009C6F85"/>
    <w:rsid w:val="009C7BC2"/>
    <w:rsid w:val="009D1E09"/>
    <w:rsid w:val="009D4583"/>
    <w:rsid w:val="009E1269"/>
    <w:rsid w:val="009E1DE7"/>
    <w:rsid w:val="009E301C"/>
    <w:rsid w:val="009E3229"/>
    <w:rsid w:val="009E4DC2"/>
    <w:rsid w:val="009E591F"/>
    <w:rsid w:val="009E743C"/>
    <w:rsid w:val="009F4CA9"/>
    <w:rsid w:val="00A02F4E"/>
    <w:rsid w:val="00A036F8"/>
    <w:rsid w:val="00A04D0B"/>
    <w:rsid w:val="00A058BE"/>
    <w:rsid w:val="00A1181E"/>
    <w:rsid w:val="00A1493D"/>
    <w:rsid w:val="00A15127"/>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5177C"/>
    <w:rsid w:val="00D56716"/>
    <w:rsid w:val="00D62266"/>
    <w:rsid w:val="00D6273C"/>
    <w:rsid w:val="00D64249"/>
    <w:rsid w:val="00D64D8E"/>
    <w:rsid w:val="00D6589C"/>
    <w:rsid w:val="00D82608"/>
    <w:rsid w:val="00D845F0"/>
    <w:rsid w:val="00D86EEF"/>
    <w:rsid w:val="00D92A8D"/>
    <w:rsid w:val="00D92D29"/>
    <w:rsid w:val="00D95A7A"/>
    <w:rsid w:val="00D95C80"/>
    <w:rsid w:val="00D969E8"/>
    <w:rsid w:val="00DA0611"/>
    <w:rsid w:val="00DA2027"/>
    <w:rsid w:val="00DA36F1"/>
    <w:rsid w:val="00DA3C49"/>
    <w:rsid w:val="00DA58AC"/>
    <w:rsid w:val="00DB4759"/>
    <w:rsid w:val="00DB6AAE"/>
    <w:rsid w:val="00DB6DB4"/>
    <w:rsid w:val="00DB76C8"/>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35BA"/>
    <w:rsid w:val="00E13E7F"/>
    <w:rsid w:val="00E148FC"/>
    <w:rsid w:val="00E15259"/>
    <w:rsid w:val="00E15CA3"/>
    <w:rsid w:val="00E162DC"/>
    <w:rsid w:val="00E16594"/>
    <w:rsid w:val="00E17AA9"/>
    <w:rsid w:val="00E17BBE"/>
    <w:rsid w:val="00E20A8D"/>
    <w:rsid w:val="00E23AC1"/>
    <w:rsid w:val="00E23EA9"/>
    <w:rsid w:val="00E25DB3"/>
    <w:rsid w:val="00E30C94"/>
    <w:rsid w:val="00E31389"/>
    <w:rsid w:val="00E31CDD"/>
    <w:rsid w:val="00E31D0E"/>
    <w:rsid w:val="00E331A8"/>
    <w:rsid w:val="00E35BAD"/>
    <w:rsid w:val="00E40C63"/>
    <w:rsid w:val="00E41451"/>
    <w:rsid w:val="00E42992"/>
    <w:rsid w:val="00E45380"/>
    <w:rsid w:val="00E54656"/>
    <w:rsid w:val="00E549EE"/>
    <w:rsid w:val="00E56A1B"/>
    <w:rsid w:val="00E5777D"/>
    <w:rsid w:val="00E57EDE"/>
    <w:rsid w:val="00E72497"/>
    <w:rsid w:val="00E747E6"/>
    <w:rsid w:val="00E75D46"/>
    <w:rsid w:val="00E81D84"/>
    <w:rsid w:val="00E82432"/>
    <w:rsid w:val="00E85E11"/>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OPPO_POST129b</cp:lastModifiedBy>
  <cp:revision>5</cp:revision>
  <dcterms:created xsi:type="dcterms:W3CDTF">2025-04-17T07:38:00Z</dcterms:created>
  <dcterms:modified xsi:type="dcterms:W3CDTF">2025-04-21T07:53:00Z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