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w:t>
      </w:r>
      <w:proofErr w:type="gramStart"/>
      <w:r w:rsidR="00B5742E">
        <w:rPr>
          <w:rFonts w:ascii="Arial" w:hAnsi="Arial" w:cs="Arial"/>
          <w:b/>
          <w:bCs/>
          <w:sz w:val="24"/>
        </w:rPr>
        <w:t>bis</w:t>
      </w:r>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w:t>
      </w:r>
      <w:proofErr w:type="gramStart"/>
      <w:r w:rsidRPr="00440D3F">
        <w:rPr>
          <w:rFonts w:hint="eastAsia"/>
          <w:lang w:eastAsia="zh-CN"/>
        </w:rPr>
        <w:t>bis</w:t>
      </w:r>
      <w:r w:rsidRPr="00440D3F">
        <w:t>][</w:t>
      </w:r>
      <w:proofErr w:type="gramEnd"/>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val="en-SE" w:eastAsia="zh-CN"/>
              </w:rPr>
            </w:pPr>
            <w:r>
              <w:rPr>
                <w:rFonts w:ascii="Times New Roman" w:eastAsia="SimSun" w:hAnsi="Times New Roman"/>
                <w:lang w:val="en-SE"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val="en-SE" w:eastAsia="zh-CN"/>
              </w:rPr>
            </w:pPr>
            <w:r>
              <w:rPr>
                <w:rFonts w:ascii="Times New Roman" w:eastAsia="SimSun" w:hAnsi="Times New Roman"/>
                <w:lang w:val="en-SE" w:eastAsia="zh-CN"/>
              </w:rPr>
              <w:t>Rama Kumar Mopidevi (rama.kumar@huawei.com)</w:t>
            </w: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SimSun"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SimSun"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C3602C">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xml:space="preserve">.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w:t>
            </w:r>
            <w:proofErr w:type="gramStart"/>
            <w:r w:rsidRPr="000633D1">
              <w:rPr>
                <w:rFonts w:eastAsia="DengXian"/>
              </w:rPr>
              <w:t>On</w:t>
            </w:r>
            <w:proofErr w:type="gramEnd"/>
            <w:r w:rsidRPr="000633D1">
              <w:rPr>
                <w:rFonts w:eastAsia="DengXian"/>
              </w:rPr>
              <w:t xml:space="preserve">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064225EC" w:rsidR="00D95A0A" w:rsidRPr="003F5FDC" w:rsidRDefault="00341D90" w:rsidP="009F6247">
            <w:r>
              <w:t>vivo</w:t>
            </w:r>
          </w:p>
        </w:tc>
        <w:tc>
          <w:tcPr>
            <w:tcW w:w="3210" w:type="dxa"/>
          </w:tcPr>
          <w:p w14:paraId="7020B614" w14:textId="0AA02BE1" w:rsidR="00D95A0A" w:rsidRPr="003F5FDC" w:rsidRDefault="00341D90" w:rsidP="009F6247">
            <w:r>
              <w:t>Yes</w:t>
            </w:r>
          </w:p>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Heading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6536060A" w:rsidR="005E42E9" w:rsidRPr="003F5FDC" w:rsidRDefault="002D0920" w:rsidP="00C3602C">
            <w:r>
              <w:t xml:space="preserve">Vivo </w:t>
            </w:r>
          </w:p>
        </w:tc>
        <w:tc>
          <w:tcPr>
            <w:tcW w:w="3210" w:type="dxa"/>
          </w:tcPr>
          <w:p w14:paraId="72C90FB6" w14:textId="015F2FC0" w:rsidR="005E42E9" w:rsidRPr="003F5FDC" w:rsidRDefault="002D0920" w:rsidP="00C3602C">
            <w:r>
              <w:t>See comments</w:t>
            </w:r>
          </w:p>
        </w:tc>
        <w:tc>
          <w:tcPr>
            <w:tcW w:w="3211"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C3602C">
        <w:tc>
          <w:tcPr>
            <w:tcW w:w="3210" w:type="dxa"/>
          </w:tcPr>
          <w:p w14:paraId="779D6CA2" w14:textId="205EA650" w:rsidR="00042E69" w:rsidRPr="00042E69" w:rsidRDefault="00042E69" w:rsidP="00C3602C">
            <w:pPr>
              <w:rPr>
                <w:lang w:val="en-SE"/>
              </w:rPr>
            </w:pPr>
            <w:r>
              <w:rPr>
                <w:lang w:val="en-SE"/>
              </w:rPr>
              <w:t>Huawei/HiSilicon</w:t>
            </w:r>
          </w:p>
        </w:tc>
        <w:tc>
          <w:tcPr>
            <w:tcW w:w="3210" w:type="dxa"/>
          </w:tcPr>
          <w:p w14:paraId="6D5D8D3E" w14:textId="7F16A768" w:rsidR="00042E69" w:rsidRPr="00042E69" w:rsidRDefault="00042E69" w:rsidP="00C3602C">
            <w:pPr>
              <w:rPr>
                <w:lang w:val="en-SE"/>
              </w:rPr>
            </w:pPr>
            <w:r>
              <w:rPr>
                <w:lang w:val="en-SE"/>
              </w:rPr>
              <w:t>Yes</w:t>
            </w:r>
          </w:p>
        </w:tc>
        <w:tc>
          <w:tcPr>
            <w:tcW w:w="3211" w:type="dxa"/>
          </w:tcPr>
          <w:p w14:paraId="3900703F" w14:textId="77777777" w:rsidR="00042E69" w:rsidRDefault="00042E69" w:rsidP="00C3602C"/>
        </w:tc>
      </w:tr>
    </w:tbl>
    <w:p w14:paraId="518A4FDB" w14:textId="77777777" w:rsidR="005E42E9" w:rsidRPr="003F5FDC" w:rsidRDefault="005E42E9" w:rsidP="005E42E9"/>
    <w:p w14:paraId="62F63AA2" w14:textId="77777777" w:rsidR="00121B9C" w:rsidRDefault="00121B9C" w:rsidP="00121B9C">
      <w:pPr>
        <w:pStyle w:val="Heading3"/>
      </w:pPr>
      <w:r>
        <w:lastRenderedPageBreak/>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w:t>
            </w:r>
            <w:proofErr w:type="gramStart"/>
            <w:r>
              <w:t>Furthermore</w:t>
            </w:r>
            <w:proofErr w:type="gramEnd"/>
            <w:r>
              <w:t xml:space="preserv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C3602C">
        <w:tc>
          <w:tcPr>
            <w:tcW w:w="3210" w:type="dxa"/>
          </w:tcPr>
          <w:p w14:paraId="332D58A0" w14:textId="367F6AC0" w:rsidR="00121B9C" w:rsidRPr="003F5FDC" w:rsidRDefault="00EB621B" w:rsidP="00C3602C">
            <w:r>
              <w:t>vivo</w:t>
            </w:r>
          </w:p>
        </w:tc>
        <w:tc>
          <w:tcPr>
            <w:tcW w:w="3210" w:type="dxa"/>
          </w:tcPr>
          <w:p w14:paraId="6DADBC3A" w14:textId="3C74C773" w:rsidR="00121B9C" w:rsidRPr="003F5FDC" w:rsidRDefault="00E170A9" w:rsidP="00C3602C">
            <w:r>
              <w:t>Case 1 and 4</w:t>
            </w:r>
          </w:p>
        </w:tc>
        <w:tc>
          <w:tcPr>
            <w:tcW w:w="3211"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t xml:space="preserve">With this, we understand the RRM relaxation/offloading should be one </w:t>
            </w:r>
            <w:r>
              <w:lastRenderedPageBreak/>
              <w:t xml:space="preserve">of components of basic feature for LP-WUS. </w:t>
            </w:r>
          </w:p>
        </w:tc>
      </w:tr>
      <w:tr w:rsidR="00042E69" w:rsidRPr="003F5FDC" w14:paraId="03103F50" w14:textId="77777777" w:rsidTr="00C3602C">
        <w:tc>
          <w:tcPr>
            <w:tcW w:w="3210" w:type="dxa"/>
          </w:tcPr>
          <w:p w14:paraId="4438DA8F" w14:textId="36EE8676" w:rsidR="00042E69" w:rsidRPr="00042E69" w:rsidRDefault="00042E69" w:rsidP="00C3602C">
            <w:pPr>
              <w:rPr>
                <w:lang w:val="en-SE"/>
              </w:rPr>
            </w:pPr>
            <w:r>
              <w:rPr>
                <w:lang w:val="en-SE"/>
              </w:rPr>
              <w:lastRenderedPageBreak/>
              <w:t>Huawei/HiSilicon</w:t>
            </w:r>
          </w:p>
        </w:tc>
        <w:tc>
          <w:tcPr>
            <w:tcW w:w="3210" w:type="dxa"/>
          </w:tcPr>
          <w:p w14:paraId="5425858D" w14:textId="0BC54AFA" w:rsidR="00042E69" w:rsidRPr="00042E69" w:rsidRDefault="00042E69" w:rsidP="00C3602C">
            <w:pPr>
              <w:rPr>
                <w:lang w:val="en-SE"/>
              </w:rPr>
            </w:pPr>
            <w:r>
              <w:rPr>
                <w:lang w:val="en-SE"/>
              </w:rPr>
              <w:t>Case 1 and 4</w:t>
            </w:r>
          </w:p>
        </w:tc>
        <w:tc>
          <w:tcPr>
            <w:tcW w:w="3211" w:type="dxa"/>
          </w:tcPr>
          <w:p w14:paraId="3E8157C0" w14:textId="15256BC5" w:rsidR="00042E69" w:rsidRPr="00042E69" w:rsidRDefault="00042E69" w:rsidP="00C3602C">
            <w:pPr>
              <w:rPr>
                <w:lang w:val="en-SE"/>
              </w:rPr>
            </w:pPr>
            <w:r>
              <w:rPr>
                <w:lang w:val="en-SE"/>
              </w:rPr>
              <w:t>Agree with Vivo and Ericsson</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w:t>
            </w:r>
            <w:proofErr w:type="gramStart"/>
            <w:r>
              <w:t>Furthermore</w:t>
            </w:r>
            <w:proofErr w:type="gramEnd"/>
            <w:r>
              <w:t xml:space="preserv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pPr>
              <w:rPr>
                <w:lang w:val="en-SE"/>
              </w:rPr>
            </w:pPr>
            <w:r>
              <w:rPr>
                <w:lang w:val="en-SE"/>
              </w:rPr>
              <w:t>Huawei/HiSilicon</w:t>
            </w:r>
          </w:p>
        </w:tc>
        <w:tc>
          <w:tcPr>
            <w:tcW w:w="7935" w:type="dxa"/>
          </w:tcPr>
          <w:p w14:paraId="41E2CF88" w14:textId="3AD4D159" w:rsidR="005E0448" w:rsidRPr="003E7B3E" w:rsidRDefault="003E7B3E" w:rsidP="004F5D20">
            <w:pPr>
              <w:rPr>
                <w:lang w:val="en-SE"/>
              </w:rPr>
            </w:pPr>
            <w:r>
              <w:rPr>
                <w:lang w:val="en-SE"/>
              </w:rPr>
              <w:t>Regarding Ericsson’s comment on CONNECTED state LP-WUS capability: our understanding is that RAN1 is considering whether band combination level or band level is needed and they will further discuss. We think RAN2 can wait for RAN1 discussion on band combination level.</w:t>
            </w:r>
            <w:bookmarkStart w:id="1" w:name="_GoBack"/>
            <w:bookmarkEnd w:id="1"/>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2"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2"/>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3"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3"/>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SimSun" w:cs="Arial"/>
                <w:color w:val="000000"/>
                <w:sz w:val="18"/>
                <w:szCs w:val="18"/>
              </w:rPr>
            </w:pPr>
          </w:p>
          <w:p w14:paraId="1F7A7407"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SimSun" w:cs="Arial"/>
                <w:color w:val="000000"/>
                <w:sz w:val="18"/>
                <w:szCs w:val="18"/>
              </w:rPr>
            </w:pPr>
          </w:p>
          <w:p w14:paraId="20B145B8"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3A3C" w14:textId="77777777" w:rsidR="00C94B29" w:rsidRDefault="00C94B29">
      <w:pPr>
        <w:spacing w:after="0" w:line="240" w:lineRule="auto"/>
      </w:pPr>
      <w:r>
        <w:separator/>
      </w:r>
    </w:p>
  </w:endnote>
  <w:endnote w:type="continuationSeparator" w:id="0">
    <w:p w14:paraId="7F16961E" w14:textId="77777777" w:rsidR="00C94B29" w:rsidRDefault="00C9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B13FBD" w:rsidRDefault="00B13FBD">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B734" w14:textId="77777777" w:rsidR="00C94B29" w:rsidRDefault="00C94B29">
      <w:pPr>
        <w:spacing w:after="0" w:line="240" w:lineRule="auto"/>
      </w:pPr>
      <w:r>
        <w:separator/>
      </w:r>
    </w:p>
  </w:footnote>
  <w:footnote w:type="continuationSeparator" w:id="0">
    <w:p w14:paraId="058D7CF4" w14:textId="77777777" w:rsidR="00C94B29" w:rsidRDefault="00C94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674D27E-7D4D-4828-8D71-7370305D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11</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HW-Rama Kumar</cp:lastModifiedBy>
  <cp:revision>58</cp:revision>
  <cp:lastPrinted>2020-09-15T00:04:00Z</cp:lastPrinted>
  <dcterms:created xsi:type="dcterms:W3CDTF">2025-04-16T10:17:00Z</dcterms:created>
  <dcterms:modified xsi:type="dcterms:W3CDTF">2025-04-28T11:59:00Z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