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bookmarkStart w:id="3" w:name="_Hlk197030775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bookmarkEnd w:id="3"/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等线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</w:t>
      </w:r>
      <w:bookmarkStart w:id="4" w:name="_Hlk197030811"/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bookmarkEnd w:id="4"/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</w:t>
            </w:r>
            <w:proofErr w:type="gramStart"/>
            <w:r>
              <w:rPr>
                <w:rFonts w:ascii="Times New Roman" w:hAnsi="Times New Roman"/>
                <w:bCs/>
                <w:lang w:val="en-US"/>
              </w:rPr>
              <w:t>conform</w:t>
            </w:r>
            <w:proofErr w:type="gramEnd"/>
            <w:r>
              <w:rPr>
                <w:rFonts w:ascii="Times New Roman" w:hAnsi="Times New Roman"/>
                <w:bCs/>
                <w:lang w:val="en-US"/>
              </w:rPr>
              <w:t xml:space="preserve"> 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C63BF80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614FC9B" w14:textId="6B7E923B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22A87C33" w:rsidR="00B05DFF" w:rsidRPr="009D7C3B" w:rsidRDefault="000F50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2DE0A280" w14:textId="66B38E1B" w:rsidR="00B05DFF" w:rsidRPr="009D7C3B" w:rsidRDefault="00D45222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</w:t>
            </w:r>
            <w:r w:rsidR="000F50FF">
              <w:rPr>
                <w:rFonts w:ascii="Times New Rom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3002E03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Qualcomm</w:t>
            </w:r>
          </w:p>
        </w:tc>
        <w:tc>
          <w:tcPr>
            <w:tcW w:w="1318" w:type="dxa"/>
          </w:tcPr>
          <w:p w14:paraId="35124CAF" w14:textId="6E3E9B0A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2E98EDAB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6EB64E10" w14:textId="3BE28493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2DDB0A0" w14:textId="0D821619" w:rsidR="00B05DFF" w:rsidRPr="00BF243B" w:rsidRDefault="00633346" w:rsidP="00CF6062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T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he </w:t>
            </w:r>
            <w:bookmarkStart w:id="5" w:name="_GoBack"/>
            <w:bookmarkEnd w:id="5"/>
            <w:r w:rsidR="00BF243B">
              <w:rPr>
                <w:rFonts w:ascii="Times New Roman" w:hAnsi="Times New Roman"/>
                <w:bCs/>
                <w:lang w:val="en-US"/>
              </w:rPr>
              <w:t>UE capability</w:t>
            </w:r>
            <w:r w:rsidR="00BF243B">
              <w:rPr>
                <w:rFonts w:ascii="Times New Roman" w:eastAsia="等线" w:hAnsi="Times New Roman" w:hint="eastAsia"/>
                <w:bCs/>
                <w:lang w:val="en-US"/>
              </w:rPr>
              <w:t xml:space="preserve"> issue can be further discussed.</w:t>
            </w: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85725" w14:textId="77777777" w:rsidR="007A4765" w:rsidRDefault="007A4765">
      <w:pPr>
        <w:spacing w:after="0"/>
      </w:pPr>
      <w:r>
        <w:separator/>
      </w:r>
    </w:p>
  </w:endnote>
  <w:endnote w:type="continuationSeparator" w:id="0">
    <w:p w14:paraId="3D0FE048" w14:textId="77777777" w:rsidR="007A4765" w:rsidRDefault="007A4765">
      <w:pPr>
        <w:spacing w:after="0"/>
      </w:pPr>
      <w:r>
        <w:continuationSeparator/>
      </w:r>
    </w:p>
  </w:endnote>
  <w:endnote w:type="continuationNotice" w:id="1">
    <w:p w14:paraId="3F731811" w14:textId="77777777" w:rsidR="007A4765" w:rsidRDefault="007A47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77044" w14:textId="42755E18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33346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33346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30FB2" w14:textId="77777777" w:rsidR="007A4765" w:rsidRDefault="007A4765">
      <w:pPr>
        <w:spacing w:after="0"/>
      </w:pPr>
      <w:r>
        <w:separator/>
      </w:r>
    </w:p>
  </w:footnote>
  <w:footnote w:type="continuationSeparator" w:id="0">
    <w:p w14:paraId="743752FF" w14:textId="77777777" w:rsidR="007A4765" w:rsidRDefault="007A4765">
      <w:pPr>
        <w:spacing w:after="0"/>
      </w:pPr>
      <w:r>
        <w:continuationSeparator/>
      </w:r>
    </w:p>
  </w:footnote>
  <w:footnote w:type="continuationNotice" w:id="1">
    <w:p w14:paraId="5B2F9093" w14:textId="77777777" w:rsidR="007A4765" w:rsidRDefault="007A476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0FF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F5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346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A00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808"/>
    <w:rsid w:val="007A0C4B"/>
    <w:rsid w:val="007A139E"/>
    <w:rsid w:val="007A4765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7D3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16C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339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6D6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43B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CF6062"/>
    <w:rsid w:val="00D00E6B"/>
    <w:rsid w:val="00D01925"/>
    <w:rsid w:val="00D02BD0"/>
    <w:rsid w:val="00D0361D"/>
    <w:rsid w:val="00D03762"/>
    <w:rsid w:val="00D0454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22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6CCA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CATT</cp:lastModifiedBy>
  <cp:revision>5</cp:revision>
  <dcterms:created xsi:type="dcterms:W3CDTF">2025-05-01T14:28:00Z</dcterms:created>
  <dcterms:modified xsi:type="dcterms:W3CDTF">2025-05-01T15:37:00Z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