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>Summary of discussions on reply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E78C623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LS</w:t>
      </w:r>
      <w:r w:rsidR="00961D53" w:rsidRPr="00961D53">
        <w:rPr>
          <w:rFonts w:eastAsia="DengXian"/>
          <w:lang w:eastAsia="zh-CN"/>
        </w:rPr>
        <w:t xml:space="preserve">es in </w:t>
      </w:r>
      <w:r w:rsidR="00B33657">
        <w:rPr>
          <w:rFonts w:eastAsia="DengXian"/>
          <w:lang w:eastAsia="zh-CN"/>
        </w:rPr>
        <w:t>R2-250339</w:t>
      </w:r>
      <w:r w:rsidR="004F43CF">
        <w:rPr>
          <w:rFonts w:eastAsia="DengXian"/>
          <w:lang w:eastAsia="zh-CN"/>
        </w:rPr>
        <w:t xml:space="preserve"> (</w:t>
      </w:r>
      <w:r w:rsidR="00961D53" w:rsidRPr="00961D53">
        <w:rPr>
          <w:rFonts w:eastAsia="DengXian"/>
          <w:lang w:eastAsia="zh-CN"/>
        </w:rPr>
        <w:t>S4-250736</w:t>
      </w:r>
      <w:r w:rsidR="004F43CF">
        <w:rPr>
          <w:rFonts w:eastAsia="DengXian"/>
          <w:lang w:eastAsia="zh-CN"/>
        </w:rPr>
        <w:t>)</w:t>
      </w:r>
      <w:r w:rsidR="00961D53" w:rsidRPr="00961D53">
        <w:rPr>
          <w:rFonts w:eastAsia="DengXian"/>
          <w:lang w:eastAsia="zh-CN"/>
        </w:rPr>
        <w:t xml:space="preserve">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 xml:space="preserve">and </w:t>
      </w:r>
      <w:r w:rsidR="00583223">
        <w:rPr>
          <w:rFonts w:eastAsia="DengXian"/>
          <w:lang w:eastAsia="zh-CN"/>
        </w:rPr>
        <w:t>R2-2503340 (</w:t>
      </w:r>
      <w:r w:rsidR="00961D53" w:rsidRPr="00961D53">
        <w:rPr>
          <w:rFonts w:eastAsia="DengXian"/>
          <w:lang w:eastAsia="zh-CN"/>
        </w:rPr>
        <w:t>S4-25073</w:t>
      </w:r>
      <w:r w:rsidR="00583223">
        <w:rPr>
          <w:rFonts w:eastAsia="DengXian"/>
          <w:lang w:eastAsia="zh-CN"/>
        </w:rPr>
        <w:t>7)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LSes.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 1800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reply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 1800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111"/>
      </w:tblGrid>
      <w:tr w:rsidR="00643CB5" w14:paraId="6D5A01A0" w14:textId="77777777" w:rsidTr="00B63360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10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4111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B63360">
        <w:tc>
          <w:tcPr>
            <w:tcW w:w="2409" w:type="dxa"/>
          </w:tcPr>
          <w:p w14:paraId="30FD3BC1" w14:textId="3DBA98DA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2410" w:type="dxa"/>
          </w:tcPr>
          <w:p w14:paraId="75EB7116" w14:textId="04B8FCA1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 He</w:t>
            </w:r>
          </w:p>
        </w:tc>
        <w:tc>
          <w:tcPr>
            <w:tcW w:w="4111" w:type="dxa"/>
          </w:tcPr>
          <w:p w14:paraId="7DEA32DA" w14:textId="58ECF5A2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linhaihe@qti.qualcomm.com</w:t>
            </w:r>
          </w:p>
        </w:tc>
      </w:tr>
      <w:tr w:rsidR="00643CB5" w14:paraId="434CFB5A" w14:textId="77777777" w:rsidTr="00B63360">
        <w:tc>
          <w:tcPr>
            <w:tcW w:w="2409" w:type="dxa"/>
          </w:tcPr>
          <w:p w14:paraId="5228AFAA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B3DE33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7DE7DE6D" w14:textId="4C9CED06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4BD9D747" w14:textId="77777777" w:rsidTr="00B63360">
        <w:tc>
          <w:tcPr>
            <w:tcW w:w="2409" w:type="dxa"/>
          </w:tcPr>
          <w:p w14:paraId="7B5379FE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00B5E8F8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4C7BFE5B" w14:textId="2B97FC4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E58F151" w14:textId="77777777" w:rsidTr="00B63360">
        <w:tc>
          <w:tcPr>
            <w:tcW w:w="2409" w:type="dxa"/>
          </w:tcPr>
          <w:p w14:paraId="7F24A00C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5FDB5949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B1CE3B9" w14:textId="7BCF6ED2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5486AEC" w14:textId="77777777" w:rsidTr="00B63360">
        <w:trPr>
          <w:trHeight w:val="19"/>
        </w:trPr>
        <w:tc>
          <w:tcPr>
            <w:tcW w:w="2409" w:type="dxa"/>
          </w:tcPr>
          <w:p w14:paraId="152EAAB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6E5DFE2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A57CC61" w14:textId="78462AD3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±5%</w:t>
      </w:r>
      <w:r w:rsidR="009708DA">
        <w:t>;</w:t>
      </w:r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t>I</w:t>
      </w:r>
      <w:r w:rsidR="004D236F">
        <w:t xml:space="preserve">t is the rapporteur’s understanding that from RAN2’s perspective, the more accurate the </w:t>
      </w:r>
      <w:r w:rsidR="00D0302E">
        <w:t>indicated PDU Set size and the indicated data burst size</w:t>
      </w:r>
      <w:r w:rsidR="003846C8">
        <w:t xml:space="preserve"> are</w:t>
      </w:r>
      <w:r w:rsidR="00D0302E">
        <w:t xml:space="preserve">, the more efficiently RAN is able to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lastRenderedPageBreak/>
        <w:t xml:space="preserve">Q1. </w:t>
      </w:r>
      <w:r w:rsidR="008A633C" w:rsidRPr="003846C8">
        <w:rPr>
          <w:b/>
          <w:bCs/>
        </w:rPr>
        <w:t>Do you agree that from RAN2’s perspective, the more accurate the indicated PDU Set size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8DE54EE" w:rsidR="003846C8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E463BE1" w14:textId="1202D1CD" w:rsidR="003846C8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31A3746" w14:textId="5FF11981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6A7D64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F826190" w14:textId="3D61A94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41609F5B" w14:textId="77777777" w:rsidTr="006D6D78">
        <w:tc>
          <w:tcPr>
            <w:tcW w:w="2410" w:type="dxa"/>
          </w:tcPr>
          <w:p w14:paraId="24815F33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FACE151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681ECA8" w14:textId="024A83BF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C4C5ADA" w14:textId="77777777" w:rsidTr="006D6D78">
        <w:tc>
          <w:tcPr>
            <w:tcW w:w="2410" w:type="dxa"/>
          </w:tcPr>
          <w:p w14:paraId="32CE33F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9CEA589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BCFC1D9" w14:textId="13E315F9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4D9DE5F" w14:textId="77777777" w:rsidTr="006D6D78">
        <w:tc>
          <w:tcPr>
            <w:tcW w:w="2410" w:type="dxa"/>
          </w:tcPr>
          <w:p w14:paraId="78463FC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8CBD9C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E7CCD39" w14:textId="3770ADE4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35FB08E2" w:rsidR="00E539FB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7C8AF65" w14:textId="5097CF1B" w:rsidR="00E539FB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0.1% of </w:t>
            </w:r>
            <w:r w:rsidR="000E5755">
              <w:rPr>
                <w:rFonts w:eastAsia="DengXian"/>
                <w:lang w:eastAsia="zh-CN"/>
              </w:rPr>
              <w:t xml:space="preserve">max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E5755">
              <w:rPr>
                <w:rFonts w:eastAsia="DengXian"/>
                <w:lang w:eastAsia="zh-CN"/>
              </w:rPr>
              <w:t>PDU Set size</w:t>
            </w:r>
          </w:p>
        </w:tc>
        <w:tc>
          <w:tcPr>
            <w:tcW w:w="5529" w:type="dxa"/>
          </w:tcPr>
          <w:p w14:paraId="48FD8E08" w14:textId="40C454C2" w:rsidR="00E539FB" w:rsidRDefault="002348A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 our understanding, whatever accuracy limit SA4 chooses, no impact on RAN2 specs is foreseen. So the more accurate it is, the better.</w:t>
            </w:r>
          </w:p>
        </w:tc>
      </w:tr>
      <w:tr w:rsidR="00E539FB" w14:paraId="13F47BC9" w14:textId="77777777" w:rsidTr="006D6D78">
        <w:tc>
          <w:tcPr>
            <w:tcW w:w="2410" w:type="dxa"/>
          </w:tcPr>
          <w:p w14:paraId="78D960D7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6650533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85615A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2AD23093" w14:textId="77777777" w:rsidTr="006D6D78">
        <w:tc>
          <w:tcPr>
            <w:tcW w:w="2410" w:type="dxa"/>
          </w:tcPr>
          <w:p w14:paraId="253D8971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4CE691A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DA2D500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0DEF97AD" w14:textId="77777777" w:rsidTr="006D6D78">
        <w:tc>
          <w:tcPr>
            <w:tcW w:w="2410" w:type="dxa"/>
          </w:tcPr>
          <w:p w14:paraId="5C9E4D7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00FCFA9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99E6E05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31EF3356" w14:textId="77777777" w:rsidTr="006D6D78">
        <w:tc>
          <w:tcPr>
            <w:tcW w:w="2410" w:type="dxa"/>
          </w:tcPr>
          <w:p w14:paraId="3B9A83D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size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4245764" w:rsidR="00860923" w:rsidRDefault="00827E71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0E8207FF" w14:textId="2DA61FFE" w:rsidR="00860923" w:rsidRDefault="00827E7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2D797351" w14:textId="0B28A5F4" w:rsidR="00860923" w:rsidRDefault="008800C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Accuracy of PDU Set size and data burst size have the same impact on gNB scheduling. </w:t>
            </w: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CAA84D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A1285A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739D588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B916B9A" w14:textId="77777777" w:rsidTr="006D6D78">
        <w:tc>
          <w:tcPr>
            <w:tcW w:w="2410" w:type="dxa"/>
          </w:tcPr>
          <w:p w14:paraId="650682BB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5D237BE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B15ED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E92AA5E" w14:textId="77777777" w:rsidTr="006D6D78">
        <w:tc>
          <w:tcPr>
            <w:tcW w:w="2410" w:type="dxa"/>
          </w:tcPr>
          <w:p w14:paraId="04D9BD9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lastRenderedPageBreak/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0332778B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29F8CA6F" w14:textId="0DA95B40" w:rsidR="00B03B5C" w:rsidRDefault="00B846D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85B6802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5B1D4A5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D66C6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AD1548F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88BDF3" w14:textId="77777777" w:rsidTr="006D6D78">
        <w:tc>
          <w:tcPr>
            <w:tcW w:w="2410" w:type="dxa"/>
          </w:tcPr>
          <w:p w14:paraId="4BE2229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D56D15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6AA4E4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CF62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3F9DE51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4B3848C6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10B7D22C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F7988BE" w14:textId="1F27331B" w:rsidR="00B03B5C" w:rsidRDefault="00C6298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Same as the shortest PDCCH skipping duration</w:t>
            </w:r>
          </w:p>
        </w:tc>
        <w:tc>
          <w:tcPr>
            <w:tcW w:w="5529" w:type="dxa"/>
          </w:tcPr>
          <w:p w14:paraId="6668D71A" w14:textId="318826AF" w:rsidR="0043009D" w:rsidRDefault="008A6FD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next </w:t>
            </w:r>
            <w:r w:rsidR="0043009D">
              <w:rPr>
                <w:rFonts w:eastAsia="DengXian"/>
                <w:lang w:eastAsia="zh-CN"/>
              </w:rPr>
              <w:t xml:space="preserve">data </w:t>
            </w:r>
            <w:r>
              <w:rPr>
                <w:rFonts w:eastAsia="DengXian"/>
                <w:lang w:eastAsia="zh-CN"/>
              </w:rPr>
              <w:t xml:space="preserve">burst is to arrive before the start of the next on duration, </w:t>
            </w:r>
            <w:r w:rsidR="00B417E2">
              <w:rPr>
                <w:rFonts w:eastAsia="DengXian"/>
                <w:lang w:eastAsia="zh-CN"/>
              </w:rPr>
              <w:t xml:space="preserve">the network may reconfigure the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B417E2">
              <w:rPr>
                <w:rFonts w:eastAsia="DengXian"/>
                <w:lang w:eastAsia="zh-CN"/>
              </w:rPr>
              <w:t xml:space="preserve">offset to </w:t>
            </w:r>
            <w:r w:rsidR="00AB3024">
              <w:rPr>
                <w:rFonts w:eastAsia="DengXian"/>
                <w:lang w:eastAsia="zh-CN"/>
              </w:rPr>
              <w:t xml:space="preserve">avoid extra latency. The granularity of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AB3024">
              <w:rPr>
                <w:rFonts w:eastAsia="DengXian"/>
                <w:lang w:eastAsia="zh-CN"/>
              </w:rPr>
              <w:t>offset is</w:t>
            </w:r>
            <w:r w:rsidR="0043009D">
              <w:rPr>
                <w:rFonts w:eastAsia="DengXian"/>
                <w:lang w:eastAsia="zh-CN"/>
              </w:rPr>
              <w:t xml:space="preserve"> 1msec.</w:t>
            </w:r>
          </w:p>
          <w:p w14:paraId="521D2119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3C644FF5" w14:textId="77777777" w:rsidR="003E45B2" w:rsidRDefault="0043009D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If the next data burst</w:t>
            </w:r>
            <w:r w:rsidR="00AB3024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is to arrive after the start of the next on duration, the network may either reconfigure the DRX start offset or schedule a PDCCH skipping. In the latter case, the minimum duration is </w:t>
            </w:r>
            <w:r w:rsidR="000E471C">
              <w:rPr>
                <w:rFonts w:eastAsia="DengXian"/>
                <w:lang w:eastAsia="zh-CN"/>
              </w:rPr>
              <w:t>1 slot (whose absolute length is SCS dependent).</w:t>
            </w:r>
          </w:p>
          <w:p w14:paraId="7F5C97E7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147F90FB" w14:textId="428B9193" w:rsidR="00B03B5C" w:rsidRDefault="003E45B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Between the granularity of DRX start offset and the minimum PDCCH skipping duration, the latter is shorter and hence can be selected as the accuracy limit for the indicated TTNB.</w:t>
            </w:r>
          </w:p>
        </w:tc>
      </w:tr>
      <w:tr w:rsidR="00B03B5C" w14:paraId="094CFAB0" w14:textId="77777777" w:rsidTr="006D6D78">
        <w:tc>
          <w:tcPr>
            <w:tcW w:w="2410" w:type="dxa"/>
          </w:tcPr>
          <w:p w14:paraId="2B35348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32C68B9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9BA409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E4CD4B" w14:textId="77777777" w:rsidTr="006D6D78">
        <w:tc>
          <w:tcPr>
            <w:tcW w:w="2410" w:type="dxa"/>
          </w:tcPr>
          <w:p w14:paraId="6939E1E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C9BCB4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FD17E3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4DDF8453" w14:textId="77777777" w:rsidTr="006D6D78">
        <w:tc>
          <w:tcPr>
            <w:tcW w:w="2410" w:type="dxa"/>
          </w:tcPr>
          <w:p w14:paraId="6EA475A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641BB5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2BBE8D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AF9A44" w14:textId="77777777" w:rsidTr="006D6D78">
        <w:tc>
          <w:tcPr>
            <w:tcW w:w="2410" w:type="dxa"/>
          </w:tcPr>
          <w:p w14:paraId="12E43B4C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8C38F9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168DB3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C749" w14:textId="77777777" w:rsidR="00920583" w:rsidRDefault="00920583">
      <w:r>
        <w:separator/>
      </w:r>
    </w:p>
  </w:endnote>
  <w:endnote w:type="continuationSeparator" w:id="0">
    <w:p w14:paraId="2AB16ECB" w14:textId="77777777" w:rsidR="00920583" w:rsidRDefault="00920583">
      <w:r>
        <w:continuationSeparator/>
      </w:r>
    </w:p>
  </w:endnote>
  <w:endnote w:type="continuationNotice" w:id="1">
    <w:p w14:paraId="766EB6E9" w14:textId="77777777" w:rsidR="00920583" w:rsidRDefault="009205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A086" w14:textId="77777777" w:rsidR="00920583" w:rsidRDefault="00920583">
      <w:r>
        <w:separator/>
      </w:r>
    </w:p>
  </w:footnote>
  <w:footnote w:type="continuationSeparator" w:id="0">
    <w:p w14:paraId="1DE5229C" w14:textId="77777777" w:rsidR="00920583" w:rsidRDefault="00920583">
      <w:r>
        <w:continuationSeparator/>
      </w:r>
    </w:p>
  </w:footnote>
  <w:footnote w:type="continuationNotice" w:id="1">
    <w:p w14:paraId="536F563E" w14:textId="77777777" w:rsidR="00920583" w:rsidRDefault="009205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570544">
    <w:abstractNumId w:val="2"/>
  </w:num>
  <w:num w:numId="2" w16cid:durableId="1262031398">
    <w:abstractNumId w:val="1"/>
  </w:num>
  <w:num w:numId="3" w16cid:durableId="80032915">
    <w:abstractNumId w:val="0"/>
  </w:num>
  <w:num w:numId="4" w16cid:durableId="1328366485">
    <w:abstractNumId w:val="5"/>
  </w:num>
  <w:num w:numId="5" w16cid:durableId="395394737">
    <w:abstractNumId w:val="4"/>
  </w:num>
  <w:num w:numId="6" w16cid:durableId="13139454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9E2"/>
    <w:rsid w:val="00047EA4"/>
    <w:rsid w:val="00047FAF"/>
    <w:rsid w:val="00050F29"/>
    <w:rsid w:val="00051A71"/>
    <w:rsid w:val="0005329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71C"/>
    <w:rsid w:val="000E4B73"/>
    <w:rsid w:val="000E5755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63E1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48AE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75E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FCB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2B28"/>
    <w:rsid w:val="003E30DB"/>
    <w:rsid w:val="003E3675"/>
    <w:rsid w:val="003E45B2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09D"/>
    <w:rsid w:val="004306C8"/>
    <w:rsid w:val="004307CB"/>
    <w:rsid w:val="00430CB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3CF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22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10A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35D9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27E71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0C4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33C"/>
    <w:rsid w:val="008A6B8E"/>
    <w:rsid w:val="008A6FD4"/>
    <w:rsid w:val="008A75ED"/>
    <w:rsid w:val="008A7865"/>
    <w:rsid w:val="008B0ACC"/>
    <w:rsid w:val="008B0AF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583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A40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07159"/>
    <w:rsid w:val="00A10045"/>
    <w:rsid w:val="00A10EBC"/>
    <w:rsid w:val="00A11778"/>
    <w:rsid w:val="00A11ACE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3024"/>
    <w:rsid w:val="00AB4009"/>
    <w:rsid w:val="00AB49E7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118E"/>
    <w:rsid w:val="00AE11D3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B5C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657"/>
    <w:rsid w:val="00B33E38"/>
    <w:rsid w:val="00B34439"/>
    <w:rsid w:val="00B34E6E"/>
    <w:rsid w:val="00B36643"/>
    <w:rsid w:val="00B37E46"/>
    <w:rsid w:val="00B414F3"/>
    <w:rsid w:val="00B417E2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46A71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3360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6D8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57BAB"/>
    <w:rsid w:val="00C605E1"/>
    <w:rsid w:val="00C62983"/>
    <w:rsid w:val="00C62A32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0C"/>
    <w:rsid w:val="00D4611B"/>
    <w:rsid w:val="00D4682A"/>
    <w:rsid w:val="00D46889"/>
    <w:rsid w:val="00D46E03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4C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709"/>
    <w:rsid w:val="00F230A3"/>
    <w:rsid w:val="00F235B8"/>
    <w:rsid w:val="00F253F7"/>
    <w:rsid w:val="00F2540D"/>
    <w:rsid w:val="00F25476"/>
    <w:rsid w:val="00F25D98"/>
    <w:rsid w:val="00F263D8"/>
    <w:rsid w:val="00F264CD"/>
    <w:rsid w:val="00F26A11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05C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24A5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3</Pages>
  <Words>893</Words>
  <Characters>4629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5511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20</cp:revision>
  <cp:lastPrinted>1900-01-01T08:00:00Z</cp:lastPrinted>
  <dcterms:created xsi:type="dcterms:W3CDTF">2025-04-24T21:45:00Z</dcterms:created>
  <dcterms:modified xsi:type="dcterms:W3CDTF">2025-04-25T16:43:00Z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