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 xml:space="preserve">Summary of discussions on </w:t>
      </w:r>
      <w:proofErr w:type="gramStart"/>
      <w:r w:rsidR="00A4779B">
        <w:rPr>
          <w:rFonts w:ascii="Arial" w:eastAsia="MS Mincho" w:hAnsi="Arial" w:cs="Arial"/>
          <w:b/>
          <w:sz w:val="24"/>
          <w:szCs w:val="24"/>
        </w:rPr>
        <w:t>reply</w:t>
      </w:r>
      <w:proofErr w:type="gramEnd"/>
      <w:r w:rsidR="00A4779B">
        <w:rPr>
          <w:rFonts w:ascii="Arial" w:eastAsia="MS Mincho" w:hAnsi="Arial" w:cs="Arial"/>
          <w:b/>
          <w:sz w:val="24"/>
          <w:szCs w:val="24"/>
        </w:rPr>
        <w:t xml:space="preserve">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37E0AF2F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</w:t>
      </w:r>
      <w:proofErr w:type="spellStart"/>
      <w:r w:rsidR="00FA24A5">
        <w:rPr>
          <w:rFonts w:eastAsia="DengXian"/>
          <w:lang w:eastAsia="zh-CN"/>
        </w:rPr>
        <w:t>LS</w:t>
      </w:r>
      <w:r w:rsidR="00961D53" w:rsidRPr="00961D53">
        <w:rPr>
          <w:rFonts w:eastAsia="DengXian"/>
          <w:lang w:eastAsia="zh-CN"/>
        </w:rPr>
        <w:t>es</w:t>
      </w:r>
      <w:proofErr w:type="spellEnd"/>
      <w:r w:rsidR="00961D53" w:rsidRPr="00961D53">
        <w:rPr>
          <w:rFonts w:eastAsia="DengXian"/>
          <w:lang w:eastAsia="zh-CN"/>
        </w:rPr>
        <w:t xml:space="preserve"> in S4-250736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>and S4-25073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</w:t>
      </w:r>
      <w:proofErr w:type="spellStart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>LSes</w:t>
      </w:r>
      <w:proofErr w:type="spellEnd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</w:t>
      </w:r>
      <w:proofErr w:type="gramStart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proofErr w:type="gramStart"/>
      <w:r>
        <w:rPr>
          <w:rFonts w:ascii="Times New Roman" w:eastAsia="DengXian" w:hAnsi="Times New Roman" w:cs="Times New Roman"/>
          <w:sz w:val="20"/>
          <w:szCs w:val="20"/>
          <w:lang w:val="en-GB"/>
        </w:rPr>
        <w:t>reply</w:t>
      </w:r>
      <w:proofErr w:type="gramEnd"/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</w:t>
      </w:r>
      <w:proofErr w:type="gramStart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835"/>
        <w:gridCol w:w="3686"/>
      </w:tblGrid>
      <w:tr w:rsidR="00643CB5" w14:paraId="6D5A01A0" w14:textId="77777777" w:rsidTr="008B0AFC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835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3686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8B0AFC">
        <w:tc>
          <w:tcPr>
            <w:tcW w:w="2409" w:type="dxa"/>
          </w:tcPr>
          <w:p w14:paraId="30FD3BC1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835" w:type="dxa"/>
          </w:tcPr>
          <w:p w14:paraId="75EB711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3686" w:type="dxa"/>
          </w:tcPr>
          <w:p w14:paraId="7DEA32DA" w14:textId="16B697D5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434CFB5A" w14:textId="77777777" w:rsidTr="008B0AFC">
        <w:tc>
          <w:tcPr>
            <w:tcW w:w="2409" w:type="dxa"/>
          </w:tcPr>
          <w:p w14:paraId="5228AFAA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835" w:type="dxa"/>
          </w:tcPr>
          <w:p w14:paraId="3B3DE33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3686" w:type="dxa"/>
          </w:tcPr>
          <w:p w14:paraId="7DE7DE6D" w14:textId="4C9CED06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4BD9D747" w14:textId="77777777" w:rsidTr="008B0AFC">
        <w:tc>
          <w:tcPr>
            <w:tcW w:w="2409" w:type="dxa"/>
          </w:tcPr>
          <w:p w14:paraId="7B5379FE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835" w:type="dxa"/>
          </w:tcPr>
          <w:p w14:paraId="00B5E8F8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3686" w:type="dxa"/>
          </w:tcPr>
          <w:p w14:paraId="4C7BFE5B" w14:textId="2B97FC4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E58F151" w14:textId="77777777" w:rsidTr="008B0AFC">
        <w:tc>
          <w:tcPr>
            <w:tcW w:w="2409" w:type="dxa"/>
          </w:tcPr>
          <w:p w14:paraId="7F24A00C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835" w:type="dxa"/>
          </w:tcPr>
          <w:p w14:paraId="5FDB5949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3686" w:type="dxa"/>
          </w:tcPr>
          <w:p w14:paraId="3B1CE3B9" w14:textId="7BCF6ED2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5486AEC" w14:textId="77777777" w:rsidTr="008B0AFC">
        <w:trPr>
          <w:trHeight w:val="19"/>
        </w:trPr>
        <w:tc>
          <w:tcPr>
            <w:tcW w:w="2409" w:type="dxa"/>
          </w:tcPr>
          <w:p w14:paraId="152EAAB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835" w:type="dxa"/>
          </w:tcPr>
          <w:p w14:paraId="36E5DFE2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3686" w:type="dxa"/>
          </w:tcPr>
          <w:p w14:paraId="3A57CC61" w14:textId="78462AD3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±5%</w:t>
      </w:r>
      <w:r w:rsidR="009708DA">
        <w:t>;</w:t>
      </w:r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t>I</w:t>
      </w:r>
      <w:r w:rsidR="004D236F">
        <w:t xml:space="preserve">t is the rapporteur’s understanding that from RAN2’s perspective, the more accurate the </w:t>
      </w:r>
      <w:r w:rsidR="00D0302E">
        <w:t xml:space="preserve">indicated PDU Set </w:t>
      </w:r>
      <w:proofErr w:type="gramStart"/>
      <w:r w:rsidR="00D0302E">
        <w:t>size</w:t>
      </w:r>
      <w:proofErr w:type="gramEnd"/>
      <w:r w:rsidR="00D0302E">
        <w:t xml:space="preserve"> and the indicated data burst size</w:t>
      </w:r>
      <w:r w:rsidR="003846C8">
        <w:t xml:space="preserve"> are</w:t>
      </w:r>
      <w:r w:rsidR="00D0302E">
        <w:t xml:space="preserve">, the more efficiently RAN </w:t>
      </w:r>
      <w:proofErr w:type="gramStart"/>
      <w:r w:rsidR="00D0302E">
        <w:t>is able to</w:t>
      </w:r>
      <w:proofErr w:type="gramEnd"/>
      <w:r w:rsidR="00D0302E">
        <w:t xml:space="preserve">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lastRenderedPageBreak/>
        <w:t xml:space="preserve">Q1. </w:t>
      </w:r>
      <w:r w:rsidR="008A633C" w:rsidRPr="003846C8">
        <w:rPr>
          <w:b/>
          <w:bCs/>
        </w:rPr>
        <w:t xml:space="preserve">Do you agree that from RAN2’s perspective, the more accurate the indicated PDU Set </w:t>
      </w:r>
      <w:proofErr w:type="gramStart"/>
      <w:r w:rsidR="008A633C" w:rsidRPr="003846C8">
        <w:rPr>
          <w:b/>
          <w:bCs/>
        </w:rPr>
        <w:t>size</w:t>
      </w:r>
      <w:proofErr w:type="gramEnd"/>
      <w:r w:rsidR="008A633C" w:rsidRPr="003846C8">
        <w:rPr>
          <w:b/>
          <w:bCs/>
        </w:rPr>
        <w:t xml:space="preserve">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E463BE1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31A3746" w14:textId="66FD4B7F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6A7D64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F826190" w14:textId="3D61A94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41609F5B" w14:textId="77777777" w:rsidTr="006D6D78">
        <w:tc>
          <w:tcPr>
            <w:tcW w:w="2410" w:type="dxa"/>
          </w:tcPr>
          <w:p w14:paraId="24815F33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FACE151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681ECA8" w14:textId="024A83BF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C4C5ADA" w14:textId="77777777" w:rsidTr="006D6D78">
        <w:tc>
          <w:tcPr>
            <w:tcW w:w="2410" w:type="dxa"/>
          </w:tcPr>
          <w:p w14:paraId="32CE33F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9CEA589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BCFC1D9" w14:textId="13E315F9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4D9DE5F" w14:textId="77777777" w:rsidTr="006D6D78">
        <w:tc>
          <w:tcPr>
            <w:tcW w:w="2410" w:type="dxa"/>
          </w:tcPr>
          <w:p w14:paraId="78463FC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8CBD9C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E7CCD39" w14:textId="3770ADE4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7C8AF65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8FD8E08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13F47BC9" w14:textId="77777777" w:rsidTr="006D6D78">
        <w:tc>
          <w:tcPr>
            <w:tcW w:w="2410" w:type="dxa"/>
          </w:tcPr>
          <w:p w14:paraId="78D960D7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6650533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85615A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2AD23093" w14:textId="77777777" w:rsidTr="006D6D78">
        <w:tc>
          <w:tcPr>
            <w:tcW w:w="2410" w:type="dxa"/>
          </w:tcPr>
          <w:p w14:paraId="253D8971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4CE691A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DA2D500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0DEF97AD" w14:textId="77777777" w:rsidTr="006D6D78">
        <w:tc>
          <w:tcPr>
            <w:tcW w:w="2410" w:type="dxa"/>
          </w:tcPr>
          <w:p w14:paraId="5C9E4D7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00FCFA9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99E6E05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31EF3356" w14:textId="77777777" w:rsidTr="006D6D78">
        <w:tc>
          <w:tcPr>
            <w:tcW w:w="2410" w:type="dxa"/>
          </w:tcPr>
          <w:p w14:paraId="3B9A83D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</w:t>
      </w:r>
      <w:proofErr w:type="gramStart"/>
      <w:r w:rsidR="00ED27E2">
        <w:rPr>
          <w:b/>
          <w:bCs/>
        </w:rPr>
        <w:t>size</w:t>
      </w:r>
      <w:proofErr w:type="gramEnd"/>
      <w:r w:rsidR="00ED27E2">
        <w:rPr>
          <w:b/>
          <w:bCs/>
        </w:rPr>
        <w:t xml:space="preserve">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E8207FF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D797351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CAA84D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A1285A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739D588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B916B9A" w14:textId="77777777" w:rsidTr="006D6D78">
        <w:tc>
          <w:tcPr>
            <w:tcW w:w="2410" w:type="dxa"/>
          </w:tcPr>
          <w:p w14:paraId="650682BB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5D237BE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B15ED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E92AA5E" w14:textId="77777777" w:rsidTr="006D6D78">
        <w:tc>
          <w:tcPr>
            <w:tcW w:w="2410" w:type="dxa"/>
          </w:tcPr>
          <w:p w14:paraId="04D9BD9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lastRenderedPageBreak/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F8CA6F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85B6802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5B1D4A5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D66C6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AD1548F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88BDF3" w14:textId="77777777" w:rsidTr="006D6D78">
        <w:tc>
          <w:tcPr>
            <w:tcW w:w="2410" w:type="dxa"/>
          </w:tcPr>
          <w:p w14:paraId="4BE2229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D56D15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6AA4E4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CF62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3F9DE51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4B3848C6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F7988BE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47F90FB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94CFAB0" w14:textId="77777777" w:rsidTr="006D6D78">
        <w:tc>
          <w:tcPr>
            <w:tcW w:w="2410" w:type="dxa"/>
          </w:tcPr>
          <w:p w14:paraId="2B35348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32C68B9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9BA409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E4CD4B" w14:textId="77777777" w:rsidTr="006D6D78">
        <w:tc>
          <w:tcPr>
            <w:tcW w:w="2410" w:type="dxa"/>
          </w:tcPr>
          <w:p w14:paraId="6939E1E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C9BCB4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FD17E3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4DDF8453" w14:textId="77777777" w:rsidTr="006D6D78">
        <w:tc>
          <w:tcPr>
            <w:tcW w:w="2410" w:type="dxa"/>
          </w:tcPr>
          <w:p w14:paraId="6EA475A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641BB5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2BBE8D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AF9A44" w14:textId="77777777" w:rsidTr="006D6D78">
        <w:tc>
          <w:tcPr>
            <w:tcW w:w="2410" w:type="dxa"/>
          </w:tcPr>
          <w:p w14:paraId="12E43B4C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8C38F9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168DB3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FEE4" w14:textId="77777777" w:rsidR="007C68AF" w:rsidRDefault="007C68AF">
      <w:r>
        <w:separator/>
      </w:r>
    </w:p>
  </w:endnote>
  <w:endnote w:type="continuationSeparator" w:id="0">
    <w:p w14:paraId="553AF021" w14:textId="77777777" w:rsidR="007C68AF" w:rsidRDefault="007C68AF">
      <w:r>
        <w:continuationSeparator/>
      </w:r>
    </w:p>
  </w:endnote>
  <w:endnote w:type="continuationNotice" w:id="1">
    <w:p w14:paraId="172F982B" w14:textId="77777777" w:rsidR="007C68AF" w:rsidRDefault="007C68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F668" w14:textId="77777777" w:rsidR="007C68AF" w:rsidRDefault="007C68AF">
      <w:r>
        <w:separator/>
      </w:r>
    </w:p>
  </w:footnote>
  <w:footnote w:type="continuationSeparator" w:id="0">
    <w:p w14:paraId="09CB4CFF" w14:textId="77777777" w:rsidR="007C68AF" w:rsidRDefault="007C68AF">
      <w:r>
        <w:continuationSeparator/>
      </w:r>
    </w:p>
  </w:footnote>
  <w:footnote w:type="continuationNotice" w:id="1">
    <w:p w14:paraId="0512AEB7" w14:textId="77777777" w:rsidR="007C68AF" w:rsidRDefault="007C68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570544">
    <w:abstractNumId w:val="2"/>
  </w:num>
  <w:num w:numId="2" w16cid:durableId="1262031398">
    <w:abstractNumId w:val="1"/>
  </w:num>
  <w:num w:numId="3" w16cid:durableId="80032915">
    <w:abstractNumId w:val="0"/>
  </w:num>
  <w:num w:numId="4" w16cid:durableId="1328366485">
    <w:abstractNumId w:val="5"/>
  </w:num>
  <w:num w:numId="5" w16cid:durableId="395394737">
    <w:abstractNumId w:val="4"/>
  </w:num>
  <w:num w:numId="6" w16cid:durableId="13139454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9E2"/>
    <w:rsid w:val="00047EA4"/>
    <w:rsid w:val="00047FAF"/>
    <w:rsid w:val="00050F29"/>
    <w:rsid w:val="00051A71"/>
    <w:rsid w:val="0005329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75E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FCB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2B28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0CB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10A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35D9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33C"/>
    <w:rsid w:val="008A6B8E"/>
    <w:rsid w:val="008A75ED"/>
    <w:rsid w:val="008A7865"/>
    <w:rsid w:val="008B0ACC"/>
    <w:rsid w:val="008B0AF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10045"/>
    <w:rsid w:val="00A10EBC"/>
    <w:rsid w:val="00A11778"/>
    <w:rsid w:val="00A11ACE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4009"/>
    <w:rsid w:val="00AB49E7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118E"/>
    <w:rsid w:val="00AE11D3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B5C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57BAB"/>
    <w:rsid w:val="00C605E1"/>
    <w:rsid w:val="00C62A32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0C"/>
    <w:rsid w:val="00D4611B"/>
    <w:rsid w:val="00D4682A"/>
    <w:rsid w:val="00D46889"/>
    <w:rsid w:val="00D46E03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4C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709"/>
    <w:rsid w:val="00F230A3"/>
    <w:rsid w:val="00F235B8"/>
    <w:rsid w:val="00F253F7"/>
    <w:rsid w:val="00F2540D"/>
    <w:rsid w:val="00F25476"/>
    <w:rsid w:val="00F25D98"/>
    <w:rsid w:val="00F263D8"/>
    <w:rsid w:val="00F264CD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05C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24A5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2003</TotalTime>
  <Pages>3</Pages>
  <Words>715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4475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291</cp:revision>
  <cp:lastPrinted>1900-01-01T08:00:00Z</cp:lastPrinted>
  <dcterms:created xsi:type="dcterms:W3CDTF">2025-03-21T19:43:00Z</dcterms:created>
  <dcterms:modified xsi:type="dcterms:W3CDTF">2025-04-24T21:45:00Z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