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709CED4B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9B1FFD">
        <w:rPr>
          <w:b/>
          <w:noProof/>
          <w:sz w:val="24"/>
          <w:lang w:val="en-US"/>
        </w:rPr>
        <w:t>Malta</w:t>
      </w:r>
      <w:r w:rsidRPr="00EE1AF4">
        <w:rPr>
          <w:b/>
          <w:noProof/>
          <w:sz w:val="24"/>
        </w:rPr>
        <w:t xml:space="preserve">, </w:t>
      </w:r>
      <w:r w:rsidR="009B1FFD">
        <w:rPr>
          <w:b/>
          <w:noProof/>
          <w:sz w:val="24"/>
        </w:rPr>
        <w:t>MT</w:t>
      </w:r>
      <w:r>
        <w:rPr>
          <w:b/>
          <w:noProof/>
          <w:sz w:val="24"/>
        </w:rPr>
        <w:t>, 1</w:t>
      </w:r>
      <w:r w:rsidR="009B1FFD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</w:t>
      </w:r>
      <w:r w:rsidR="009B1FFD">
        <w:rPr>
          <w:b/>
          <w:noProof/>
          <w:sz w:val="24"/>
        </w:rPr>
        <w:t>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B1FFD">
        <w:rPr>
          <w:b/>
          <w:noProof/>
          <w:sz w:val="24"/>
        </w:rPr>
        <w:t>May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eastAsia="宋体" w:hAnsi="宋体" w:cs="宋体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2902B618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B3327"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 w:rsidR="008B3327" w:rsidRPr="00973105">
        <w:rPr>
          <w:rFonts w:ascii="Arial" w:hAnsi="Arial"/>
          <w:b/>
          <w:sz w:val="24"/>
        </w:rPr>
        <w:t>[</w:t>
      </w:r>
      <w:r w:rsidR="008B3327" w:rsidRPr="00C1489D">
        <w:rPr>
          <w:rFonts w:ascii="Arial" w:hAnsi="Arial"/>
          <w:b/>
          <w:sz w:val="24"/>
        </w:rPr>
        <w:t>POST129</w:t>
      </w:r>
      <w:r w:rsidR="008B3327">
        <w:rPr>
          <w:rFonts w:ascii="Arial" w:hAnsi="Arial"/>
          <w:b/>
          <w:sz w:val="24"/>
        </w:rPr>
        <w:t>b</w:t>
      </w:r>
      <w:r w:rsidR="008B3327" w:rsidRPr="00C1489D">
        <w:rPr>
          <w:rFonts w:ascii="Arial" w:hAnsi="Arial"/>
          <w:b/>
          <w:sz w:val="24"/>
        </w:rPr>
        <w:t>][</w:t>
      </w:r>
      <w:proofErr w:type="gramStart"/>
      <w:r w:rsidR="008B3327">
        <w:rPr>
          <w:rFonts w:ascii="Arial" w:hAnsi="Arial"/>
          <w:b/>
          <w:sz w:val="24"/>
        </w:rPr>
        <w:t>113</w:t>
      </w:r>
      <w:r w:rsidR="008B3327" w:rsidRPr="00C1489D">
        <w:rPr>
          <w:rFonts w:ascii="Arial" w:hAnsi="Arial"/>
          <w:b/>
          <w:sz w:val="24"/>
        </w:rPr>
        <w:t>][</w:t>
      </w:r>
      <w:proofErr w:type="gramEnd"/>
      <w:r w:rsidR="008B3327" w:rsidRPr="00C1489D">
        <w:rPr>
          <w:rFonts w:ascii="Arial" w:hAnsi="Arial"/>
          <w:b/>
          <w:sz w:val="24"/>
        </w:rPr>
        <w:t xml:space="preserve">NES] </w:t>
      </w:r>
      <w:r w:rsidR="008B3327" w:rsidRPr="00973105">
        <w:rPr>
          <w:rFonts w:ascii="Arial" w:hAnsi="Arial"/>
          <w:b/>
          <w:sz w:val="24"/>
        </w:rPr>
        <w:t>38.</w:t>
      </w:r>
      <w:r w:rsidR="00D06163">
        <w:rPr>
          <w:rFonts w:ascii="Arial" w:hAnsi="Arial"/>
          <w:b/>
          <w:sz w:val="24"/>
        </w:rPr>
        <w:t>304</w:t>
      </w:r>
      <w:r w:rsidR="008B3327" w:rsidRPr="00973105">
        <w:rPr>
          <w:rFonts w:ascii="Arial" w:hAnsi="Arial"/>
          <w:b/>
          <w:sz w:val="24"/>
        </w:rPr>
        <w:t xml:space="preserve"> CR (</w:t>
      </w:r>
      <w:r w:rsidR="008B3327">
        <w:rPr>
          <w:rFonts w:ascii="Arial" w:hAnsi="Arial"/>
          <w:b/>
          <w:sz w:val="24"/>
        </w:rPr>
        <w:t>Apple</w:t>
      </w:r>
      <w:r w:rsidR="008B3327" w:rsidRPr="00973105">
        <w:rPr>
          <w:rFonts w:ascii="Arial" w:hAnsi="Arial"/>
          <w:b/>
          <w:sz w:val="24"/>
        </w:rPr>
        <w:t>)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2217AA30" w14:textId="77777777" w:rsidR="003D68F7" w:rsidRPr="008B0D01" w:rsidRDefault="003D68F7" w:rsidP="003D68F7">
      <w:pPr>
        <w:pStyle w:val="EmailDiscussion"/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13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00E8C93C" w14:textId="77777777" w:rsidR="003D68F7" w:rsidRDefault="003D68F7" w:rsidP="003D68F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38.304 running CR based on RAN2#129bis progress and maintain essential open issue list in a separate contribution (38.304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7D7CB572" w14:textId="77777777" w:rsidR="003D68F7" w:rsidRPr="00F56C90" w:rsidRDefault="003D68F7" w:rsidP="003D68F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3449CE87" w14:textId="77777777" w:rsidR="003D68F7" w:rsidRDefault="003D68F7" w:rsidP="003D68F7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8511029" w14:textId="6CCB6DBF" w:rsidR="00073E3F" w:rsidRDefault="00073E3F" w:rsidP="00073E3F">
      <w:pPr>
        <w:pStyle w:val="a0"/>
      </w:pPr>
    </w:p>
    <w:p w14:paraId="2B3A2ED9" w14:textId="77777777" w:rsidR="00473C77" w:rsidRPr="00EA5065" w:rsidRDefault="00473C77" w:rsidP="00473C77">
      <w:pPr>
        <w:pStyle w:val="2"/>
        <w:ind w:left="567" w:hanging="567"/>
        <w:rPr>
          <w:rFonts w:eastAsia="等线" w:cs="Arial"/>
          <w:lang w:eastAsia="zh-CN"/>
        </w:rPr>
      </w:pPr>
      <w:r w:rsidRPr="00EA5065">
        <w:rPr>
          <w:rFonts w:eastAsia="等线" w:cs="Arial"/>
          <w:lang w:eastAsia="zh-CN"/>
        </w:rPr>
        <w:t>Contact informat</w:t>
      </w:r>
      <w:r>
        <w:rPr>
          <w:rFonts w:eastAsia="等线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3158"/>
        <w:gridCol w:w="4153"/>
      </w:tblGrid>
      <w:tr w:rsidR="00473C77" w:rsidRPr="00EA5065" w14:paraId="35E458E6" w14:textId="77777777" w:rsidTr="00BB3F4C">
        <w:tc>
          <w:tcPr>
            <w:tcW w:w="2376" w:type="dxa"/>
            <w:shd w:val="clear" w:color="auto" w:fill="auto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BB3F4C">
        <w:tc>
          <w:tcPr>
            <w:tcW w:w="2376" w:type="dxa"/>
            <w:shd w:val="clear" w:color="auto" w:fill="auto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473C77" w:rsidRPr="00EA5065" w14:paraId="479E5825" w14:textId="77777777" w:rsidTr="00BB3F4C">
        <w:tc>
          <w:tcPr>
            <w:tcW w:w="2376" w:type="dxa"/>
            <w:shd w:val="clear" w:color="auto" w:fill="auto"/>
          </w:tcPr>
          <w:p w14:paraId="323A459D" w14:textId="5EFE6DD9" w:rsidR="00473C77" w:rsidRPr="001B5037" w:rsidRDefault="001B5037" w:rsidP="00BB3F4C">
            <w:pPr>
              <w:spacing w:before="100" w:beforeAutospacing="1" w:after="100" w:afterAutospacing="1"/>
              <w:jc w:val="both"/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 xml:space="preserve">Xiaomi </w:t>
            </w:r>
          </w:p>
        </w:tc>
        <w:tc>
          <w:tcPr>
            <w:tcW w:w="3261" w:type="dxa"/>
            <w:shd w:val="clear" w:color="auto" w:fill="auto"/>
          </w:tcPr>
          <w:p w14:paraId="008D5D0C" w14:textId="1EE46EDB" w:rsidR="00473C77" w:rsidRPr="001B5037" w:rsidRDefault="001B5037" w:rsidP="00BB3F4C">
            <w:pPr>
              <w:spacing w:before="100" w:beforeAutospacing="1" w:after="100" w:afterAutospacing="1"/>
              <w:jc w:val="both"/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</w:pPr>
            <w:proofErr w:type="spellStart"/>
            <w:r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  <w:t>S</w:t>
            </w: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hukun</w:t>
            </w:r>
            <w:proofErr w:type="spellEnd"/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 xml:space="preserve"> Wang</w:t>
            </w:r>
          </w:p>
        </w:tc>
        <w:tc>
          <w:tcPr>
            <w:tcW w:w="4218" w:type="dxa"/>
            <w:shd w:val="clear" w:color="auto" w:fill="auto"/>
          </w:tcPr>
          <w:p w14:paraId="4A375400" w14:textId="0B5BF57B" w:rsidR="00473C77" w:rsidRPr="001B5037" w:rsidRDefault="001B5037" w:rsidP="00BB3F4C">
            <w:pPr>
              <w:spacing w:before="100" w:beforeAutospacing="1" w:after="100" w:afterAutospacing="1"/>
              <w:jc w:val="both"/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Wangshukun3@xiaomi.com</w:t>
            </w:r>
          </w:p>
        </w:tc>
      </w:tr>
    </w:tbl>
    <w:p w14:paraId="15319BFE" w14:textId="77777777" w:rsidR="00473C77" w:rsidRDefault="00473C77" w:rsidP="00073E3F">
      <w:pPr>
        <w:pStyle w:val="a0"/>
      </w:pPr>
    </w:p>
    <w:p w14:paraId="68CBCA9C" w14:textId="137BB061" w:rsidR="00567E3E" w:rsidRPr="0047642A" w:rsidRDefault="00567E3E" w:rsidP="00567E3E">
      <w:pPr>
        <w:pStyle w:val="1"/>
        <w:ind w:left="0" w:firstLine="0"/>
        <w:jc w:val="both"/>
      </w:pPr>
      <w:r>
        <w:t>2</w:t>
      </w:r>
      <w:r w:rsidRPr="0047642A">
        <w:tab/>
      </w:r>
      <w:r w:rsidR="00385103">
        <w:t>How</w:t>
      </w:r>
      <w:r>
        <w:t xml:space="preserve"> </w:t>
      </w:r>
      <w:r w:rsidR="00F8063E">
        <w:t>open issue</w:t>
      </w:r>
      <w:r w:rsidR="006D29B1">
        <w:t xml:space="preserve">s </w:t>
      </w:r>
      <w:r w:rsidR="00F8063E">
        <w:t>of RAN2#129</w:t>
      </w:r>
      <w:r w:rsidR="00385103">
        <w:t xml:space="preserve"> are </w:t>
      </w:r>
      <w:r w:rsidR="00866EB0">
        <w:t>handled</w:t>
      </w:r>
    </w:p>
    <w:p w14:paraId="28059AC9" w14:textId="37DC6AFE" w:rsidR="00D8126E" w:rsidRDefault="00D8126E" w:rsidP="00D8126E">
      <w:pPr>
        <w:pStyle w:val="Doc-title"/>
        <w:spacing w:after="180"/>
      </w:pPr>
      <w:r>
        <w:t>In RAN2#129b, the following running CR was endorsed:</w:t>
      </w:r>
    </w:p>
    <w:p w14:paraId="1BD7D618" w14:textId="5807383F" w:rsidR="00D8126E" w:rsidRPr="00D8126E" w:rsidRDefault="00D8126E" w:rsidP="00D8126E">
      <w:pPr>
        <w:pStyle w:val="Doc-title"/>
        <w:rPr>
          <w:rFonts w:eastAsia="Malgun Gothic"/>
          <w:i/>
          <w:iCs/>
          <w:lang w:eastAsia="ko-KR"/>
        </w:rPr>
      </w:pPr>
      <w:r w:rsidRPr="00D8126E">
        <w:rPr>
          <w:i/>
          <w:iCs/>
        </w:rPr>
        <w:t>R2-2502323</w:t>
      </w:r>
      <w:r w:rsidRPr="00D8126E">
        <w:rPr>
          <w:i/>
          <w:iCs/>
        </w:rPr>
        <w:tab/>
        <w:t>Running 38.304 CR for network energy saving</w:t>
      </w:r>
      <w:r w:rsidRPr="00D8126E">
        <w:rPr>
          <w:i/>
          <w:iCs/>
        </w:rPr>
        <w:tab/>
        <w:t>Apple (Rapporteur)</w:t>
      </w:r>
      <w:r w:rsidRPr="00D8126E">
        <w:rPr>
          <w:i/>
          <w:iCs/>
        </w:rPr>
        <w:tab/>
        <w:t>draftCR</w:t>
      </w:r>
      <w:r w:rsidRPr="00D8126E">
        <w:rPr>
          <w:i/>
          <w:iCs/>
        </w:rPr>
        <w:tab/>
        <w:t>Rel-19</w:t>
      </w:r>
      <w:r w:rsidRPr="00D8126E">
        <w:rPr>
          <w:i/>
          <w:iCs/>
        </w:rPr>
        <w:tab/>
        <w:t>38.304</w:t>
      </w:r>
      <w:r w:rsidRPr="00D8126E">
        <w:rPr>
          <w:i/>
          <w:iCs/>
        </w:rPr>
        <w:tab/>
        <w:t>18.4.0</w:t>
      </w:r>
      <w:r w:rsidRPr="00D8126E">
        <w:rPr>
          <w:i/>
          <w:iCs/>
        </w:rPr>
        <w:tab/>
        <w:t>B</w:t>
      </w:r>
      <w:r w:rsidRPr="00D8126E">
        <w:rPr>
          <w:i/>
          <w:iCs/>
        </w:rPr>
        <w:tab/>
        <w:t>Netw_Energy_NR_enh-Core</w:t>
      </w:r>
    </w:p>
    <w:p w14:paraId="423D11FD" w14:textId="77777777" w:rsidR="00D8126E" w:rsidRPr="00D8126E" w:rsidRDefault="00D8126E" w:rsidP="00D8126E">
      <w:pPr>
        <w:pStyle w:val="Agreement"/>
        <w:tabs>
          <w:tab w:val="clear" w:pos="1619"/>
          <w:tab w:val="num" w:pos="1800"/>
        </w:tabs>
        <w:spacing w:after="180"/>
        <w:ind w:left="1800"/>
        <w:rPr>
          <w:rFonts w:eastAsia="Malgun Gothic"/>
          <w:i/>
          <w:iCs/>
          <w:lang w:eastAsia="ko-KR"/>
        </w:rPr>
      </w:pPr>
      <w:r w:rsidRPr="00D8126E">
        <w:rPr>
          <w:rFonts w:eastAsia="Malgun Gothic" w:hint="eastAsia"/>
          <w:i/>
          <w:iCs/>
          <w:lang w:eastAsia="ko-KR"/>
        </w:rPr>
        <w:t>Endorsed.</w:t>
      </w:r>
    </w:p>
    <w:p w14:paraId="6092D54A" w14:textId="34FB68FD" w:rsidR="00D95AA5" w:rsidRDefault="00D8126E" w:rsidP="00073E3F">
      <w:pPr>
        <w:pStyle w:val="a0"/>
      </w:pPr>
      <w:r>
        <w:t>The endorsed CR has the following 5 open issues (EN):</w:t>
      </w:r>
    </w:p>
    <w:p w14:paraId="030A7C29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 xml:space="preserve">Editor’s note: FFS the UE </w:t>
      </w:r>
      <w:proofErr w:type="spellStart"/>
      <w:r>
        <w:t>behavior</w:t>
      </w:r>
      <w:proofErr w:type="spellEnd"/>
      <w:r>
        <w:t xml:space="preserve"> if </w:t>
      </w:r>
      <w:proofErr w:type="spellStart"/>
      <w:r w:rsidRPr="0070026F">
        <w:rPr>
          <w:i/>
          <w:iCs/>
          <w:lang w:val="en-US"/>
        </w:rPr>
        <w:t>pagingAdaptationPEI</w:t>
      </w:r>
      <w:proofErr w:type="spellEnd"/>
      <w:r w:rsidRPr="0070026F">
        <w:rPr>
          <w:i/>
          <w:iCs/>
          <w:lang w:val="en-US"/>
        </w:rPr>
        <w:t>-Config</w:t>
      </w:r>
      <w:r>
        <w:rPr>
          <w:i/>
          <w:iCs/>
          <w:lang w:val="en-US"/>
        </w:rPr>
        <w:t xml:space="preserve"> </w:t>
      </w:r>
      <w:r w:rsidRPr="00212D19">
        <w:rPr>
          <w:lang w:val="en-US"/>
        </w:rPr>
        <w:t>is configured.</w:t>
      </w:r>
      <w:r w:rsidRPr="00212D19">
        <w:t xml:space="preserve"> </w:t>
      </w:r>
    </w:p>
    <w:p w14:paraId="4449F228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>Editor’s note: whether to capture the barring (including no UL WUS configuration and max number of preamble transmission for OD-SIB1 request) in TS 38.331 or/and TS 38.304.</w:t>
      </w:r>
    </w:p>
    <w:p w14:paraId="63DBCA63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 xml:space="preserve">Editor’s note: whether to capture the unbarring </w:t>
      </w:r>
      <w:proofErr w:type="spellStart"/>
      <w:r>
        <w:t>behavior</w:t>
      </w:r>
      <w:proofErr w:type="spellEnd"/>
      <w:r>
        <w:t xml:space="preserve"> in TS 38.331 or/and TS 38.304. </w:t>
      </w:r>
    </w:p>
    <w:p w14:paraId="01F0315A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 xml:space="preserve">Editor’s note: whether to capture trigger condition of OD-SIB1 acquisition procedure for RRC_IDLE / RRC_INACTIVE UE (i.e. reusing cell reselection criteria) in TS 38.331 or/and TS 38.304. </w:t>
      </w:r>
    </w:p>
    <w:p w14:paraId="76A2070F" w14:textId="77777777" w:rsidR="0046243B" w:rsidRPr="004826D1" w:rsidRDefault="0046243B" w:rsidP="0046243B">
      <w:pPr>
        <w:pStyle w:val="EditorsNote"/>
        <w:numPr>
          <w:ilvl w:val="0"/>
          <w:numId w:val="26"/>
        </w:numPr>
      </w:pPr>
      <w:r>
        <w:t xml:space="preserve">Editor’s note: whether to capture OD-SIB1 operation in this separate Section or in Section 5.3.1/5.2.4.1.  </w:t>
      </w:r>
    </w:p>
    <w:p w14:paraId="51C1E18B" w14:textId="7174CA76" w:rsidR="00D8126E" w:rsidRDefault="00683B0C" w:rsidP="00073E3F">
      <w:pPr>
        <w:pStyle w:val="a0"/>
      </w:pPr>
      <w:r>
        <w:t>After online and offline discussion of RAN2#129b, CR rapporteur handled these open issues in the way summarized in Table.1.</w:t>
      </w:r>
    </w:p>
    <w:p w14:paraId="66FB4212" w14:textId="77777777" w:rsidR="00683B0C" w:rsidRDefault="00683B0C" w:rsidP="00073E3F">
      <w:pPr>
        <w:pStyle w:val="a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971"/>
      </w:tblGrid>
      <w:tr w:rsidR="00683B0C" w14:paraId="12030D29" w14:textId="77777777" w:rsidTr="00926F9A">
        <w:tc>
          <w:tcPr>
            <w:tcW w:w="2547" w:type="dxa"/>
          </w:tcPr>
          <w:p w14:paraId="2D9FEFEF" w14:textId="3CA0075D" w:rsidR="00683B0C" w:rsidRPr="00385103" w:rsidRDefault="00683B0C" w:rsidP="00073E3F">
            <w:pPr>
              <w:pStyle w:val="a0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lastRenderedPageBreak/>
              <w:t xml:space="preserve">Open issue </w:t>
            </w:r>
          </w:p>
        </w:tc>
        <w:tc>
          <w:tcPr>
            <w:tcW w:w="4111" w:type="dxa"/>
          </w:tcPr>
          <w:p w14:paraId="6BC47592" w14:textId="6263067F" w:rsidR="00683B0C" w:rsidRPr="00385103" w:rsidRDefault="00683B0C" w:rsidP="00073E3F">
            <w:pPr>
              <w:pStyle w:val="a0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>Any agreement in RAN2#129b?</w:t>
            </w:r>
          </w:p>
        </w:tc>
        <w:tc>
          <w:tcPr>
            <w:tcW w:w="2971" w:type="dxa"/>
          </w:tcPr>
          <w:p w14:paraId="6ADF4265" w14:textId="23BFD5E9" w:rsidR="00683B0C" w:rsidRPr="00385103" w:rsidRDefault="00683B0C" w:rsidP="00073E3F">
            <w:pPr>
              <w:pStyle w:val="a0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How CR Rapporteur handled </w:t>
            </w:r>
            <w:r w:rsidR="00347E51" w:rsidRPr="00385103">
              <w:rPr>
                <w:b/>
                <w:bCs/>
                <w:sz w:val="18"/>
                <w:szCs w:val="18"/>
              </w:rPr>
              <w:t xml:space="preserve">it </w:t>
            </w:r>
            <w:r w:rsidRPr="00385103">
              <w:rPr>
                <w:b/>
                <w:bCs/>
                <w:sz w:val="18"/>
                <w:szCs w:val="18"/>
              </w:rPr>
              <w:t xml:space="preserve">in new running CR </w:t>
            </w:r>
          </w:p>
        </w:tc>
      </w:tr>
      <w:tr w:rsidR="00683B0C" w14:paraId="2FFAAD5F" w14:textId="77777777" w:rsidTr="00926F9A">
        <w:tc>
          <w:tcPr>
            <w:tcW w:w="2547" w:type="dxa"/>
          </w:tcPr>
          <w:p w14:paraId="1A1CAA19" w14:textId="5854739D" w:rsidR="00683B0C" w:rsidRPr="00385103" w:rsidRDefault="00683B0C" w:rsidP="00683B0C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FFS the UE </w:t>
            </w:r>
            <w:proofErr w:type="spellStart"/>
            <w:r w:rsidRPr="00385103">
              <w:rPr>
                <w:sz w:val="18"/>
                <w:szCs w:val="18"/>
              </w:rPr>
              <w:t>behavior</w:t>
            </w:r>
            <w:proofErr w:type="spellEnd"/>
            <w:r w:rsidRPr="00385103">
              <w:rPr>
                <w:sz w:val="18"/>
                <w:szCs w:val="18"/>
              </w:rPr>
              <w:t xml:space="preserve"> if </w:t>
            </w:r>
            <w:proofErr w:type="spellStart"/>
            <w:r w:rsidRPr="00385103">
              <w:rPr>
                <w:i/>
                <w:iCs/>
                <w:sz w:val="18"/>
                <w:szCs w:val="18"/>
                <w:lang w:val="en-US"/>
              </w:rPr>
              <w:t>pagingAdaptationPEI</w:t>
            </w:r>
            <w:proofErr w:type="spellEnd"/>
            <w:r w:rsidRPr="00385103">
              <w:rPr>
                <w:i/>
                <w:iCs/>
                <w:sz w:val="18"/>
                <w:szCs w:val="18"/>
                <w:lang w:val="en-US"/>
              </w:rPr>
              <w:t xml:space="preserve">-Config </w:t>
            </w:r>
            <w:r w:rsidRPr="00385103">
              <w:rPr>
                <w:sz w:val="18"/>
                <w:szCs w:val="18"/>
                <w:lang w:val="en-US"/>
              </w:rPr>
              <w:t>is configured.</w:t>
            </w:r>
            <w:r w:rsidRPr="003851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ACE023E" w14:textId="77777777" w:rsidR="00683B0C" w:rsidRPr="00385103" w:rsidRDefault="00683B0C" w:rsidP="00073E3F">
            <w:pPr>
              <w:pStyle w:val="a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2F9E21C9" w14:textId="7961EF34" w:rsidR="008D0BCA" w:rsidRPr="00385103" w:rsidRDefault="008D0BCA" w:rsidP="008D0BCA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=&gt; For the case when both pei-Config-r17 and pagingAdaptationPEI-Config-r19 are configured, R19 UE supporting paging adaption should monitor PEI according to pagingAdaptationPEI-Config-r19 while other UE should monitor PEI according to pei-Config-r17.</w:t>
            </w:r>
          </w:p>
          <w:p w14:paraId="58B65081" w14:textId="406D59B4" w:rsidR="00683B0C" w:rsidRPr="00385103" w:rsidRDefault="008D0BCA" w:rsidP="0068202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=&gt;For the case when pei-Config-r17 is configured and pagingAdaptationPEI-Config-r19 is absent, both R19 UE supporting paging adaption and other UE should monitor PEI according to pei-Config-r17.</w:t>
            </w:r>
          </w:p>
        </w:tc>
        <w:tc>
          <w:tcPr>
            <w:tcW w:w="2971" w:type="dxa"/>
          </w:tcPr>
          <w:p w14:paraId="5727C8E0" w14:textId="14C51156" w:rsidR="00683B0C" w:rsidRPr="00385103" w:rsidRDefault="008D0BCA" w:rsidP="008D0BCA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Capture agreed UE behaviour in Section 7.2.1.</w:t>
            </w:r>
          </w:p>
          <w:p w14:paraId="653B5361" w14:textId="69D83C9F" w:rsidR="008D0BCA" w:rsidRPr="00385103" w:rsidRDefault="008D0BCA" w:rsidP="008D0BCA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The EN is removed. </w:t>
            </w:r>
          </w:p>
        </w:tc>
      </w:tr>
      <w:tr w:rsidR="00683B0C" w14:paraId="77D953D2" w14:textId="77777777" w:rsidTr="00926F9A">
        <w:tc>
          <w:tcPr>
            <w:tcW w:w="2547" w:type="dxa"/>
          </w:tcPr>
          <w:p w14:paraId="3ED9D606" w14:textId="2CE1902E" w:rsidR="00683B0C" w:rsidRPr="00385103" w:rsidRDefault="00432F48" w:rsidP="00432F48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Editor’s note: whether to capture the barring (including no UL WUS configuration and max number of preamble transmission for OD-SIB1 request) in TS 38.331 or/and TS 38.304.</w:t>
            </w:r>
          </w:p>
        </w:tc>
        <w:tc>
          <w:tcPr>
            <w:tcW w:w="4111" w:type="dxa"/>
          </w:tcPr>
          <w:p w14:paraId="40FFE2D4" w14:textId="77777777" w:rsidR="003366F3" w:rsidRPr="00385103" w:rsidRDefault="003366F3" w:rsidP="003366F3">
            <w:pPr>
              <w:pStyle w:val="a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2B224904" w14:textId="5FD93A9A" w:rsidR="00DC1EC4" w:rsidRPr="00385103" w:rsidRDefault="00DC1EC4" w:rsidP="00DC1EC4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=&gt; Following agreement on “barring </w:t>
            </w:r>
            <w:proofErr w:type="spell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 clean-up”, capture the UE barring </w:t>
            </w:r>
            <w:proofErr w:type="spell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 of OD-SIB1 in both TS 38.331 and TS 38.304. Check offline whether we can rely on existing legacy UE barring specification in 38.304 (e.g. the case of RACH failure).</w:t>
            </w:r>
          </w:p>
          <w:p w14:paraId="5D57F5F8" w14:textId="0A49DAFF" w:rsidR="00DC1EC4" w:rsidRPr="00385103" w:rsidRDefault="00DC1EC4" w:rsidP="00DC1EC4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 w:rsidRPr="00385103">
              <w:rPr>
                <w:rFonts w:eastAsia="Malgun Gothic" w:hint="eastAsia"/>
                <w:sz w:val="18"/>
                <w:szCs w:val="18"/>
                <w:lang w:eastAsia="ko-KR"/>
              </w:rPr>
              <w:t xml:space="preserve">(modified) </w:t>
            </w: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 of OD-SIB1 UE, capture it as normative text in TS 38.304.</w:t>
            </w:r>
            <w:r w:rsidRPr="00385103">
              <w:rPr>
                <w:rFonts w:eastAsia="Malgun Gothic" w:hint="eastAsia"/>
                <w:sz w:val="18"/>
                <w:szCs w:val="18"/>
                <w:lang w:eastAsia="ko-KR"/>
              </w:rPr>
              <w:t xml:space="preserve"> </w:t>
            </w: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Way-forward Proposal (on offline check of Proposal 1): For UE barring the OD-SIB1 cell in case of RACH failure, capture in TS 38.304, e.g. </w:t>
            </w:r>
          </w:p>
          <w:p w14:paraId="12840AEE" w14:textId="77777777" w:rsidR="00DC1EC4" w:rsidRPr="00385103" w:rsidRDefault="00DC1EC4" w:rsidP="00DC1EC4">
            <w:pPr>
              <w:pStyle w:val="Agreement"/>
              <w:numPr>
                <w:ilvl w:val="0"/>
                <w:numId w:val="29"/>
              </w:numPr>
              <w:ind w:left="360"/>
              <w:rPr>
                <w:rFonts w:eastAsia="Malgun Gothic"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If the cell is to be treated as if the cell status is "barred" due to the OD-SIB1 request number reaching </w:t>
            </w:r>
            <w:proofErr w:type="spell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preambleTransMax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>;</w:t>
            </w:r>
          </w:p>
          <w:p w14:paraId="6EA40C26" w14:textId="77777777" w:rsidR="00DC1EC4" w:rsidRPr="00385103" w:rsidRDefault="00DC1EC4" w:rsidP="00DC1EC4">
            <w:pPr>
              <w:pStyle w:val="Doc-text2"/>
              <w:ind w:left="360" w:firstLine="0"/>
              <w:rPr>
                <w:rFonts w:eastAsia="Malgun Gothic"/>
                <w:b/>
                <w:bCs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2&gt; UE </w:t>
            </w:r>
            <w:r w:rsidRPr="00385103"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>may</w:t>
            </w: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exclude the barred cell as a candidate for cell selection/reselection for up to 300 seconds;</w:t>
            </w:r>
          </w:p>
          <w:p w14:paraId="45F48D14" w14:textId="77777777" w:rsidR="00683B0C" w:rsidRPr="00385103" w:rsidRDefault="00683B0C" w:rsidP="00073E3F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021D6F87" w14:textId="611C4EA9" w:rsidR="00774245" w:rsidRPr="00385103" w:rsidRDefault="00774245" w:rsidP="00774245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Capture agreed UE behaviour in Section 5.3.1.</w:t>
            </w:r>
          </w:p>
          <w:p w14:paraId="5BBC8CD6" w14:textId="365B3AAA" w:rsidR="00774245" w:rsidRPr="00385103" w:rsidRDefault="00774245" w:rsidP="00774245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51D51D7E" w14:textId="1C765166" w:rsidR="00683B0C" w:rsidRPr="00385103" w:rsidRDefault="00774245" w:rsidP="00774245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  <w:tr w:rsidR="00683B0C" w14:paraId="2D41AFAC" w14:textId="77777777" w:rsidTr="00926F9A">
        <w:tc>
          <w:tcPr>
            <w:tcW w:w="2547" w:type="dxa"/>
          </w:tcPr>
          <w:p w14:paraId="1BCD815F" w14:textId="77777777" w:rsidR="00047FC2" w:rsidRPr="00385103" w:rsidRDefault="00047FC2" w:rsidP="00047FC2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whether to capture the unbarring </w:t>
            </w:r>
            <w:proofErr w:type="spellStart"/>
            <w:r w:rsidRPr="00385103">
              <w:rPr>
                <w:sz w:val="18"/>
                <w:szCs w:val="18"/>
              </w:rPr>
              <w:t>behavior</w:t>
            </w:r>
            <w:proofErr w:type="spellEnd"/>
            <w:r w:rsidRPr="00385103">
              <w:rPr>
                <w:sz w:val="18"/>
                <w:szCs w:val="18"/>
              </w:rPr>
              <w:t xml:space="preserve"> in TS 38.331 or/and TS 38.304. </w:t>
            </w:r>
          </w:p>
          <w:p w14:paraId="67719274" w14:textId="77777777" w:rsidR="00683B0C" w:rsidRPr="00385103" w:rsidRDefault="00683B0C" w:rsidP="00073E3F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C32109C" w14:textId="77777777" w:rsidR="00047FC2" w:rsidRPr="00385103" w:rsidRDefault="00047FC2" w:rsidP="00047FC2">
            <w:pPr>
              <w:pStyle w:val="a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17D142BA" w14:textId="51F99583" w:rsidR="00047FC2" w:rsidRPr="00385103" w:rsidRDefault="00047FC2" w:rsidP="00047FC2">
            <w:pPr>
              <w:pStyle w:val="a0"/>
              <w:rPr>
                <w:b/>
                <w:bCs/>
                <w:sz w:val="18"/>
                <w:szCs w:val="18"/>
              </w:rPr>
            </w:pP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=&gt; </w:t>
            </w:r>
            <w:r w:rsidRPr="00385103"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 xml:space="preserve">(modified) </w:t>
            </w: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of OD-SIB1 UE, capture it as normative text in TS 38.304.</w:t>
            </w:r>
          </w:p>
          <w:p w14:paraId="0B0C4D07" w14:textId="77777777" w:rsidR="00683B0C" w:rsidRPr="00385103" w:rsidRDefault="00683B0C" w:rsidP="00073E3F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247198AF" w14:textId="16A140E0" w:rsidR="00047FC2" w:rsidRPr="00385103" w:rsidRDefault="00047FC2" w:rsidP="00047FC2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Capture agreed UE behaviour in Section 5.3.1.</w:t>
            </w:r>
          </w:p>
          <w:p w14:paraId="4B7962C9" w14:textId="77777777" w:rsidR="00047FC2" w:rsidRPr="00385103" w:rsidRDefault="00047FC2" w:rsidP="00047FC2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71F3B3B2" w14:textId="7E3B7EB8" w:rsidR="00683B0C" w:rsidRPr="00385103" w:rsidRDefault="00047FC2" w:rsidP="00047FC2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  <w:tr w:rsidR="00683B0C" w14:paraId="4D33AC7B" w14:textId="77777777" w:rsidTr="00926F9A">
        <w:tc>
          <w:tcPr>
            <w:tcW w:w="2547" w:type="dxa"/>
          </w:tcPr>
          <w:p w14:paraId="47D0CC9B" w14:textId="77777777" w:rsidR="00437CB0" w:rsidRPr="00385103" w:rsidRDefault="00437CB0" w:rsidP="00437CB0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whether to capture trigger condition of OD-SIB1 acquisition procedure for RRC_IDLE / RRC_INACTIVE UE (i.e. reusing cell reselection criteria) in TS 38.331 or/and TS 38.304. </w:t>
            </w:r>
          </w:p>
          <w:p w14:paraId="4BFD24A3" w14:textId="77777777" w:rsidR="00683B0C" w:rsidRPr="00385103" w:rsidRDefault="00683B0C" w:rsidP="00073E3F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015001B" w14:textId="77777777" w:rsidR="00437CB0" w:rsidRPr="00385103" w:rsidRDefault="00437CB0" w:rsidP="00437CB0">
            <w:pPr>
              <w:pStyle w:val="a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7DD996F3" w14:textId="646D9001" w:rsidR="00B8182F" w:rsidRPr="00385103" w:rsidRDefault="00B8182F" w:rsidP="00B8182F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 w:rsidRPr="00385103">
              <w:rPr>
                <w:rFonts w:hint="eastAsia"/>
                <w:sz w:val="18"/>
                <w:szCs w:val="18"/>
              </w:rPr>
              <w:t>We do not need a separate new triggering condition of OD-SIB1 acquisition.</w:t>
            </w:r>
          </w:p>
          <w:p w14:paraId="4973622C" w14:textId="77777777" w:rsidR="00683B0C" w:rsidRPr="00385103" w:rsidRDefault="00683B0C" w:rsidP="00073E3F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70FF5883" w14:textId="387DAAFB" w:rsidR="00B8182F" w:rsidRPr="00385103" w:rsidRDefault="00B8182F" w:rsidP="00B8182F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Remove the condition.</w:t>
            </w:r>
          </w:p>
          <w:p w14:paraId="769B86B5" w14:textId="77777777" w:rsidR="00B8182F" w:rsidRPr="00385103" w:rsidRDefault="00B8182F" w:rsidP="00B8182F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6A8A0D78" w14:textId="1FA4213B" w:rsidR="00683B0C" w:rsidRPr="00385103" w:rsidRDefault="00B8182F" w:rsidP="00B8182F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  <w:tr w:rsidR="00683B0C" w14:paraId="350B9B4A" w14:textId="77777777" w:rsidTr="00926F9A">
        <w:tc>
          <w:tcPr>
            <w:tcW w:w="2547" w:type="dxa"/>
          </w:tcPr>
          <w:p w14:paraId="7CFEB6E7" w14:textId="77777777" w:rsidR="008C7C88" w:rsidRPr="00385103" w:rsidRDefault="008C7C88" w:rsidP="008C7C88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whether to capture OD-SIB1 operation in this separate Section or in Section 5.3.1/5.2.4.1.  </w:t>
            </w:r>
          </w:p>
          <w:p w14:paraId="526CB623" w14:textId="77777777" w:rsidR="00683B0C" w:rsidRPr="00385103" w:rsidRDefault="00683B0C" w:rsidP="00073E3F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F94332F" w14:textId="6FD619A3" w:rsidR="00683B0C" w:rsidRPr="00385103" w:rsidRDefault="008C7C88" w:rsidP="00073E3F">
            <w:pPr>
              <w:pStyle w:val="a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No</w:t>
            </w:r>
          </w:p>
        </w:tc>
        <w:tc>
          <w:tcPr>
            <w:tcW w:w="2971" w:type="dxa"/>
          </w:tcPr>
          <w:p w14:paraId="62F658B4" w14:textId="1259E009" w:rsidR="008C7C88" w:rsidRPr="00385103" w:rsidRDefault="008C7C88" w:rsidP="00073E3F">
            <w:pPr>
              <w:pStyle w:val="a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After offline discussion</w:t>
            </w:r>
            <w:r w:rsidR="00702F4A">
              <w:rPr>
                <w:sz w:val="18"/>
                <w:szCs w:val="18"/>
              </w:rPr>
              <w:t xml:space="preserve"> with some company</w:t>
            </w:r>
            <w:r w:rsidRPr="00385103">
              <w:rPr>
                <w:sz w:val="18"/>
                <w:szCs w:val="18"/>
              </w:rPr>
              <w:t>, it seems majority view is to capture in legacy section. Thus:</w:t>
            </w:r>
          </w:p>
          <w:p w14:paraId="2D38BD1E" w14:textId="77777777" w:rsidR="008C7C88" w:rsidRPr="00385103" w:rsidRDefault="008C7C88" w:rsidP="008C7C88">
            <w:pPr>
              <w:pStyle w:val="a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556D6D33" w14:textId="09A050CF" w:rsidR="008C7C88" w:rsidRPr="00385103" w:rsidRDefault="008C7C88" w:rsidP="008C7C88">
            <w:pPr>
              <w:pStyle w:val="a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Move UE </w:t>
            </w:r>
            <w:r w:rsidR="0077248E" w:rsidRPr="00385103">
              <w:rPr>
                <w:sz w:val="18"/>
                <w:szCs w:val="18"/>
              </w:rPr>
              <w:t>behaviour</w:t>
            </w:r>
            <w:r w:rsidRPr="00385103">
              <w:rPr>
                <w:sz w:val="18"/>
                <w:szCs w:val="18"/>
              </w:rPr>
              <w:t xml:space="preserve"> in cell reselection to section 5.2.4.1.</w:t>
            </w:r>
          </w:p>
          <w:p w14:paraId="225AC750" w14:textId="77777777" w:rsidR="008C7C88" w:rsidRDefault="008C7C88" w:rsidP="008C7C88">
            <w:pPr>
              <w:pStyle w:val="a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Move UE barring/unbarring </w:t>
            </w:r>
            <w:r w:rsidR="0077248E" w:rsidRPr="00385103">
              <w:rPr>
                <w:sz w:val="18"/>
                <w:szCs w:val="18"/>
              </w:rPr>
              <w:t>behaviour</w:t>
            </w:r>
            <w:r w:rsidRPr="00385103">
              <w:rPr>
                <w:sz w:val="18"/>
                <w:szCs w:val="18"/>
              </w:rPr>
              <w:t xml:space="preserve"> to section 5.3.1.</w:t>
            </w:r>
          </w:p>
          <w:p w14:paraId="637C5D13" w14:textId="23B878F4" w:rsidR="00153869" w:rsidRPr="00385103" w:rsidRDefault="00153869" w:rsidP="008C7C88">
            <w:pPr>
              <w:pStyle w:val="a0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</w:tbl>
    <w:p w14:paraId="05490535" w14:textId="77777777" w:rsidR="00683B0C" w:rsidRDefault="00683B0C" w:rsidP="00073E3F">
      <w:pPr>
        <w:pStyle w:val="a0"/>
      </w:pPr>
    </w:p>
    <w:p w14:paraId="0D1E65CE" w14:textId="4FD45C87" w:rsidR="000F2E77" w:rsidRPr="0047642A" w:rsidRDefault="00567E3E" w:rsidP="000F2E77">
      <w:pPr>
        <w:pStyle w:val="1"/>
        <w:ind w:left="0" w:firstLine="0"/>
        <w:jc w:val="both"/>
      </w:pPr>
      <w:r>
        <w:lastRenderedPageBreak/>
        <w:t>3</w:t>
      </w:r>
      <w:r w:rsidR="000F2E77" w:rsidRPr="0047642A">
        <w:tab/>
      </w:r>
      <w:r w:rsidR="00EC6836">
        <w:t>Collection of comments</w:t>
      </w:r>
      <w:r w:rsidR="00D95AA5">
        <w:t xml:space="preserve"> on running CR after RAN2#129b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3E1FB02" w:rsidR="0088089B" w:rsidRDefault="0088089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And based on </w:t>
      </w:r>
      <w:r w:rsidR="00E12295">
        <w:rPr>
          <w:rFonts w:eastAsia="Times New Roman"/>
          <w:color w:val="000000"/>
          <w:lang w:val="en-US" w:eastAsia="zh-CN"/>
        </w:rPr>
        <w:t xml:space="preserve">existing EN and </w:t>
      </w:r>
      <w:r>
        <w:rPr>
          <w:rFonts w:eastAsia="Times New Roman"/>
          <w:color w:val="000000"/>
          <w:lang w:val="en-US" w:eastAsia="zh-CN"/>
        </w:rPr>
        <w:t>your comments, Rapporteur will identify stage 3 open issues.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103"/>
        <w:gridCol w:w="3340"/>
      </w:tblGrid>
      <w:tr w:rsidR="0005119E" w:rsidRPr="00D45311" w14:paraId="40800DC3" w14:textId="77777777" w:rsidTr="0005119E">
        <w:trPr>
          <w:trHeight w:val="132"/>
        </w:trPr>
        <w:tc>
          <w:tcPr>
            <w:tcW w:w="1413" w:type="dxa"/>
            <w:shd w:val="clear" w:color="auto" w:fill="D9D9D9"/>
          </w:tcPr>
          <w:p w14:paraId="222E0793" w14:textId="77777777" w:rsidR="0005119E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  <w:p w14:paraId="087A13AD" w14:textId="56BA5B39" w:rsidR="00E87C65" w:rsidRDefault="0005119E" w:rsidP="002A67A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</w:t>
            </w:r>
            <w:r w:rsidR="00D812A7">
              <w:rPr>
                <w:b/>
                <w:bCs/>
                <w:lang w:val="en-US"/>
              </w:rPr>
              <w:t>issue</w:t>
            </w:r>
            <w:r>
              <w:rPr>
                <w:b/>
                <w:bCs/>
                <w:lang w:val="en-US"/>
              </w:rPr>
              <w:t xml:space="preserve"> #</w:t>
            </w:r>
          </w:p>
          <w:p w14:paraId="25F6B800" w14:textId="183F6837" w:rsidR="00053B67" w:rsidRPr="00D45311" w:rsidRDefault="00053B67" w:rsidP="002A67A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A001)</w:t>
            </w:r>
          </w:p>
        </w:tc>
        <w:tc>
          <w:tcPr>
            <w:tcW w:w="5103" w:type="dxa"/>
            <w:shd w:val="clear" w:color="auto" w:fill="D9D9D9"/>
          </w:tcPr>
          <w:p w14:paraId="04FDB06B" w14:textId="1E1F18CA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 xml:space="preserve">Detailed </w:t>
            </w:r>
            <w:r w:rsidR="00A97BB1">
              <w:rPr>
                <w:b/>
                <w:bCs/>
                <w:lang w:val="en-US"/>
              </w:rPr>
              <w:t xml:space="preserve">issue and </w:t>
            </w:r>
            <w:r w:rsidR="00AC6F84">
              <w:rPr>
                <w:b/>
                <w:bCs/>
                <w:lang w:val="en-US"/>
              </w:rPr>
              <w:t>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05119E" w:rsidRPr="00D45311" w14:paraId="7AC2A59F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0B9CB8F3" w14:textId="04EDB030" w:rsidR="00E87C65" w:rsidRPr="00D45311" w:rsidRDefault="00344C43" w:rsidP="002A67A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Nokia001</w:t>
            </w:r>
          </w:p>
        </w:tc>
        <w:tc>
          <w:tcPr>
            <w:tcW w:w="5103" w:type="dxa"/>
          </w:tcPr>
          <w:p w14:paraId="02D4B4A8" w14:textId="7F17748E" w:rsidR="00344C43" w:rsidRDefault="00344C43" w:rsidP="007367DC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5.3.1 – Missing SIB1 request configuration seems to be in RRC section 5.2.2.3.1 – which then calls 5.2.2.5</w:t>
            </w:r>
          </w:p>
          <w:p w14:paraId="22983CF7" w14:textId="77777777" w:rsidR="00344C43" w:rsidRDefault="00344C43" w:rsidP="007367DC">
            <w:pPr>
              <w:pStyle w:val="a0"/>
              <w:keepNext/>
              <w:rPr>
                <w:bCs/>
                <w:lang w:val="en-US"/>
              </w:rPr>
            </w:pPr>
          </w:p>
          <w:p w14:paraId="27B9850C" w14:textId="77777777" w:rsidR="00E87C65" w:rsidRDefault="00344C43" w:rsidP="007367DC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Barred due to PRACH </w:t>
            </w:r>
            <w:proofErr w:type="spellStart"/>
            <w:r>
              <w:rPr>
                <w:bCs/>
                <w:lang w:val="en-US"/>
              </w:rPr>
              <w:t>attemps</w:t>
            </w:r>
            <w:proofErr w:type="spellEnd"/>
            <w:r>
              <w:rPr>
                <w:bCs/>
                <w:lang w:val="en-US"/>
              </w:rPr>
              <w:t xml:space="preserve"> seems to be in RRC new section 5.2.2.3.3x – which then calls 5.2.2.5</w:t>
            </w:r>
          </w:p>
          <w:p w14:paraId="7ACC0066" w14:textId="16A4B0B1" w:rsidR="00344C43" w:rsidRDefault="00344C43" w:rsidP="007367DC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Last case (windows) – I did not find where is that captured? </w:t>
            </w:r>
          </w:p>
          <w:p w14:paraId="3D61CD72" w14:textId="065DF019" w:rsidR="00344C43" w:rsidRDefault="00344C43" w:rsidP="007367DC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 clarity should we in 38.304 to corresponding sections in RRC. It might be best toa void misunderstanding which scenario actually each bullet refers to?</w:t>
            </w:r>
          </w:p>
          <w:p w14:paraId="5F40D34E" w14:textId="30CFD1CE" w:rsidR="00344C43" w:rsidRPr="00D45311" w:rsidRDefault="00344C43" w:rsidP="007367DC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187099D9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7B3AE870" w14:textId="00363DCC" w:rsidR="00E87C65" w:rsidRPr="00D45311" w:rsidRDefault="00344C43" w:rsidP="002A67A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Nokia002</w:t>
            </w:r>
          </w:p>
        </w:tc>
        <w:tc>
          <w:tcPr>
            <w:tcW w:w="5103" w:type="dxa"/>
          </w:tcPr>
          <w:p w14:paraId="7694285C" w14:textId="77777777" w:rsidR="00E87C65" w:rsidRDefault="00344C43" w:rsidP="00344C4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Slight rewording proposal for this </w:t>
            </w:r>
            <w:proofErr w:type="gramStart"/>
            <w:r>
              <w:rPr>
                <w:bCs/>
                <w:lang w:val="en-US"/>
              </w:rPr>
              <w:t>“</w:t>
            </w:r>
            <w:r>
              <w:t xml:space="preserve"> </w:t>
            </w:r>
            <w:commentRangeStart w:id="1"/>
            <w:r>
              <w:t>If</w:t>
            </w:r>
            <w:proofErr w:type="gramEnd"/>
            <w:r>
              <w:t xml:space="preserve"> a </w:t>
            </w:r>
            <w:r>
              <w:rPr>
                <w:lang w:val="en-US"/>
              </w:rPr>
              <w:t>UE supporting OD-SIB1</w:t>
            </w:r>
            <w:r w:rsidRPr="0025025D">
              <w:t xml:space="preserve"> </w:t>
            </w:r>
            <w:r>
              <w:t>barred</w:t>
            </w:r>
            <w:r w:rsidRPr="0025025D">
              <w:t xml:space="preserve"> </w:t>
            </w:r>
            <w:r>
              <w:t>a</w:t>
            </w:r>
            <w:r w:rsidRPr="0025025D">
              <w:t xml:space="preserve"> cell in which OD-SIB1 is enabled due to </w:t>
            </w:r>
            <w:r>
              <w:t xml:space="preserve">no available </w:t>
            </w:r>
            <w:r w:rsidRPr="0025025D">
              <w:rPr>
                <w:i/>
                <w:iCs/>
              </w:rPr>
              <w:t>SIB1</w:t>
            </w:r>
            <w:r>
              <w:t xml:space="preserve"> request </w:t>
            </w:r>
            <w:r w:rsidRPr="0025025D">
              <w:t>configuration</w:t>
            </w:r>
            <w:r>
              <w:t xml:space="preserve">, it </w:t>
            </w:r>
            <w:r w:rsidRPr="0025025D">
              <w:t xml:space="preserve">considers the cell is no longer barred once its </w:t>
            </w:r>
            <w:r w:rsidRPr="0025025D">
              <w:rPr>
                <w:i/>
                <w:iCs/>
              </w:rPr>
              <w:t>SIB1</w:t>
            </w:r>
            <w:r>
              <w:t xml:space="preserve"> request</w:t>
            </w:r>
            <w:r w:rsidRPr="0025025D">
              <w:t xml:space="preserve"> configuration becomes available.</w:t>
            </w:r>
            <w:commentRangeEnd w:id="1"/>
            <w:r>
              <w:rPr>
                <w:rStyle w:val="af0"/>
                <w:rFonts w:eastAsiaTheme="minorEastAsia"/>
                <w:lang w:eastAsia="en-US"/>
              </w:rPr>
              <w:commentReference w:id="1"/>
            </w:r>
            <w:r>
              <w:rPr>
                <w:bCs/>
                <w:lang w:val="en-US"/>
              </w:rPr>
              <w:t>”</w:t>
            </w:r>
          </w:p>
          <w:p w14:paraId="3FB9CE15" w14:textId="77777777" w:rsidR="00344C43" w:rsidRDefault="00344C43" w:rsidP="00344C43">
            <w:pPr>
              <w:rPr>
                <w:bCs/>
              </w:rPr>
            </w:pPr>
          </w:p>
          <w:p w14:paraId="45AEDE38" w14:textId="77777777" w:rsidR="00344C43" w:rsidRDefault="00344C43" w:rsidP="00344C43">
            <w:pPr>
              <w:rPr>
                <w:bCs/>
              </w:rPr>
            </w:pPr>
            <w:r>
              <w:rPr>
                <w:bCs/>
              </w:rPr>
              <w:t>Maybe something like this</w:t>
            </w:r>
          </w:p>
          <w:p w14:paraId="0B9C0BF7" w14:textId="77777777" w:rsidR="00344C43" w:rsidRDefault="00344C43" w:rsidP="00344C43">
            <w:pPr>
              <w:rPr>
                <w:bCs/>
              </w:rPr>
            </w:pPr>
          </w:p>
          <w:p w14:paraId="1DF4153E" w14:textId="3ECF3058" w:rsidR="00344C43" w:rsidRPr="00344C43" w:rsidRDefault="00344C43" w:rsidP="00344C43">
            <w:r>
              <w:rPr>
                <w:bCs/>
              </w:rPr>
              <w:t>“</w:t>
            </w:r>
            <w:commentRangeStart w:id="2"/>
            <w:r>
              <w:t xml:space="preserve">If a </w:t>
            </w:r>
            <w:r>
              <w:rPr>
                <w:lang w:val="en-US"/>
              </w:rPr>
              <w:t>UE supporting OD-SIB1</w:t>
            </w:r>
            <w:r w:rsidRPr="0025025D">
              <w:t xml:space="preserve"> </w:t>
            </w:r>
            <w:r>
              <w:t>barred</w:t>
            </w:r>
            <w:r w:rsidRPr="0025025D">
              <w:t xml:space="preserve"> </w:t>
            </w:r>
            <w:r>
              <w:t>a</w:t>
            </w:r>
            <w:r w:rsidRPr="0025025D">
              <w:t xml:space="preserve"> cell due to </w:t>
            </w:r>
            <w:r>
              <w:t xml:space="preserve">no available </w:t>
            </w:r>
            <w:r w:rsidRPr="0025025D">
              <w:rPr>
                <w:i/>
                <w:iCs/>
              </w:rPr>
              <w:t>SIB1</w:t>
            </w:r>
            <w:r>
              <w:t xml:space="preserve"> request </w:t>
            </w:r>
            <w:r w:rsidRPr="0025025D">
              <w:t>configuration</w:t>
            </w:r>
            <w:r>
              <w:t xml:space="preserve"> as defined in [RRC, 5.2.2.3.1], it </w:t>
            </w:r>
            <w:r w:rsidRPr="0025025D">
              <w:t xml:space="preserve">considers the cell is no longer barred once </w:t>
            </w:r>
            <w:r w:rsidRPr="0025025D">
              <w:rPr>
                <w:i/>
                <w:iCs/>
              </w:rPr>
              <w:t>SIB1</w:t>
            </w:r>
            <w:r>
              <w:t xml:space="preserve"> request</w:t>
            </w:r>
            <w:r w:rsidRPr="0025025D">
              <w:t xml:space="preserve"> configuration </w:t>
            </w:r>
            <w:r>
              <w:t>of the cell is acquired</w:t>
            </w:r>
            <w:r w:rsidRPr="0025025D">
              <w:t>.</w:t>
            </w:r>
            <w:commentRangeEnd w:id="2"/>
            <w:r>
              <w:rPr>
                <w:rStyle w:val="af0"/>
                <w:rFonts w:eastAsiaTheme="minorEastAsia"/>
                <w:lang w:eastAsia="en-US"/>
              </w:rPr>
              <w:commentReference w:id="2"/>
            </w:r>
            <w:r>
              <w:rPr>
                <w:bCs/>
              </w:rPr>
              <w:t>”</w:t>
            </w: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3BBD2B64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B3511E7" w14:textId="7E6A908B" w:rsidR="00490F5B" w:rsidRPr="001B5037" w:rsidRDefault="001B5037" w:rsidP="002A67A1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Xiaomi001</w:t>
            </w:r>
          </w:p>
        </w:tc>
        <w:tc>
          <w:tcPr>
            <w:tcW w:w="5103" w:type="dxa"/>
          </w:tcPr>
          <w:p w14:paraId="3F22364A" w14:textId="1E017A36" w:rsidR="00490F5B" w:rsidRDefault="001B5037" w:rsidP="002A67A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How to capture the following agreement.</w:t>
            </w:r>
          </w:p>
          <w:p w14:paraId="037F235B" w14:textId="77777777" w:rsidR="001B5037" w:rsidRDefault="001B5037" w:rsidP="002A67A1">
            <w:pPr>
              <w:pStyle w:val="a0"/>
              <w:keepNext/>
              <w:rPr>
                <w:rFonts w:eastAsia="等线"/>
                <w:bCs/>
                <w:lang w:val="en-US"/>
              </w:rPr>
            </w:pPr>
          </w:p>
          <w:p w14:paraId="3F7C0957" w14:textId="77777777" w:rsidR="001B5037" w:rsidRDefault="001B5037" w:rsidP="001B5037">
            <w:pPr>
              <w:pStyle w:val="Agreement"/>
              <w:tabs>
                <w:tab w:val="clear" w:pos="1619"/>
                <w:tab w:val="num" w:pos="1800"/>
              </w:tabs>
              <w:ind w:left="1800"/>
              <w:rPr>
                <w:rFonts w:eastAsia="Malgun Gothic"/>
                <w:lang w:eastAsia="ko-KR"/>
              </w:rPr>
            </w:pPr>
            <w:r w:rsidRPr="00692A3C">
              <w:rPr>
                <w:rFonts w:eastAsia="Malgun Gothic"/>
                <w:lang w:eastAsia="ko-KR"/>
              </w:rPr>
              <w:t>For the case when pei-Config-r17 is configured and pagingAdaptationPEI-Config-r19 is absent, both R19 UE supporting paging adaption and other UE should monitor PEI according to pei-Config-r17.</w:t>
            </w:r>
          </w:p>
          <w:p w14:paraId="2DFC958C" w14:textId="7BA852D8" w:rsidR="001B5037" w:rsidRPr="001B5037" w:rsidRDefault="001B5037" w:rsidP="002A67A1">
            <w:pPr>
              <w:pStyle w:val="a0"/>
              <w:keepNext/>
              <w:rPr>
                <w:rFonts w:eastAsia="等线" w:hint="eastAsia"/>
                <w:bCs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0CD8D2E6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04136FE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12F3EC25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E33A9E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18764BE3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918134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3AA5DFB3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77006793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22F141EE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618A22B4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16CECB17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5B42A8F8" w14:textId="2E6875BD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apporteur (after RAN2#129b)" w:date="2025-04-19T21:22:00Z" w:initials="PC">
    <w:p w14:paraId="05F0C8B1" w14:textId="77777777" w:rsidR="00344C43" w:rsidRDefault="00344C43" w:rsidP="00344C43">
      <w:r>
        <w:rPr>
          <w:rStyle w:val="af0"/>
        </w:rPr>
        <w:annotationRef/>
      </w:r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2" w:author="Rapporteur (after RAN2#129b)" w:date="2025-04-19T21:22:00Z" w:initials="PC">
    <w:p w14:paraId="4AF56CB3" w14:textId="77777777" w:rsidR="00344C43" w:rsidRDefault="00344C43" w:rsidP="00344C43">
      <w:r>
        <w:rPr>
          <w:rStyle w:val="af0"/>
        </w:rPr>
        <w:annotationRef/>
      </w:r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F0C8B1" w15:done="0"/>
  <w15:commentEx w15:paraId="4AF56C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04FC733" w16cex:dateUtc="2025-04-19T13:22:00Z"/>
  <w16cex:commentExtensible w16cex:durableId="6AC50D01" w16cex:dateUtc="2025-04-19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F0C8B1" w16cid:durableId="404FC733"/>
  <w16cid:commentId w16cid:paraId="4AF56CB3" w16cid:durableId="6AC50D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648E" w14:textId="77777777" w:rsidR="008221F5" w:rsidRDefault="008221F5">
      <w:pPr>
        <w:spacing w:after="0"/>
      </w:pPr>
      <w:r>
        <w:separator/>
      </w:r>
    </w:p>
  </w:endnote>
  <w:endnote w:type="continuationSeparator" w:id="0">
    <w:p w14:paraId="62EDBA07" w14:textId="77777777" w:rsidR="008221F5" w:rsidRDefault="008221F5">
      <w:pPr>
        <w:spacing w:after="0"/>
      </w:pPr>
      <w:r>
        <w:continuationSeparator/>
      </w:r>
    </w:p>
  </w:endnote>
  <w:endnote w:type="continuationNotice" w:id="1">
    <w:p w14:paraId="74423966" w14:textId="77777777" w:rsidR="008221F5" w:rsidRDefault="008221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BDB4" w14:textId="77777777" w:rsidR="008221F5" w:rsidRDefault="008221F5">
      <w:pPr>
        <w:spacing w:after="0"/>
      </w:pPr>
      <w:r>
        <w:separator/>
      </w:r>
    </w:p>
  </w:footnote>
  <w:footnote w:type="continuationSeparator" w:id="0">
    <w:p w14:paraId="7E2A9831" w14:textId="77777777" w:rsidR="008221F5" w:rsidRDefault="008221F5">
      <w:pPr>
        <w:spacing w:after="0"/>
      </w:pPr>
      <w:r>
        <w:continuationSeparator/>
      </w:r>
    </w:p>
  </w:footnote>
  <w:footnote w:type="continuationNotice" w:id="1">
    <w:p w14:paraId="5CAC5041" w14:textId="77777777" w:rsidR="008221F5" w:rsidRDefault="008221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29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7"/>
  </w:num>
  <w:num w:numId="5">
    <w:abstractNumId w:val="19"/>
  </w:num>
  <w:num w:numId="6">
    <w:abstractNumId w:val="2"/>
  </w:num>
  <w:num w:numId="7">
    <w:abstractNumId w:val="23"/>
  </w:num>
  <w:num w:numId="8">
    <w:abstractNumId w:val="25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28"/>
  </w:num>
  <w:num w:numId="14">
    <w:abstractNumId w:val="22"/>
  </w:num>
  <w:num w:numId="15">
    <w:abstractNumId w:val="8"/>
  </w:num>
  <w:num w:numId="16">
    <w:abstractNumId w:val="15"/>
  </w:num>
  <w:num w:numId="17">
    <w:abstractNumId w:val="12"/>
  </w:num>
  <w:num w:numId="18">
    <w:abstractNumId w:val="21"/>
  </w:num>
  <w:num w:numId="19">
    <w:abstractNumId w:val="1"/>
  </w:num>
  <w:num w:numId="20">
    <w:abstractNumId w:val="4"/>
  </w:num>
  <w:num w:numId="21">
    <w:abstractNumId w:val="9"/>
  </w:num>
  <w:num w:numId="22">
    <w:abstractNumId w:val="20"/>
  </w:num>
  <w:num w:numId="23">
    <w:abstractNumId w:val="17"/>
  </w:num>
  <w:num w:numId="24">
    <w:abstractNumId w:val="7"/>
  </w:num>
  <w:num w:numId="25">
    <w:abstractNumId w:val="11"/>
  </w:num>
  <w:num w:numId="26">
    <w:abstractNumId w:val="10"/>
  </w:num>
  <w:num w:numId="27">
    <w:abstractNumId w:val="5"/>
  </w:num>
  <w:num w:numId="28">
    <w:abstractNumId w:val="26"/>
  </w:num>
  <w:num w:numId="29">
    <w:abstractNumId w:val="29"/>
  </w:num>
  <w:num w:numId="30">
    <w:abstractNumId w:val="2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 (after RAN2#129b)">
    <w15:presenceInfo w15:providerId="None" w15:userId="Rapporteur (after RAN2#129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5C4F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5037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4C43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29B1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C40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1F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iPriority w:val="99"/>
    <w:unhideWhenUsed/>
    <w:qFormat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a"/>
    <w:next w:val="a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RBI5PAMIO524-1616901215-46694</_dlc_DocId>
    <_dlc_DocIdUrl xmlns="71c5aaf6-e6ce-465b-b873-5148d2a4c105">
      <Url>https://nokia.sharepoint.com/sites/gxp/_layouts/15/DocIdRedir.aspx?ID=RBI5PAMIO524-1616901215-46694</Url>
      <Description>RBI5PAMIO524-1616901215-46694</Description>
    </_dlc_DocIdUrl>
  </documentManagement>
</p:properties>
</file>

<file path=customXml/itemProps1.xml><?xml version="1.0" encoding="utf-8"?>
<ds:datastoreItem xmlns:ds="http://schemas.openxmlformats.org/officeDocument/2006/customXml" ds:itemID="{79310CD5-0714-4FFB-A3D7-0465A1457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61A8C-55F9-4F0D-9E8E-4114B18E57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5DEBF0-952E-44FF-8AD4-62832BCDA5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Xiaomi-Shukun</cp:lastModifiedBy>
  <cp:revision>2</cp:revision>
  <dcterms:created xsi:type="dcterms:W3CDTF">2025-04-27T05:34:00Z</dcterms:created>
  <dcterms:modified xsi:type="dcterms:W3CDTF">2025-04-27T05:34:00Z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9c8e32ab-0470-4039-8dba-b38f4faecee9</vt:lpwstr>
  </property>
</Properties>
</file>