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SimSun" w:hint="eastAsia"/>
          <w:lang w:eastAsia="zh-CN"/>
        </w:rPr>
        <w:t>9</w:t>
      </w:r>
      <w:r w:rsidRPr="00482B56">
        <w:t>][</w:t>
      </w:r>
      <w:proofErr w:type="gramStart"/>
      <w:r w:rsidRPr="00482B56">
        <w:rPr>
          <w:rFonts w:eastAsia="SimSun"/>
          <w:lang w:eastAsia="zh-CN"/>
        </w:rPr>
        <w:t>2</w:t>
      </w:r>
      <w:r w:rsidRPr="00482B56">
        <w:rPr>
          <w:rFonts w:eastAsia="SimSun" w:hint="eastAsia"/>
          <w:lang w:eastAsia="zh-CN"/>
        </w:rPr>
        <w:t>13</w:t>
      </w:r>
      <w:r w:rsidRPr="00482B56">
        <w:t>][</w:t>
      </w:r>
      <w:proofErr w:type="gramEnd"/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SimSun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SimSun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Intended outcome: </w:t>
      </w:r>
      <w:r w:rsidRPr="00482B56">
        <w:rPr>
          <w:rFonts w:eastAsia="SimSun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Deadline:  </w:t>
      </w:r>
      <w:r w:rsidRPr="00482B56"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911EDA">
        <w:rPr>
          <w:rFonts w:ascii="Arial" w:eastAsia="DengXian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. But </w:t>
            </w:r>
            <w:proofErr w:type="gramStart"/>
            <w:r>
              <w:rPr>
                <w:rFonts w:ascii="Times New Roman" w:hAnsi="Times New Roman"/>
                <w:bCs/>
                <w:lang w:val="en-US"/>
              </w:rPr>
              <w:t>it is clear that when</w:t>
            </w:r>
            <w:proofErr w:type="gramEnd"/>
            <w:r>
              <w:rPr>
                <w:rFonts w:ascii="Times New Roman" w:hAnsi="Times New Roman"/>
                <w:bCs/>
                <w:lang w:val="en-US"/>
              </w:rPr>
              <w:t xml:space="preserve">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This does not imply that LP-WUS </w:t>
            </w:r>
            <w:proofErr w:type="gramStart"/>
            <w:r w:rsidRPr="008362E0">
              <w:rPr>
                <w:rFonts w:ascii="Times New Roman" w:hAnsi="Times New Roman"/>
                <w:sz w:val="16"/>
                <w:szCs w:val="16"/>
              </w:rPr>
              <w:t>has to</w:t>
            </w:r>
            <w:proofErr w:type="gram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be configured on both cell groups</w:t>
            </w:r>
          </w:p>
          <w:p w14:paraId="774BF548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BodyText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DengXian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DengXian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DengXian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DengXian" w:hAnsi="Times New Roman"/>
                <w:bCs/>
                <w:lang w:val="en-US"/>
              </w:rPr>
              <w:t>’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DengXian" w:hAnsi="Times New Roman"/>
                <w:bCs/>
                <w:lang w:val="en-US"/>
              </w:rPr>
              <w:t>whether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DengXian" w:hAnsi="Times New Roman"/>
                <w:bCs/>
                <w:lang w:val="en-US"/>
              </w:rPr>
              <w:t>’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4136FEF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B9D978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561C63" w:rsidRPr="00101F66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61C6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561C63" w:rsidRPr="009D7C3B" w:rsidRDefault="00561C63" w:rsidP="00561C6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03BB3E0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26088A" w:rsidRPr="009D7C3B" w:rsidRDefault="0026088A" w:rsidP="0026088A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Yes</w:t>
            </w:r>
            <w:proofErr w:type="gramEnd"/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DengXian" w:hAnsi="Times New Roman"/>
                <w:bCs/>
                <w:lang w:val="en-US"/>
              </w:rPr>
              <w:t>independent</w:t>
            </w:r>
            <w:r>
              <w:rPr>
                <w:rFonts w:ascii="Times New Roman" w:eastAsia="DengXian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DengXian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DengXian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DengXi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DengXian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DengXian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DengXian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DengXian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DengXian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DengXian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DengXian" w:hint="eastAsia"/>
                <w:bCs/>
              </w:rPr>
              <w:t xml:space="preserve">since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may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DengXian" w:hAnsi="Times New Roman"/>
                <w:bCs/>
                <w:lang w:val="en-US"/>
              </w:rPr>
              <w:t>need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DengXian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5E23748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6FB6AD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810CE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2810CE" w:rsidRPr="009D7C3B" w:rsidRDefault="002810CE" w:rsidP="002810C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DengXian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DengXian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DengXian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DengXian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I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DengXian" w:hAnsi="Times New Roman"/>
                <w:bCs/>
                <w:lang w:val="en-US"/>
              </w:rPr>
              <w:t>principle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DengXian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DengXian" w:hAnsi="Times New Roman"/>
                <w:bCs/>
                <w:lang w:val="en-US"/>
              </w:rPr>
              <w:t>configured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DengXian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DengXian" w:hAnsi="Times New Roman"/>
                <w:bCs/>
                <w:lang w:val="en-US"/>
              </w:rPr>
              <w:t>B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DengXian" w:hAnsi="Times New Roman"/>
                <w:bCs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DengXian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DengXian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065DDAFF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9A717EA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39CE4E2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6505B094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15057277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0D04E8E5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0A765303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85B4060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AA0A37C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FACBBE9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A71EB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8A71EB" w:rsidRPr="009D7C3B" w:rsidRDefault="008A71EB" w:rsidP="008A71E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7133" w14:textId="77777777" w:rsidR="00E859F9" w:rsidRDefault="00E859F9">
      <w:pPr>
        <w:spacing w:after="0"/>
      </w:pPr>
      <w:r>
        <w:separator/>
      </w:r>
    </w:p>
  </w:endnote>
  <w:endnote w:type="continuationSeparator" w:id="0">
    <w:p w14:paraId="775DB478" w14:textId="77777777" w:rsidR="00E859F9" w:rsidRDefault="00E859F9">
      <w:pPr>
        <w:spacing w:after="0"/>
      </w:pPr>
      <w:r>
        <w:continuationSeparator/>
      </w:r>
    </w:p>
  </w:endnote>
  <w:endnote w:type="continuationNotice" w:id="1">
    <w:p w14:paraId="409DCCDC" w14:textId="77777777" w:rsidR="00E859F9" w:rsidRDefault="00E85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31B8" w14:textId="77777777" w:rsidR="00E859F9" w:rsidRDefault="00E859F9">
      <w:pPr>
        <w:spacing w:after="0"/>
      </w:pPr>
      <w:r>
        <w:separator/>
      </w:r>
    </w:p>
  </w:footnote>
  <w:footnote w:type="continuationSeparator" w:id="0">
    <w:p w14:paraId="54345583" w14:textId="77777777" w:rsidR="00E859F9" w:rsidRDefault="00E859F9">
      <w:pPr>
        <w:spacing w:after="0"/>
      </w:pPr>
      <w:r>
        <w:continuationSeparator/>
      </w:r>
    </w:p>
  </w:footnote>
  <w:footnote w:type="continuationNotice" w:id="1">
    <w:p w14:paraId="736E14D8" w14:textId="77777777" w:rsidR="00E859F9" w:rsidRDefault="00E859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431776744">
    <w:abstractNumId w:val="17"/>
  </w:num>
  <w:num w:numId="2" w16cid:durableId="817067972">
    <w:abstractNumId w:val="13"/>
  </w:num>
  <w:num w:numId="3" w16cid:durableId="1319991401">
    <w:abstractNumId w:val="20"/>
  </w:num>
  <w:num w:numId="4" w16cid:durableId="1372992379">
    <w:abstractNumId w:val="27"/>
  </w:num>
  <w:num w:numId="5" w16cid:durableId="1330206856">
    <w:abstractNumId w:val="21"/>
  </w:num>
  <w:num w:numId="6" w16cid:durableId="331690941">
    <w:abstractNumId w:val="2"/>
  </w:num>
  <w:num w:numId="7" w16cid:durableId="2129005555">
    <w:abstractNumId w:val="25"/>
  </w:num>
  <w:num w:numId="8" w16cid:durableId="2133088584">
    <w:abstractNumId w:val="26"/>
  </w:num>
  <w:num w:numId="9" w16cid:durableId="340743124">
    <w:abstractNumId w:val="3"/>
  </w:num>
  <w:num w:numId="10" w16cid:durableId="2052849669">
    <w:abstractNumId w:val="14"/>
  </w:num>
  <w:num w:numId="11" w16cid:durableId="192807924">
    <w:abstractNumId w:val="6"/>
  </w:num>
  <w:num w:numId="12" w16cid:durableId="927273673">
    <w:abstractNumId w:val="0"/>
  </w:num>
  <w:num w:numId="13" w16cid:durableId="1232689669">
    <w:abstractNumId w:val="28"/>
  </w:num>
  <w:num w:numId="14" w16cid:durableId="611936724">
    <w:abstractNumId w:val="24"/>
  </w:num>
  <w:num w:numId="15" w16cid:durableId="1528760176">
    <w:abstractNumId w:val="8"/>
  </w:num>
  <w:num w:numId="16" w16cid:durableId="1963074204">
    <w:abstractNumId w:val="16"/>
  </w:num>
  <w:num w:numId="17" w16cid:durableId="1973094303">
    <w:abstractNumId w:val="11"/>
  </w:num>
  <w:num w:numId="18" w16cid:durableId="1754426786">
    <w:abstractNumId w:val="23"/>
  </w:num>
  <w:num w:numId="19" w16cid:durableId="1174995140">
    <w:abstractNumId w:val="1"/>
  </w:num>
  <w:num w:numId="20" w16cid:durableId="1679772394">
    <w:abstractNumId w:val="4"/>
  </w:num>
  <w:num w:numId="21" w16cid:durableId="720131627">
    <w:abstractNumId w:val="9"/>
  </w:num>
  <w:num w:numId="22" w16cid:durableId="852651950">
    <w:abstractNumId w:val="22"/>
  </w:num>
  <w:num w:numId="23" w16cid:durableId="1068721592">
    <w:abstractNumId w:val="19"/>
  </w:num>
  <w:num w:numId="24" w16cid:durableId="1273825978">
    <w:abstractNumId w:val="7"/>
  </w:num>
  <w:num w:numId="25" w16cid:durableId="574359168">
    <w:abstractNumId w:val="10"/>
  </w:num>
  <w:num w:numId="26" w16cid:durableId="1268463451">
    <w:abstractNumId w:val="15"/>
  </w:num>
  <w:num w:numId="27" w16cid:durableId="2063599542">
    <w:abstractNumId w:val="5"/>
  </w:num>
  <w:num w:numId="28" w16cid:durableId="1235165824">
    <w:abstractNumId w:val="18"/>
  </w:num>
  <w:num w:numId="29" w16cid:durableId="204821307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Shwetha Sreejith1</cp:lastModifiedBy>
  <cp:revision>2</cp:revision>
  <dcterms:created xsi:type="dcterms:W3CDTF">2025-03-19T14:42:00Z</dcterms:created>
  <dcterms:modified xsi:type="dcterms:W3CDTF">2025-03-19T14:42:00Z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</Properties>
</file>