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5F97F973" w14:textId="77777777"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14:paraId="64498E96" w14:textId="77777777"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14:paraId="74EFFA37" w14:textId="77777777" w:rsidR="00D7365C" w:rsidRPr="00264370" w:rsidRDefault="00D7365C" w:rsidP="00D7365C">
      <w:pPr>
        <w:pStyle w:val="3GPPHeader"/>
        <w:spacing w:after="0" w:line="240" w:lineRule="atLeast"/>
        <w:rPr>
          <w:rFonts w:ascii="Arial" w:hAnsi="Arial" w:cs="Arial"/>
          <w:lang w:val="de-DE"/>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w:t>
      </w:r>
      <w:proofErr w:type="gramStart"/>
      <w:r w:rsidR="00FA3843" w:rsidRPr="00FA3843">
        <w:rPr>
          <w:rFonts w:ascii="Arial" w:eastAsia="MS Mincho" w:hAnsi="Arial" w:cs="Arial"/>
          <w:lang w:eastAsia="en-GB"/>
        </w:rPr>
        <w:t>111][</w:t>
      </w:r>
      <w:proofErr w:type="gramEnd"/>
      <w:r w:rsidR="00FA3843" w:rsidRPr="00FA3843">
        <w:rPr>
          <w:rFonts w:ascii="Arial" w:eastAsia="MS Mincho" w:hAnsi="Arial" w:cs="Arial"/>
          <w:lang w:eastAsia="en-GB"/>
        </w:rPr>
        <w:t>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Heading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[POST129][</w:t>
      </w:r>
      <w:proofErr w:type="gramStart"/>
      <w:r w:rsidRPr="00B1053D">
        <w:rPr>
          <w:rFonts w:ascii="Times New Roman" w:eastAsia="MS Mincho" w:hAnsi="Times New Roman" w:cs="Times New Roman"/>
          <w:b/>
          <w:sz w:val="20"/>
          <w:szCs w:val="20"/>
          <w:lang w:val="en-GB" w:eastAsia="en-GB"/>
        </w:rPr>
        <w:t>111][</w:t>
      </w:r>
      <w:proofErr w:type="gramEnd"/>
      <w:r w:rsidRPr="00B1053D">
        <w:rPr>
          <w:rFonts w:ascii="Times New Roman" w:eastAsia="MS Mincho" w:hAnsi="Times New Roman" w:cs="Times New Roman"/>
          <w:b/>
          <w:sz w:val="20"/>
          <w:szCs w:val="20"/>
          <w:lang w:val="en-GB" w:eastAsia="en-GB"/>
        </w:rPr>
        <w:t xml:space="preserve">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TableGrid"/>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endrit.dosti@nokia.com</w:t>
            </w:r>
          </w:p>
        </w:tc>
      </w:tr>
      <w:tr w:rsidR="006E0A6D" w:rsidRPr="00FC11D9" w14:paraId="4ADB470F" w14:textId="77777777" w:rsidTr="00E9684A">
        <w:tc>
          <w:tcPr>
            <w:tcW w:w="3290" w:type="dxa"/>
          </w:tcPr>
          <w:p w14:paraId="2379ADBB" w14:textId="204CED85" w:rsidR="006E0A6D" w:rsidRPr="00FC11D9" w:rsidRDefault="006E0A6D" w:rsidP="006E0A6D">
            <w:pPr>
              <w:pStyle w:val="EmailDiscussion2"/>
              <w:ind w:left="0" w:firstLine="0"/>
              <w:jc w:val="center"/>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6E0A6D">
            <w:pPr>
              <w:pStyle w:val="EmailDiscussion2"/>
              <w:ind w:left="0" w:firstLine="0"/>
              <w:jc w:val="center"/>
              <w:rPr>
                <w:rFonts w:ascii="Times New Roman" w:eastAsia="Malgun Gothic" w:hAnsi="Times New Roman"/>
                <w:lang w:val="fr-FR" w:eastAsia="ko-KR"/>
              </w:rPr>
            </w:pPr>
            <w:proofErr w:type="spellStart"/>
            <w:r>
              <w:rPr>
                <w:rFonts w:ascii="Times New Roman" w:eastAsiaTheme="minorEastAsia" w:hAnsi="Times New Roman" w:hint="eastAsia"/>
                <w:lang w:eastAsia="zh-CN"/>
              </w:rPr>
              <w:t>Y</w:t>
            </w:r>
            <w:r>
              <w:rPr>
                <w:rFonts w:ascii="Times New Roman" w:eastAsiaTheme="minorEastAsia" w:hAnsi="Times New Roman"/>
                <w:lang w:eastAsia="zh-CN"/>
              </w:rPr>
              <w:t>ujian</w:t>
            </w:r>
            <w:proofErr w:type="spellEnd"/>
            <w:r>
              <w:rPr>
                <w:rFonts w:ascii="Times New Roman" w:eastAsiaTheme="minorEastAsia" w:hAnsi="Times New Roman"/>
                <w:lang w:eastAsia="zh-CN"/>
              </w:rPr>
              <w:t xml:space="preserve"> Zhang (zhangyujian@xiaomi.com)</w:t>
            </w:r>
          </w:p>
        </w:tc>
      </w:tr>
      <w:tr w:rsidR="006E0A6D" w:rsidRPr="00FC11D9" w14:paraId="745B3F87" w14:textId="77777777" w:rsidTr="00AF3E7F">
        <w:tc>
          <w:tcPr>
            <w:tcW w:w="3290" w:type="dxa"/>
            <w:vAlign w:val="center"/>
          </w:tcPr>
          <w:p w14:paraId="5941F718" w14:textId="747963ED"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Ericsson</w:t>
            </w:r>
          </w:p>
        </w:tc>
        <w:tc>
          <w:tcPr>
            <w:tcW w:w="5566" w:type="dxa"/>
            <w:vAlign w:val="center"/>
          </w:tcPr>
          <w:p w14:paraId="52B13C18" w14:textId="7200F8F9"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6E0A6D" w:rsidRPr="00FC11D9" w14:paraId="53951EF9" w14:textId="77777777" w:rsidTr="00AF3E7F">
        <w:tc>
          <w:tcPr>
            <w:tcW w:w="3290" w:type="dxa"/>
            <w:vAlign w:val="center"/>
          </w:tcPr>
          <w:p w14:paraId="6BA123F0" w14:textId="52094498" w:rsidR="006E0A6D" w:rsidRPr="00455C4C" w:rsidRDefault="00455C4C"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5566" w:type="dxa"/>
            <w:vAlign w:val="center"/>
          </w:tcPr>
          <w:p w14:paraId="1FEC9ECF" w14:textId="1ABBD1D9" w:rsidR="006E0A6D" w:rsidRPr="00455C4C" w:rsidRDefault="00455C4C" w:rsidP="006E0A6D">
            <w:pPr>
              <w:pStyle w:val="EmailDiscussion2"/>
              <w:ind w:left="0" w:firstLine="0"/>
              <w:jc w:val="center"/>
              <w:rPr>
                <w:rFonts w:ascii="Times New Roman" w:eastAsiaTheme="minorEastAsia" w:hAnsi="Times New Roman"/>
                <w:lang w:val="fi-FI" w:eastAsia="zh-CN"/>
              </w:rPr>
            </w:pPr>
            <w:r>
              <w:rPr>
                <w:rFonts w:ascii="Times New Roman" w:eastAsiaTheme="minorEastAsia" w:hAnsi="Times New Roman" w:hint="eastAsia"/>
                <w:lang w:val="fi-FI" w:eastAsia="zh-CN"/>
              </w:rPr>
              <w:t>l</w:t>
            </w:r>
            <w:r>
              <w:rPr>
                <w:rFonts w:ascii="Times New Roman" w:eastAsiaTheme="minorEastAsia" w:hAnsi="Times New Roman"/>
                <w:lang w:val="fi-FI" w:eastAsia="zh-CN"/>
              </w:rPr>
              <w:t>iu.jing30@zte.com.cn</w:t>
            </w:r>
          </w:p>
        </w:tc>
      </w:tr>
      <w:tr w:rsidR="006E0A6D" w:rsidRPr="00FC11D9" w14:paraId="69D63DCA" w14:textId="77777777" w:rsidTr="00AF3E7F">
        <w:tc>
          <w:tcPr>
            <w:tcW w:w="3290" w:type="dxa"/>
            <w:vAlign w:val="center"/>
          </w:tcPr>
          <w:p w14:paraId="1AD22401" w14:textId="61DCE56A" w:rsidR="006E0A6D" w:rsidRPr="00FC11D9" w:rsidRDefault="00195D60" w:rsidP="006E0A6D">
            <w:pPr>
              <w:pStyle w:val="EmailDiscussion2"/>
              <w:ind w:left="0" w:firstLine="0"/>
              <w:jc w:val="center"/>
              <w:rPr>
                <w:rFonts w:ascii="Times New Roman" w:hAnsi="Times New Roman"/>
              </w:rPr>
            </w:pPr>
            <w:r>
              <w:rPr>
                <w:rFonts w:ascii="Times New Roman" w:hAnsi="Times New Roman"/>
              </w:rPr>
              <w:t>vivo</w:t>
            </w:r>
          </w:p>
        </w:tc>
        <w:tc>
          <w:tcPr>
            <w:tcW w:w="5566" w:type="dxa"/>
            <w:vAlign w:val="center"/>
          </w:tcPr>
          <w:p w14:paraId="0ABC0346" w14:textId="7A48AF1D" w:rsidR="006E0A6D" w:rsidRPr="00FC11D9" w:rsidRDefault="00195D60" w:rsidP="006E0A6D">
            <w:pPr>
              <w:pStyle w:val="EmailDiscussion2"/>
              <w:ind w:left="0" w:firstLine="0"/>
              <w:jc w:val="center"/>
              <w:rPr>
                <w:rFonts w:ascii="Times New Roman" w:eastAsiaTheme="minorEastAsia" w:hAnsi="Times New Roman"/>
                <w:lang w:val="fi-FI" w:eastAsia="zh-CN"/>
              </w:rPr>
            </w:pPr>
            <w:r>
              <w:rPr>
                <w:rFonts w:ascii="Times New Roman" w:eastAsiaTheme="minorEastAsia" w:hAnsi="Times New Roman"/>
                <w:lang w:val="fi-FI" w:eastAsia="zh-CN"/>
              </w:rPr>
              <w:t>liangjing@vivo.com</w:t>
            </w:r>
          </w:p>
        </w:tc>
      </w:tr>
      <w:tr w:rsidR="006E0A6D" w:rsidRPr="00FC11D9" w14:paraId="368397C2" w14:textId="77777777" w:rsidTr="00AF3E7F">
        <w:tc>
          <w:tcPr>
            <w:tcW w:w="3290" w:type="dxa"/>
            <w:vAlign w:val="center"/>
          </w:tcPr>
          <w:p w14:paraId="5B0D5269"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291F72CB" w14:textId="77777777" w:rsidR="006E0A6D" w:rsidRPr="00FC11D9" w:rsidRDefault="006E0A6D" w:rsidP="006E0A6D">
            <w:pPr>
              <w:pStyle w:val="EmailDiscussion2"/>
              <w:ind w:left="0" w:firstLine="0"/>
              <w:jc w:val="center"/>
              <w:rPr>
                <w:rFonts w:ascii="Times New Roman" w:hAnsi="Times New Roman"/>
                <w:lang w:val="fi-FI"/>
              </w:rPr>
            </w:pP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Heading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14:paraId="6413B44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14:paraId="62F85BE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14:paraId="6CEB0276"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14:paraId="0ECA5CA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14:paraId="04507EC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7ED7C12E" w14:textId="77777777" w:rsidR="006A4C7E" w:rsidRPr="00D17750" w:rsidRDefault="0081676B" w:rsidP="006A4C7E">
      <w:pPr>
        <w:pStyle w:val="Heading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3EAB53B6" w14:textId="77777777" w:rsidTr="00E9684A">
        <w:tc>
          <w:tcPr>
            <w:tcW w:w="781" w:type="pct"/>
          </w:tcPr>
          <w:p w14:paraId="4475E7B8"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TableofFigures"/>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eastAsia="宋体" w:hAnsi="Arial" w:cs="Arial"/>
                <w:sz w:val="20"/>
                <w:szCs w:val="20"/>
              </w:rPr>
              <w:t>The ltm-Recovery-r18 may need further discuss</w:t>
            </w:r>
            <w:r w:rsidR="00837132" w:rsidRPr="00B57122">
              <w:rPr>
                <w:rFonts w:ascii="Arial" w:eastAsia="宋体" w:hAnsi="Arial" w:cs="Arial"/>
                <w:sz w:val="20"/>
                <w:szCs w:val="20"/>
              </w:rPr>
              <w:t>ion</w:t>
            </w:r>
            <w:r w:rsidRPr="00B57122">
              <w:rPr>
                <w:rFonts w:ascii="Arial" w:eastAsia="宋体" w:hAnsi="Arial" w:cs="Arial"/>
                <w:sz w:val="20"/>
                <w:szCs w:val="20"/>
              </w:rPr>
              <w:t xml:space="preserve">, as we are </w:t>
            </w:r>
            <w:r w:rsidR="00837132" w:rsidRPr="00B57122">
              <w:rPr>
                <w:rFonts w:ascii="Arial" w:eastAsia="宋体" w:hAnsi="Arial" w:cs="Arial"/>
                <w:sz w:val="20"/>
                <w:szCs w:val="20"/>
              </w:rPr>
              <w:t>un</w:t>
            </w:r>
            <w:r w:rsidRPr="00B57122">
              <w:rPr>
                <w:rFonts w:ascii="Arial" w:eastAsia="宋体"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E9684A">
        <w:tc>
          <w:tcPr>
            <w:tcW w:w="781" w:type="pct"/>
          </w:tcPr>
          <w:p w14:paraId="2EBF8970" w14:textId="4311485B"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0508558C" w14:textId="752106A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7771AF5B" w14:textId="77777777" w:rsidTr="00E9684A">
        <w:tc>
          <w:tcPr>
            <w:tcW w:w="781" w:type="pct"/>
          </w:tcPr>
          <w:p w14:paraId="10F28893" w14:textId="63AF472E"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1F22ED5" w14:textId="77777777" w:rsidTr="00E9684A">
        <w:tc>
          <w:tcPr>
            <w:tcW w:w="781" w:type="pct"/>
          </w:tcPr>
          <w:p w14:paraId="5F613702" w14:textId="20CDB57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2F8838CB" w14:textId="70D62EF2"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17F7A142" w14:textId="58446F5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MediaTek comments that is not completely clear which capabilities apply and which not. In general, we agree that Rel-18 LTM capabilities can be re-used also in Rel-19, but some of them require additional discussions. Maybe we can capture a general statement such as “Rel-18 LTM capabilities are the baseline for Rel-19 LTM”, or something similar.</w:t>
            </w:r>
          </w:p>
        </w:tc>
      </w:tr>
      <w:tr w:rsidR="00097F46" w:rsidRPr="00FC11D9" w14:paraId="72D9CF49" w14:textId="77777777" w:rsidTr="00E9684A">
        <w:tc>
          <w:tcPr>
            <w:tcW w:w="781" w:type="pct"/>
          </w:tcPr>
          <w:p w14:paraId="12FB4A4B" w14:textId="0D3D3D2F"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4D5DD977" w14:textId="454B5D82"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246C893E" w14:textId="1EAD7FA9"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ok with the general principle mentioned by Ericsson. Then it is up to companies to point out the exception case if identified. </w:t>
            </w:r>
          </w:p>
        </w:tc>
      </w:tr>
      <w:tr w:rsidR="00195D60" w:rsidRPr="00FC11D9" w14:paraId="7D284DFE" w14:textId="77777777" w:rsidTr="00E9684A">
        <w:tc>
          <w:tcPr>
            <w:tcW w:w="781" w:type="pct"/>
          </w:tcPr>
          <w:p w14:paraId="28F21377" w14:textId="41F1702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9E17E17" w14:textId="6669622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AAF2B99" w14:textId="73E89E3B" w:rsidR="00195D60" w:rsidRPr="00FC11D9" w:rsidRDefault="00195D60" w:rsidP="00195D60">
            <w:pPr>
              <w:spacing w:beforeLines="50" w:before="120" w:afterLines="50" w:after="120"/>
              <w:rPr>
                <w:rFonts w:ascii="Times New Roman" w:hAnsi="Times New Roman" w:cs="Times New Roman"/>
                <w:sz w:val="20"/>
                <w:szCs w:val="20"/>
              </w:rPr>
            </w:pPr>
            <w:r w:rsidRPr="00897013">
              <w:rPr>
                <w:rFonts w:ascii="Times New Roman" w:hAnsi="Times New Roman" w:cs="Times New Roman"/>
                <w:sz w:val="20"/>
                <w:szCs w:val="20"/>
              </w:rPr>
              <w:t>Whether ltm-Recovery-r18 in Annex A can be reused for inter-CU LTM could be considered once progress has been made on the inter-CU LTM fast recovery issue.</w:t>
            </w:r>
          </w:p>
        </w:tc>
      </w:tr>
    </w:tbl>
    <w:p w14:paraId="0E44F912"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宋体" w:hAnsi="Times New Roman" w:cs="Times New Roman"/>
          <w:b/>
          <w:sz w:val="20"/>
          <w:szCs w:val="20"/>
        </w:rPr>
      </w:pPr>
    </w:p>
    <w:p w14:paraId="3E28E37D" w14:textId="77777777" w:rsidR="006A4C7E" w:rsidRPr="00D17750" w:rsidRDefault="006A4C7E"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242A9023" w14:textId="77777777" w:rsidTr="00E9684A">
        <w:tc>
          <w:tcPr>
            <w:tcW w:w="781" w:type="pct"/>
          </w:tcPr>
          <w:p w14:paraId="01E5B35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E9684A">
        <w:tc>
          <w:tcPr>
            <w:tcW w:w="781" w:type="pct"/>
          </w:tcPr>
          <w:p w14:paraId="696CD4FA" w14:textId="77777777" w:rsidR="0081676B" w:rsidRPr="00B57122" w:rsidRDefault="005C71F4" w:rsidP="00E9684A">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E9684A">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E9684A">
            <w:pPr>
              <w:pStyle w:val="TableofFigures"/>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E9684A">
            <w:pPr>
              <w:rPr>
                <w:rFonts w:ascii="Arial" w:hAnsi="Arial" w:cs="Arial"/>
                <w:sz w:val="20"/>
                <w:szCs w:val="20"/>
                <w:lang w:val="en-GB"/>
              </w:rPr>
            </w:pPr>
          </w:p>
        </w:tc>
      </w:tr>
      <w:tr w:rsidR="0081676B" w:rsidRPr="00FC11D9" w14:paraId="230FAA6F" w14:textId="77777777" w:rsidTr="00E9684A">
        <w:tc>
          <w:tcPr>
            <w:tcW w:w="781" w:type="pct"/>
          </w:tcPr>
          <w:p w14:paraId="3C8D2CDC" w14:textId="39F766E4"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EFEC958" w14:textId="63C98B71"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166A472E" w14:textId="77777777" w:rsidTr="00E9684A">
        <w:tc>
          <w:tcPr>
            <w:tcW w:w="781" w:type="pct"/>
          </w:tcPr>
          <w:p w14:paraId="2B0A1C72" w14:textId="3C69622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68684574" w14:textId="77777777" w:rsidTr="00E9684A">
        <w:tc>
          <w:tcPr>
            <w:tcW w:w="781" w:type="pct"/>
          </w:tcPr>
          <w:p w14:paraId="063960F1" w14:textId="39A4C0E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248BDFD" w14:textId="3EFED02C"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1BAD74D8" w14:textId="308FB7C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Defining a capability which is “inter-CU” does not make any sense since the UE is not able to distinguish whether an LTM cell switch is intra-CU or inter-CU. The existing capabilities </w:t>
            </w:r>
            <w:r w:rsidRPr="004B5B47">
              <w:rPr>
                <w:rFonts w:ascii="Times New Roman" w:hAnsi="Times New Roman" w:cs="Times New Roman"/>
                <w:sz w:val="20"/>
                <w:szCs w:val="20"/>
              </w:rPr>
              <w:t>ltm-MCG-r18</w:t>
            </w:r>
            <w:r>
              <w:rPr>
                <w:rFonts w:ascii="Times New Roman" w:hAnsi="Times New Roman" w:cs="Times New Roman"/>
                <w:sz w:val="20"/>
                <w:szCs w:val="20"/>
              </w:rPr>
              <w:t xml:space="preserve"> and </w:t>
            </w:r>
            <w:r w:rsidRPr="004B5B47">
              <w:rPr>
                <w:rFonts w:ascii="Times New Roman" w:hAnsi="Times New Roman" w:cs="Times New Roman"/>
                <w:sz w:val="20"/>
                <w:szCs w:val="20"/>
              </w:rPr>
              <w:t>ltm-</w:t>
            </w:r>
            <w:r>
              <w:rPr>
                <w:rFonts w:ascii="Times New Roman" w:hAnsi="Times New Roman" w:cs="Times New Roman"/>
                <w:sz w:val="20"/>
                <w:szCs w:val="20"/>
              </w:rPr>
              <w:t>SCG</w:t>
            </w:r>
            <w:r w:rsidRPr="004B5B47">
              <w:rPr>
                <w:rFonts w:ascii="Times New Roman" w:hAnsi="Times New Roman" w:cs="Times New Roman"/>
                <w:sz w:val="20"/>
                <w:szCs w:val="20"/>
              </w:rPr>
              <w:t>-r18</w:t>
            </w:r>
            <w:r>
              <w:rPr>
                <w:rFonts w:ascii="Times New Roman" w:hAnsi="Times New Roman" w:cs="Times New Roman"/>
                <w:sz w:val="20"/>
                <w:szCs w:val="20"/>
              </w:rPr>
              <w:t xml:space="preserve">. We can discuss other capabilities (such as security key change) but it does not make sense to have any capability which differentiate the UE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for something that is inter-CU or intra-CU.</w:t>
            </w:r>
          </w:p>
        </w:tc>
      </w:tr>
      <w:tr w:rsidR="00097F46" w:rsidRPr="0005204B" w14:paraId="0E6AF3A8" w14:textId="77777777" w:rsidTr="00E9684A">
        <w:tc>
          <w:tcPr>
            <w:tcW w:w="781" w:type="pct"/>
          </w:tcPr>
          <w:p w14:paraId="033D5BD2" w14:textId="2886D844" w:rsidR="00097F46" w:rsidRPr="00FC11D9" w:rsidRDefault="00455C4C"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3F8313F" w14:textId="7D731624" w:rsidR="00097F46" w:rsidRPr="00FC11D9" w:rsidRDefault="00E82F8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71718A0C" w14:textId="77777777" w:rsidR="00E82F8B" w:rsidRDefault="0005204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Ericsson</w:t>
            </w:r>
            <w:r w:rsidR="00E82F8B">
              <w:rPr>
                <w:rFonts w:ascii="Times New Roman" w:hAnsi="Times New Roman" w:cs="Times New Roman"/>
                <w:sz w:val="20"/>
                <w:szCs w:val="20"/>
              </w:rPr>
              <w:t>’s comments</w:t>
            </w:r>
            <w:r>
              <w:rPr>
                <w:rFonts w:ascii="Times New Roman" w:hAnsi="Times New Roman" w:cs="Times New Roman"/>
                <w:sz w:val="20"/>
                <w:szCs w:val="20"/>
              </w:rPr>
              <w:t xml:space="preserve">, so far, </w:t>
            </w:r>
            <w:r w:rsidR="00E82F8B">
              <w:rPr>
                <w:rFonts w:ascii="Times New Roman" w:hAnsi="Times New Roman" w:cs="Times New Roman"/>
                <w:sz w:val="20"/>
                <w:szCs w:val="20"/>
              </w:rPr>
              <w:t xml:space="preserve">there is </w:t>
            </w:r>
            <w:r>
              <w:rPr>
                <w:rFonts w:ascii="Times New Roman" w:hAnsi="Times New Roman" w:cs="Times New Roman"/>
                <w:sz w:val="20"/>
                <w:szCs w:val="20"/>
              </w:rPr>
              <w:t>no UE capability defined to be associated with intra-CU/inter-CU</w:t>
            </w:r>
            <w:r w:rsidR="00E82F8B">
              <w:rPr>
                <w:rFonts w:ascii="Times New Roman" w:hAnsi="Times New Roman" w:cs="Times New Roman"/>
                <w:sz w:val="20"/>
                <w:szCs w:val="20"/>
              </w:rPr>
              <w:t xml:space="preserve"> </w:t>
            </w:r>
            <w:r w:rsidR="00E82F8B">
              <w:rPr>
                <w:rFonts w:ascii="Times New Roman" w:hAnsi="Times New Roman" w:cs="Times New Roman" w:hint="eastAsia"/>
                <w:sz w:val="20"/>
                <w:szCs w:val="20"/>
              </w:rPr>
              <w:t>scenarios</w:t>
            </w:r>
            <w:r>
              <w:rPr>
                <w:rFonts w:ascii="Times New Roman" w:hAnsi="Times New Roman" w:cs="Times New Roman"/>
                <w:sz w:val="20"/>
                <w:szCs w:val="20"/>
              </w:rPr>
              <w:t xml:space="preserve">, because this is transparent to the UE. </w:t>
            </w:r>
          </w:p>
          <w:p w14:paraId="36CC2713" w14:textId="77777777" w:rsidR="0005204B" w:rsidRDefault="0005204B" w:rsidP="00E82F8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introduce</w:t>
            </w:r>
            <w:r w:rsidR="00E82F8B">
              <w:rPr>
                <w:rFonts w:ascii="Times New Roman" w:hAnsi="Times New Roman" w:cs="Times New Roman"/>
                <w:sz w:val="20"/>
                <w:szCs w:val="20"/>
              </w:rPr>
              <w:t xml:space="preserve"> two separate</w:t>
            </w:r>
            <w:r>
              <w:rPr>
                <w:rFonts w:ascii="Times New Roman" w:hAnsi="Times New Roman" w:cs="Times New Roman"/>
                <w:sz w:val="20"/>
                <w:szCs w:val="20"/>
              </w:rPr>
              <w:t xml:space="preserve"> per-UE capabilities t</w:t>
            </w:r>
            <w:r w:rsidR="00E82F8B">
              <w:rPr>
                <w:rFonts w:ascii="Times New Roman" w:hAnsi="Times New Roman" w:cs="Times New Roman"/>
                <w:sz w:val="20"/>
                <w:szCs w:val="20"/>
              </w:rPr>
              <w:t xml:space="preserve">o indicate the support of key update </w:t>
            </w:r>
            <w:r w:rsidR="00E82F8B">
              <w:rPr>
                <w:rFonts w:ascii="Times New Roman" w:hAnsi="Times New Roman" w:cs="Times New Roman" w:hint="eastAsia"/>
                <w:sz w:val="20"/>
                <w:szCs w:val="20"/>
              </w:rPr>
              <w:t>during</w:t>
            </w:r>
            <w:r w:rsidR="00E82F8B">
              <w:rPr>
                <w:rFonts w:ascii="Times New Roman" w:hAnsi="Times New Roman" w:cs="Times New Roman"/>
                <w:sz w:val="20"/>
                <w:szCs w:val="20"/>
              </w:rPr>
              <w:t xml:space="preserve"> LTM, one for MCG key change, the other for SCG key change. </w:t>
            </w:r>
          </w:p>
          <w:p w14:paraId="01E878BF" w14:textId="3900CF35" w:rsidR="00E82F8B" w:rsidRDefault="00E82F8B" w:rsidP="00E82F8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 xml:space="preserve">or the SCG one, we think there is no need to put it under </w:t>
            </w:r>
            <w:proofErr w:type="spellStart"/>
            <w:r>
              <w:rPr>
                <w:rFonts w:ascii="Times New Roman" w:hAnsi="Times New Roman" w:cs="Times New Roman"/>
                <w:sz w:val="20"/>
                <w:szCs w:val="20"/>
              </w:rPr>
              <w:t>MeasAndMobParametersMRDC</w:t>
            </w:r>
            <w:proofErr w:type="spellEnd"/>
            <w:r>
              <w:rPr>
                <w:rFonts w:ascii="Times New Roman" w:hAnsi="Times New Roman" w:cs="Times New Roman"/>
                <w:sz w:val="20"/>
                <w:szCs w:val="20"/>
              </w:rPr>
              <w:t xml:space="preserve">, because EN-DC/NE-DC is not considered. It is fine to put it under </w:t>
            </w:r>
            <w:proofErr w:type="spellStart"/>
            <w:r>
              <w:rPr>
                <w:rFonts w:ascii="Times New Roman" w:hAnsi="Times New Roman" w:cs="Times New Roman"/>
                <w:sz w:val="20"/>
                <w:szCs w:val="20"/>
              </w:rPr>
              <w:t>MeasAndMobParameters</w:t>
            </w:r>
            <w:proofErr w:type="spellEnd"/>
            <w:r>
              <w:rPr>
                <w:rFonts w:ascii="Times New Roman" w:hAnsi="Times New Roman" w:cs="Times New Roman"/>
                <w:sz w:val="20"/>
                <w:szCs w:val="20"/>
              </w:rPr>
              <w:t xml:space="preserve"> (without MRDC).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99"/>
              <w:gridCol w:w="1926"/>
              <w:gridCol w:w="1226"/>
              <w:gridCol w:w="1926"/>
              <w:gridCol w:w="3078"/>
            </w:tblGrid>
            <w:tr w:rsidR="00E82F8B" w14:paraId="3563C94A" w14:textId="77777777" w:rsidTr="009460EE">
              <w:trPr>
                <w:trHeight w:val="24"/>
              </w:trPr>
              <w:tc>
                <w:tcPr>
                  <w:tcW w:w="295" w:type="pct"/>
                  <w:tcBorders>
                    <w:top w:val="single" w:sz="4" w:space="0" w:color="auto"/>
                    <w:left w:val="single" w:sz="4" w:space="0" w:color="auto"/>
                    <w:bottom w:val="single" w:sz="4" w:space="0" w:color="auto"/>
                    <w:right w:val="single" w:sz="4" w:space="0" w:color="auto"/>
                  </w:tcBorders>
                  <w:hideMark/>
                </w:tcPr>
                <w:p w14:paraId="4FA96189" w14:textId="77777777" w:rsidR="00E82F8B" w:rsidRDefault="00E82F8B" w:rsidP="00E82F8B">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300FB1F1" w14:textId="77777777" w:rsidR="00E82F8B" w:rsidRDefault="00E82F8B" w:rsidP="00E82F8B">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652A36FA" w14:textId="77777777" w:rsidR="00E82F8B" w:rsidRDefault="00E82F8B" w:rsidP="00E82F8B">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1F8BF927" w14:textId="77777777" w:rsidR="00E82F8B" w:rsidRDefault="00E82F8B" w:rsidP="00E82F8B">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57E208F6" w14:textId="77777777" w:rsidR="00E82F8B" w:rsidRDefault="00E82F8B" w:rsidP="00E82F8B">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157E9D43" w14:textId="77777777" w:rsidR="00E82F8B" w:rsidRDefault="00E82F8B" w:rsidP="00E82F8B">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r>
          </w:tbl>
          <w:p w14:paraId="4386334D" w14:textId="4AE19D1E" w:rsidR="00E82F8B" w:rsidRPr="0005204B" w:rsidRDefault="00E82F8B" w:rsidP="00E82F8B">
            <w:pPr>
              <w:spacing w:beforeLines="50" w:before="120" w:afterLines="50" w:after="120"/>
              <w:rPr>
                <w:rFonts w:ascii="Times New Roman" w:hAnsi="Times New Roman" w:cs="Times New Roman"/>
                <w:sz w:val="20"/>
                <w:szCs w:val="20"/>
              </w:rPr>
            </w:pPr>
          </w:p>
        </w:tc>
      </w:tr>
      <w:tr w:rsidR="00195D60" w:rsidRPr="00FC11D9" w14:paraId="3A3AF80D" w14:textId="77777777" w:rsidTr="00E9684A">
        <w:tc>
          <w:tcPr>
            <w:tcW w:w="781" w:type="pct"/>
          </w:tcPr>
          <w:p w14:paraId="38122FFA" w14:textId="3A3ECB62"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2CC74949" w14:textId="160D2FC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with comments</w:t>
            </w:r>
          </w:p>
        </w:tc>
        <w:tc>
          <w:tcPr>
            <w:tcW w:w="3500" w:type="pct"/>
          </w:tcPr>
          <w:p w14:paraId="74534996" w14:textId="12EF3346" w:rsidR="00195D60" w:rsidRPr="00FC11D9" w:rsidRDefault="00195D60" w:rsidP="00195D60">
            <w:pPr>
              <w:spacing w:beforeLines="50" w:before="120" w:afterLines="50" w:after="120"/>
              <w:rPr>
                <w:rFonts w:ascii="Times New Roman" w:hAnsi="Times New Roman" w:cs="Times New Roman"/>
                <w:sz w:val="20"/>
                <w:szCs w:val="20"/>
              </w:rPr>
            </w:pPr>
            <w:proofErr w:type="gramStart"/>
            <w:r>
              <w:rPr>
                <w:rFonts w:ascii="Times New Roman" w:hAnsi="Times New Roman" w:cs="Times New Roman"/>
                <w:sz w:val="20"/>
                <w:szCs w:val="20"/>
              </w:rPr>
              <w:t>Generally</w:t>
            </w:r>
            <w:proofErr w:type="gramEnd"/>
            <w:r>
              <w:rPr>
                <w:rFonts w:ascii="Times New Roman" w:hAnsi="Times New Roman" w:cs="Times New Roman"/>
                <w:sz w:val="20"/>
                <w:szCs w:val="20"/>
              </w:rPr>
              <w:t xml:space="preserve"> we think it is OK but we are also fine to further discuss whether the inter-CU capability is needed considering Ericsson’s comment that the UE is not able to distinguish the intra/inter CU case. </w:t>
            </w:r>
          </w:p>
        </w:tc>
      </w:tr>
    </w:tbl>
    <w:p w14:paraId="034AEE9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6CB068A7"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宋体" w:hAnsi="Times New Roman" w:cs="Times New Roman"/>
          <w:b/>
          <w:sz w:val="20"/>
          <w:szCs w:val="20"/>
        </w:rPr>
      </w:pPr>
    </w:p>
    <w:p w14:paraId="38091D41" w14:textId="77777777" w:rsidR="00D85D74" w:rsidRPr="00D17750" w:rsidRDefault="00D85D74"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06BEDF5A" w14:textId="77777777" w:rsidTr="00E9684A">
        <w:tc>
          <w:tcPr>
            <w:tcW w:w="781" w:type="pct"/>
          </w:tcPr>
          <w:p w14:paraId="2A5647E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TableofFigures"/>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宋体" w:hAnsi="Arial" w:cs="Arial"/>
                <w:bCs/>
                <w:sz w:val="20"/>
                <w:szCs w:val="20"/>
              </w:rPr>
            </w:pPr>
            <w:r w:rsidRPr="00B57122">
              <w:rPr>
                <w:rFonts w:ascii="Arial" w:eastAsia="宋体" w:hAnsi="Arial" w:cs="Arial"/>
                <w:bCs/>
                <w:sz w:val="20"/>
                <w:szCs w:val="20"/>
              </w:rPr>
              <w:t>“Conditional” is missing</w:t>
            </w:r>
            <w:r w:rsidR="0055457E">
              <w:rPr>
                <w:rFonts w:ascii="Arial" w:eastAsia="宋体" w:hAnsi="Arial" w:cs="Arial"/>
                <w:bCs/>
                <w:sz w:val="20"/>
                <w:szCs w:val="20"/>
              </w:rPr>
              <w:t xml:space="preserve"> in P3</w:t>
            </w:r>
            <w:r w:rsidRPr="00B57122">
              <w:rPr>
                <w:rFonts w:ascii="Arial" w:eastAsia="宋体"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宋体" w:hAnsi="Arial" w:cs="Arial"/>
                <w:bCs/>
                <w:sz w:val="20"/>
                <w:szCs w:val="20"/>
              </w:rPr>
              <w:lastRenderedPageBreak/>
              <w:t xml:space="preserve">“It indicates whether the UE supports intra-CU MCG </w:t>
            </w:r>
            <w:r w:rsidRPr="00B57122">
              <w:rPr>
                <w:rFonts w:ascii="Arial" w:eastAsia="宋体" w:hAnsi="Arial" w:cs="Arial"/>
                <w:bCs/>
                <w:sz w:val="20"/>
                <w:szCs w:val="20"/>
                <w:highlight w:val="yellow"/>
              </w:rPr>
              <w:t>Conditional</w:t>
            </w:r>
            <w:r w:rsidRPr="00B57122">
              <w:rPr>
                <w:rFonts w:ascii="Arial" w:eastAsia="宋体" w:hAnsi="Arial" w:cs="Arial"/>
                <w:bCs/>
                <w:sz w:val="20"/>
                <w:szCs w:val="20"/>
              </w:rPr>
              <w:t xml:space="preserve"> LTM on the band where the UE is in non-DC”</w:t>
            </w:r>
          </w:p>
        </w:tc>
      </w:tr>
      <w:tr w:rsidR="0081676B" w:rsidRPr="00FC11D9" w14:paraId="05BAAB82" w14:textId="77777777" w:rsidTr="00E9684A">
        <w:tc>
          <w:tcPr>
            <w:tcW w:w="781" w:type="pct"/>
          </w:tcPr>
          <w:p w14:paraId="7713A570" w14:textId="6BD0E932"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47BEAA4E" w14:textId="2B034C8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Agree with the intention,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E9684A">
        <w:tc>
          <w:tcPr>
            <w:tcW w:w="781" w:type="pct"/>
          </w:tcPr>
          <w:p w14:paraId="65523CEB" w14:textId="48BA38F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the execution condition is an integral part of CLTM, i.e. a UE support CLTM should support at least one of L1 condition and L3 conditions (as in P6).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宋体" w:hAnsi="Times New Roman" w:cs="Times New Roman"/>
                <w:bCs/>
                <w:i/>
                <w:iCs/>
                <w:sz w:val="20"/>
                <w:szCs w:val="20"/>
              </w:rPr>
              <w:t>cltm-ExecutionConditionL1-r19</w:t>
            </w:r>
            <w:r w:rsidRPr="0054101E">
              <w:rPr>
                <w:rFonts w:ascii="Times New Roman" w:eastAsia="宋体" w:hAnsi="Times New Roman" w:cs="Times New Roman"/>
                <w:bCs/>
                <w:sz w:val="20"/>
                <w:szCs w:val="20"/>
              </w:rPr>
              <w:t xml:space="preserve">, and </w:t>
            </w:r>
            <w:r w:rsidRPr="00F44DCD">
              <w:rPr>
                <w:rFonts w:ascii="Times New Roman" w:eastAsia="宋体" w:hAnsi="Times New Roman" w:cs="Times New Roman"/>
                <w:bCs/>
                <w:i/>
                <w:iCs/>
                <w:sz w:val="20"/>
                <w:szCs w:val="20"/>
              </w:rPr>
              <w:t>cltm-ExecutionConditionL3-r19</w:t>
            </w:r>
            <w:r>
              <w:rPr>
                <w:rFonts w:ascii="Times New Roman" w:eastAsia="宋体" w:hAnsi="Times New Roman" w:cs="Times New Roman"/>
                <w:bCs/>
                <w:sz w:val="20"/>
                <w:szCs w:val="20"/>
              </w:rPr>
              <w:t xml:space="preserve">. </w:t>
            </w:r>
            <w:r w:rsidRPr="0054101E">
              <w:rPr>
                <w:rFonts w:ascii="Times New Roman" w:eastAsia="宋体" w:hAnsi="Times New Roman" w:cs="Times New Roman"/>
                <w:bCs/>
                <w:sz w:val="20"/>
                <w:szCs w:val="20"/>
              </w:rPr>
              <w:t xml:space="preserve">UE supports </w:t>
            </w:r>
            <w:r>
              <w:rPr>
                <w:rFonts w:ascii="Times New Roman" w:eastAsia="宋体" w:hAnsi="Times New Roman" w:cs="Times New Roman"/>
                <w:bCs/>
                <w:sz w:val="20"/>
                <w:szCs w:val="20"/>
              </w:rPr>
              <w:t>these</w:t>
            </w:r>
            <w:r w:rsidRPr="0054101E">
              <w:rPr>
                <w:rFonts w:ascii="Times New Roman" w:eastAsia="宋体" w:hAnsi="Times New Roman" w:cs="Times New Roman"/>
                <w:bCs/>
                <w:sz w:val="20"/>
                <w:szCs w:val="20"/>
              </w:rPr>
              <w:t xml:space="preserve"> capabilit</w:t>
            </w:r>
            <w:r>
              <w:rPr>
                <w:rFonts w:ascii="Times New Roman" w:eastAsia="宋体" w:hAnsi="Times New Roman" w:cs="Times New Roman"/>
                <w:bCs/>
                <w:sz w:val="20"/>
                <w:szCs w:val="20"/>
              </w:rPr>
              <w:t>ies</w:t>
            </w:r>
            <w:r w:rsidRPr="0054101E">
              <w:rPr>
                <w:rFonts w:ascii="Times New Roman" w:eastAsia="宋体" w:hAnsi="Times New Roman" w:cs="Times New Roman"/>
                <w:bCs/>
                <w:sz w:val="20"/>
                <w:szCs w:val="20"/>
              </w:rPr>
              <w:t xml:space="preserve"> should support </w:t>
            </w:r>
            <w:r w:rsidRPr="00F44DCD">
              <w:rPr>
                <w:rFonts w:ascii="Times New Roman" w:eastAsia="宋体" w:hAnsi="Times New Roman" w:cs="Times New Roman"/>
                <w:bCs/>
                <w:i/>
                <w:iCs/>
                <w:sz w:val="20"/>
                <w:szCs w:val="20"/>
              </w:rPr>
              <w:t>ltm-MCG-IntraFreq-r18</w:t>
            </w:r>
            <w:r w:rsidRPr="0054101E">
              <w:rPr>
                <w:rFonts w:ascii="Times New Roman" w:eastAsia="宋体" w:hAnsi="Times New Roman" w:cs="Times New Roman"/>
                <w:bCs/>
                <w:sz w:val="20"/>
                <w:szCs w:val="20"/>
              </w:rPr>
              <w:t xml:space="preserve"> on the same band.</w:t>
            </w:r>
          </w:p>
        </w:tc>
      </w:tr>
      <w:tr w:rsidR="00097F46" w:rsidRPr="00FC11D9" w14:paraId="0FF3CA66" w14:textId="77777777" w:rsidTr="00E9684A">
        <w:tc>
          <w:tcPr>
            <w:tcW w:w="781" w:type="pct"/>
          </w:tcPr>
          <w:p w14:paraId="198CB800" w14:textId="43BD75A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467B899A" w14:textId="7B3B8DD8"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0C5ABC3B" w14:textId="5938683B"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are fine with the </w:t>
            </w:r>
            <w:proofErr w:type="spellStart"/>
            <w:r>
              <w:rPr>
                <w:rFonts w:ascii="Times New Roman" w:hAnsi="Times New Roman" w:cs="Times New Roman"/>
                <w:sz w:val="20"/>
                <w:szCs w:val="20"/>
              </w:rPr>
              <w:t>perBand</w:t>
            </w:r>
            <w:proofErr w:type="spellEnd"/>
            <w:r>
              <w:rPr>
                <w:rFonts w:ascii="Times New Roman" w:hAnsi="Times New Roman" w:cs="Times New Roman"/>
                <w:sz w:val="20"/>
                <w:szCs w:val="20"/>
              </w:rPr>
              <w:t xml:space="preserve"> capabilit</w:t>
            </w:r>
            <w:r w:rsidR="005C21DB">
              <w:rPr>
                <w:rFonts w:ascii="Times New Roman" w:hAnsi="Times New Roman" w:cs="Times New Roman"/>
                <w:sz w:val="20"/>
                <w:szCs w:val="20"/>
              </w:rPr>
              <w:t>ies</w:t>
            </w:r>
            <w:r>
              <w:rPr>
                <w:rFonts w:ascii="Times New Roman" w:hAnsi="Times New Roman" w:cs="Times New Roman"/>
                <w:sz w:val="20"/>
                <w:szCs w:val="20"/>
              </w:rPr>
              <w:t>, but such capabilit</w:t>
            </w:r>
            <w:r w:rsidR="005C21DB">
              <w:rPr>
                <w:rFonts w:ascii="Times New Roman" w:hAnsi="Times New Roman" w:cs="Times New Roman"/>
                <w:sz w:val="20"/>
                <w:szCs w:val="20"/>
              </w:rPr>
              <w:t>ies</w:t>
            </w:r>
            <w:r>
              <w:rPr>
                <w:rFonts w:ascii="Times New Roman" w:hAnsi="Times New Roman" w:cs="Times New Roman"/>
                <w:sz w:val="20"/>
                <w:szCs w:val="20"/>
              </w:rPr>
              <w:t xml:space="preserve"> should be simply called </w:t>
            </w:r>
            <w:r w:rsidR="005C21DB">
              <w:rPr>
                <w:rFonts w:ascii="Times New Roman" w:hAnsi="Times New Roman" w:cs="Times New Roman"/>
                <w:sz w:val="20"/>
                <w:szCs w:val="20"/>
              </w:rPr>
              <w:t>c</w:t>
            </w:r>
            <w:r>
              <w:rPr>
                <w:rFonts w:ascii="Times New Roman" w:hAnsi="Times New Roman" w:cs="Times New Roman"/>
                <w:sz w:val="20"/>
                <w:szCs w:val="20"/>
              </w:rPr>
              <w:t>ltm</w:t>
            </w:r>
            <w:r w:rsidR="005C21DB">
              <w:rPr>
                <w:rFonts w:ascii="Times New Roman" w:hAnsi="Times New Roman" w:cs="Times New Roman"/>
                <w:sz w:val="20"/>
                <w:szCs w:val="20"/>
              </w:rPr>
              <w:t>-MCG-IntraFreq-r19 and cltm-SCG-IntraFreq-r19. It does not make any sense to associate a UE capability to the case where something is intra-CU or inter-CU.</w:t>
            </w:r>
          </w:p>
        </w:tc>
      </w:tr>
      <w:tr w:rsidR="00097F46" w:rsidRPr="00FC11D9" w14:paraId="1892034D" w14:textId="77777777" w:rsidTr="00E9684A">
        <w:tc>
          <w:tcPr>
            <w:tcW w:w="781" w:type="pct"/>
          </w:tcPr>
          <w:p w14:paraId="16A86FEB" w14:textId="0B4CB0CA" w:rsidR="00097F46" w:rsidRPr="00FC11D9" w:rsidRDefault="00F2480E"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6DA3B13" w14:textId="1FD01AB1" w:rsidR="00097F46" w:rsidRPr="00FC11D9" w:rsidRDefault="00F2480E" w:rsidP="00097F46">
            <w:pPr>
              <w:spacing w:beforeLines="50" w:before="120" w:afterLines="50" w:after="120"/>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sidR="006B7102">
              <w:rPr>
                <w:rFonts w:ascii="Times New Roman" w:hAnsi="Times New Roman" w:cs="Times New Roman"/>
                <w:sz w:val="20"/>
                <w:szCs w:val="20"/>
              </w:rPr>
              <w:t xml:space="preserve"> with comments</w:t>
            </w:r>
          </w:p>
        </w:tc>
        <w:tc>
          <w:tcPr>
            <w:tcW w:w="3500" w:type="pct"/>
          </w:tcPr>
          <w:p w14:paraId="392AF1F5" w14:textId="00F24666" w:rsidR="00097F46" w:rsidRDefault="006B710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imilar to R16 CHO capabilities, even if the capability is defined as per-band, we need to clarify that the UE should set the value consistently for all FDD-FR1 band, all TDD-FR1 bands and so on respectively. </w:t>
            </w:r>
          </w:p>
          <w:p w14:paraId="0D19244B" w14:textId="348A0F4E" w:rsidR="006B7102" w:rsidRPr="00FC11D9" w:rsidRDefault="00AF643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And a</w:t>
            </w:r>
            <w:r w:rsidR="006B7102">
              <w:rPr>
                <w:rFonts w:ascii="Times New Roman" w:hAnsi="Times New Roman" w:cs="Times New Roman"/>
                <w:sz w:val="20"/>
                <w:szCs w:val="20"/>
              </w:rPr>
              <w:t>gree</w:t>
            </w:r>
            <w:r>
              <w:rPr>
                <w:rFonts w:ascii="Times New Roman" w:hAnsi="Times New Roman" w:cs="Times New Roman"/>
                <w:sz w:val="20"/>
                <w:szCs w:val="20"/>
              </w:rPr>
              <w:t xml:space="preserve"> with Ericsson</w:t>
            </w:r>
            <w:r w:rsidR="006B7102">
              <w:rPr>
                <w:rFonts w:ascii="Times New Roman" w:hAnsi="Times New Roman" w:cs="Times New Roman"/>
                <w:sz w:val="20"/>
                <w:szCs w:val="20"/>
              </w:rPr>
              <w:t xml:space="preserve"> to not mention “intra-CU” in IE name. </w:t>
            </w:r>
          </w:p>
        </w:tc>
      </w:tr>
      <w:tr w:rsidR="00195D60" w:rsidRPr="00FC11D9" w14:paraId="3D209CB9" w14:textId="77777777" w:rsidTr="00E9684A">
        <w:tc>
          <w:tcPr>
            <w:tcW w:w="781" w:type="pct"/>
          </w:tcPr>
          <w:p w14:paraId="34956156" w14:textId="34C26198"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C3FB34" w14:textId="2026DBD0"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688E75D" w14:textId="0DCB7B01"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Generally, it is ok to have this </w:t>
            </w:r>
            <w:r w:rsidRPr="00121187">
              <w:rPr>
                <w:rFonts w:ascii="Times New Roman" w:hAnsi="Times New Roman" w:cs="Times New Roman"/>
                <w:sz w:val="20"/>
                <w:szCs w:val="20"/>
              </w:rPr>
              <w:t>per-band capability for conditional LTM</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xiaomi’s</w:t>
            </w:r>
            <w:proofErr w:type="spellEnd"/>
            <w:r>
              <w:rPr>
                <w:rFonts w:ascii="Times New Roman" w:hAnsi="Times New Roman" w:cs="Times New Roman"/>
                <w:sz w:val="20"/>
                <w:szCs w:val="20"/>
              </w:rPr>
              <w:t xml:space="preserve"> comments, we understand it can be on possible way but we slightly prefer the more straightforward way to have a simple capability for CLTM.</w:t>
            </w:r>
          </w:p>
        </w:tc>
      </w:tr>
    </w:tbl>
    <w:p w14:paraId="2729390E"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18A6731" w14:textId="77777777" w:rsidR="0036309D" w:rsidRPr="00D17750" w:rsidRDefault="0036309D"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4346E2D0" w14:textId="77777777" w:rsidTr="00E9684A">
        <w:tc>
          <w:tcPr>
            <w:tcW w:w="781" w:type="pct"/>
          </w:tcPr>
          <w:p w14:paraId="4BA5663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TableofFigures"/>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E9684A">
            <w:pPr>
              <w:rPr>
                <w:rFonts w:ascii="Times New Roman" w:hAnsi="Times New Roman" w:cs="Times New Roman"/>
                <w:sz w:val="20"/>
                <w:szCs w:val="20"/>
                <w:lang w:val="en-GB"/>
              </w:rPr>
            </w:pPr>
          </w:p>
        </w:tc>
      </w:tr>
      <w:tr w:rsidR="0081676B" w:rsidRPr="00FC11D9" w14:paraId="1105A09F" w14:textId="77777777" w:rsidTr="00E9684A">
        <w:tc>
          <w:tcPr>
            <w:tcW w:w="781" w:type="pct"/>
          </w:tcPr>
          <w:p w14:paraId="5DF1CBBC" w14:textId="6EDC2142"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2021E31C" w14:textId="41EADE7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1841EA" w:rsidRPr="00FC11D9" w14:paraId="5EE6F672" w14:textId="77777777" w:rsidTr="00E9684A">
        <w:tc>
          <w:tcPr>
            <w:tcW w:w="781" w:type="pct"/>
          </w:tcPr>
          <w:p w14:paraId="1FEFBE65" w14:textId="53309B20" w:rsidR="001841EA" w:rsidRPr="00FC11D9" w:rsidRDefault="001841EA" w:rsidP="001841E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Q3.</w:t>
            </w:r>
          </w:p>
        </w:tc>
      </w:tr>
      <w:tr w:rsidR="001841EA" w:rsidRPr="00FC11D9" w14:paraId="6AA071CC" w14:textId="77777777" w:rsidTr="00E9684A">
        <w:tc>
          <w:tcPr>
            <w:tcW w:w="781" w:type="pct"/>
          </w:tcPr>
          <w:p w14:paraId="5D895784" w14:textId="2DE94DD6"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8EF5690" w14:textId="3D78A17C"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principle yes </w:t>
            </w:r>
            <w:proofErr w:type="gramStart"/>
            <w:r>
              <w:rPr>
                <w:rFonts w:ascii="Times New Roman" w:hAnsi="Times New Roman" w:cs="Times New Roman"/>
                <w:sz w:val="20"/>
                <w:szCs w:val="20"/>
              </w:rPr>
              <w:t>but..</w:t>
            </w:r>
            <w:proofErr w:type="gramEnd"/>
          </w:p>
        </w:tc>
        <w:tc>
          <w:tcPr>
            <w:tcW w:w="3500" w:type="pct"/>
          </w:tcPr>
          <w:p w14:paraId="10D8DCEF" w14:textId="67962DEE"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1841EA" w:rsidRPr="00FC11D9" w14:paraId="272FCBF1" w14:textId="77777777" w:rsidTr="00E9684A">
        <w:tc>
          <w:tcPr>
            <w:tcW w:w="781" w:type="pct"/>
          </w:tcPr>
          <w:p w14:paraId="283A890F" w14:textId="56FCA0E2"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8A8D824" w14:textId="1A9EB546"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3500" w:type="pct"/>
          </w:tcPr>
          <w:p w14:paraId="04C0686C" w14:textId="5A04DFE5"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think if per-band CLTM capability is introduced, by default, the support of CLTM </w:t>
            </w:r>
            <w:r w:rsidR="009C26AC">
              <w:rPr>
                <w:rFonts w:ascii="Times New Roman" w:hAnsi="Times New Roman" w:cs="Times New Roman"/>
                <w:sz w:val="20"/>
                <w:szCs w:val="20"/>
              </w:rPr>
              <w:t xml:space="preserve">should </w:t>
            </w:r>
            <w:r>
              <w:rPr>
                <w:rFonts w:ascii="Times New Roman" w:hAnsi="Times New Roman" w:cs="Times New Roman"/>
                <w:sz w:val="20"/>
                <w:szCs w:val="20"/>
              </w:rPr>
              <w:t xml:space="preserve">already </w:t>
            </w:r>
            <w:r w:rsidR="009C26AC">
              <w:rPr>
                <w:rFonts w:ascii="Times New Roman" w:hAnsi="Times New Roman" w:cs="Times New Roman"/>
                <w:sz w:val="20"/>
                <w:szCs w:val="20"/>
              </w:rPr>
              <w:t>contain</w:t>
            </w:r>
            <w:r>
              <w:rPr>
                <w:rFonts w:ascii="Times New Roman" w:hAnsi="Times New Roman" w:cs="Times New Roman"/>
                <w:sz w:val="20"/>
                <w:szCs w:val="20"/>
              </w:rPr>
              <w:t xml:space="preserve"> the support of L1 execution condition. </w:t>
            </w:r>
          </w:p>
          <w:p w14:paraId="6EE6EB45" w14:textId="080E3899"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Is there real need to only support CLTM to be associated with L3 events?</w:t>
            </w:r>
          </w:p>
          <w:p w14:paraId="6CAEE35B" w14:textId="77777777" w:rsidR="009C26AC"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f companies think CLTM associated with L3 execution condition needs separate capability. We prefer to introduce a per-UE capability. Not per-band.</w:t>
            </w:r>
          </w:p>
          <w:p w14:paraId="3078D929" w14:textId="011D0F63" w:rsidR="00AF6436" w:rsidRPr="00AF6436"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On the “two trigger event”, it seems the condHandoverTwoTriggerEvents-r16 was not so useful based on below statement in FD “</w:t>
            </w:r>
            <w:r w:rsidRPr="009C26AC">
              <w:rPr>
                <w:rFonts w:eastAsia="MS PGothic" w:cs="Arial"/>
                <w:color w:val="002060"/>
                <w:szCs w:val="18"/>
              </w:rPr>
              <w:t xml:space="preserve">This feature is mandatory supported if the UE supports </w:t>
            </w:r>
            <w:r w:rsidRPr="009C26AC">
              <w:rPr>
                <w:rFonts w:eastAsia="MS PGothic" w:cs="Arial"/>
                <w:i/>
                <w:iCs/>
                <w:color w:val="002060"/>
                <w:szCs w:val="18"/>
              </w:rPr>
              <w:t>condHandover-r16</w:t>
            </w:r>
            <w:r w:rsidRPr="009C26AC">
              <w:rPr>
                <w:rFonts w:ascii="Times New Roman" w:hAnsi="Times New Roman" w:cs="Times New Roman"/>
                <w:color w:val="002060"/>
                <w:sz w:val="20"/>
                <w:szCs w:val="20"/>
              </w:rPr>
              <w:t>”</w:t>
            </w:r>
            <w:r>
              <w:rPr>
                <w:rFonts w:ascii="Times New Roman" w:hAnsi="Times New Roman" w:cs="Times New Roman"/>
                <w:sz w:val="20"/>
                <w:szCs w:val="20"/>
              </w:rPr>
              <w:t xml:space="preserve">. If companies really see the need to have this capability, we suggest to rely on existing CHO capability (condHandoverTwoTriggerEvents-r16). In our view, if the UE already supports two events for CHO, it is natural to support it also for CLTM for the same band. </w:t>
            </w:r>
          </w:p>
        </w:tc>
      </w:tr>
      <w:tr w:rsidR="00195D60" w:rsidRPr="00FC11D9" w14:paraId="20BC30AE" w14:textId="77777777" w:rsidTr="00E9684A">
        <w:tc>
          <w:tcPr>
            <w:tcW w:w="781" w:type="pct"/>
          </w:tcPr>
          <w:p w14:paraId="6FAFB26B" w14:textId="1ECAE85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425C92DB" w14:textId="69414FAA"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47AA942" w14:textId="77777777" w:rsidR="00195D60" w:rsidRPr="00FC11D9" w:rsidRDefault="00195D60" w:rsidP="00195D60">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5: Define a per-band capability for L3 execution condition, </w:t>
      </w:r>
      <w:proofErr w:type="gramStart"/>
      <w:r w:rsidRPr="00FC11D9">
        <w:rPr>
          <w:rFonts w:ascii="Times New Roman" w:eastAsia="宋体" w:hAnsi="Times New Roman" w:cs="Times New Roman"/>
          <w:b/>
          <w:sz w:val="20"/>
          <w:szCs w:val="20"/>
        </w:rPr>
        <w:t>e.g.</w:t>
      </w:r>
      <w:proofErr w:type="gramEnd"/>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57549847" w14:textId="77777777" w:rsidTr="00E9684A">
        <w:tc>
          <w:tcPr>
            <w:tcW w:w="781" w:type="pct"/>
          </w:tcPr>
          <w:p w14:paraId="3E9AD9F7"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lastRenderedPageBreak/>
              <w:t>Company</w:t>
            </w:r>
          </w:p>
        </w:tc>
        <w:tc>
          <w:tcPr>
            <w:tcW w:w="719" w:type="pct"/>
          </w:tcPr>
          <w:p w14:paraId="55A8BBA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TableofFigures"/>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E9684A">
            <w:pPr>
              <w:rPr>
                <w:rFonts w:ascii="Times New Roman" w:hAnsi="Times New Roman" w:cs="Times New Roman"/>
                <w:sz w:val="20"/>
                <w:szCs w:val="20"/>
                <w:lang w:val="en-GB"/>
              </w:rPr>
            </w:pPr>
          </w:p>
        </w:tc>
      </w:tr>
      <w:tr w:rsidR="0081676B" w:rsidRPr="00FC11D9" w14:paraId="0C4A3077" w14:textId="77777777" w:rsidTr="00E9684A">
        <w:tc>
          <w:tcPr>
            <w:tcW w:w="781" w:type="pct"/>
          </w:tcPr>
          <w:p w14:paraId="154A9D15" w14:textId="282FC368"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6A78DFC8" w14:textId="38E5022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7D5B98" w:rsidRPr="00FC11D9" w14:paraId="5DDAC818" w14:textId="77777777" w:rsidTr="00E9684A">
        <w:tc>
          <w:tcPr>
            <w:tcW w:w="781" w:type="pct"/>
          </w:tcPr>
          <w:p w14:paraId="153207D8" w14:textId="5CBD17CE" w:rsidR="007D5B98" w:rsidRPr="00FC11D9" w:rsidRDefault="007D5B98" w:rsidP="007D5B98">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5C21DB" w:rsidRPr="00FC11D9" w14:paraId="1B408221" w14:textId="77777777" w:rsidTr="00E9684A">
        <w:tc>
          <w:tcPr>
            <w:tcW w:w="781" w:type="pct"/>
          </w:tcPr>
          <w:p w14:paraId="2D3B1E28" w14:textId="5807DF5B"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5000AB6A" w14:textId="773FFF59"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principle yes </w:t>
            </w:r>
            <w:proofErr w:type="gramStart"/>
            <w:r>
              <w:rPr>
                <w:rFonts w:ascii="Times New Roman" w:hAnsi="Times New Roman" w:cs="Times New Roman"/>
                <w:sz w:val="20"/>
                <w:szCs w:val="20"/>
              </w:rPr>
              <w:t>but..</w:t>
            </w:r>
            <w:proofErr w:type="gramEnd"/>
          </w:p>
        </w:tc>
        <w:tc>
          <w:tcPr>
            <w:tcW w:w="3500" w:type="pct"/>
          </w:tcPr>
          <w:p w14:paraId="44BCD4E7" w14:textId="6D33EE38"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5C21DB" w:rsidRPr="00FC11D9" w14:paraId="0E6BE873" w14:textId="77777777" w:rsidTr="00E9684A">
        <w:tc>
          <w:tcPr>
            <w:tcW w:w="781" w:type="pct"/>
          </w:tcPr>
          <w:p w14:paraId="14CCE829" w14:textId="32877816"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3F31AE7" w14:textId="4B799272"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05BD79F" w14:textId="2BF3EAEF"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Q4.</w:t>
            </w:r>
          </w:p>
        </w:tc>
      </w:tr>
      <w:tr w:rsidR="00195D60" w:rsidRPr="00FC11D9" w14:paraId="154E9653" w14:textId="77777777" w:rsidTr="00E9684A">
        <w:tc>
          <w:tcPr>
            <w:tcW w:w="781" w:type="pct"/>
          </w:tcPr>
          <w:p w14:paraId="5CC136A7" w14:textId="50C520C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B5A8B51" w14:textId="35888974"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B9F9CC8" w14:textId="472DC3F6" w:rsidR="00195D60" w:rsidRPr="00195D60" w:rsidRDefault="00195D60" w:rsidP="00195D60">
            <w:pPr>
              <w:spacing w:beforeLines="50" w:before="120" w:afterLines="50" w:after="120"/>
              <w:rPr>
                <w:rFonts w:ascii="Times New Roman" w:hAnsi="Times New Roman" w:cs="Times New Roman"/>
                <w:bCs/>
                <w:sz w:val="20"/>
                <w:szCs w:val="20"/>
              </w:rPr>
            </w:pPr>
            <w:r w:rsidRPr="00195D60">
              <w:rPr>
                <w:rFonts w:ascii="Times New Roman" w:eastAsia="宋体" w:hAnsi="Times New Roman" w:cs="Times New Roman"/>
                <w:bCs/>
                <w:sz w:val="20"/>
                <w:szCs w:val="20"/>
              </w:rPr>
              <w:t>It should be modified to that ‘</w:t>
            </w:r>
            <w:r w:rsidRPr="00195D60">
              <w:rPr>
                <w:rFonts w:ascii="Times New Roman" w:eastAsia="宋体" w:hAnsi="Times New Roman" w:cs="Times New Roman"/>
                <w:bCs/>
                <w:sz w:val="20"/>
                <w:szCs w:val="20"/>
              </w:rPr>
              <w:t>cltm-ExecutionConditionL3-r19 is defined to indicate whether the UE supports L3 execution condition for conditional LTM and whether the UE supports</w:t>
            </w:r>
            <w:r w:rsidRPr="00195D60">
              <w:rPr>
                <w:rFonts w:ascii="Times New Roman" w:eastAsia="宋体" w:hAnsi="Times New Roman" w:cs="Times New Roman"/>
                <w:bCs/>
                <w:sz w:val="20"/>
                <w:szCs w:val="20"/>
              </w:rPr>
              <w:t xml:space="preserve"> </w:t>
            </w:r>
            <w:r w:rsidRPr="00195D60">
              <w:rPr>
                <w:rFonts w:ascii="Times New Roman" w:eastAsia="宋体" w:hAnsi="Times New Roman" w:cs="Times New Roman"/>
                <w:bCs/>
                <w:color w:val="FF0000"/>
                <w:sz w:val="20"/>
                <w:szCs w:val="20"/>
              </w:rPr>
              <w:t>AT MOST</w:t>
            </w:r>
            <w:r w:rsidRPr="00195D60">
              <w:rPr>
                <w:rFonts w:ascii="Times New Roman" w:eastAsia="宋体" w:hAnsi="Times New Roman" w:cs="Times New Roman"/>
                <w:bCs/>
                <w:sz w:val="20"/>
                <w:szCs w:val="20"/>
              </w:rPr>
              <w:t xml:space="preserve"> 2 trigger events for same execution condition</w:t>
            </w:r>
            <w:r w:rsidRPr="00195D60">
              <w:rPr>
                <w:rFonts w:ascii="Times New Roman" w:eastAsia="宋体" w:hAnsi="Times New Roman" w:cs="Times New Roman"/>
                <w:bCs/>
                <w:sz w:val="20"/>
                <w:szCs w:val="20"/>
              </w:rPr>
              <w:t>’</w:t>
            </w:r>
          </w:p>
        </w:tc>
      </w:tr>
    </w:tbl>
    <w:p w14:paraId="02E9B6B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092344A" w14:textId="77777777" w:rsidTr="00E9684A">
        <w:tc>
          <w:tcPr>
            <w:tcW w:w="781" w:type="pct"/>
          </w:tcPr>
          <w:p w14:paraId="67B7E91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E9684A">
        <w:tc>
          <w:tcPr>
            <w:tcW w:w="781" w:type="pct"/>
          </w:tcPr>
          <w:p w14:paraId="23ECBC26" w14:textId="5B6B7646" w:rsidR="00EF11AD" w:rsidRPr="00FC11D9" w:rsidRDefault="00D50488" w:rsidP="00E9684A">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E9684A">
            <w:pPr>
              <w:rPr>
                <w:rFonts w:ascii="Times New Roman" w:hAnsi="Times New Roman" w:cs="Times New Roman"/>
                <w:sz w:val="20"/>
                <w:szCs w:val="20"/>
                <w:lang w:val="en-GB"/>
              </w:rPr>
            </w:pPr>
          </w:p>
        </w:tc>
      </w:tr>
      <w:tr w:rsidR="00EF11AD" w:rsidRPr="00FC11D9" w14:paraId="336D28CE" w14:textId="77777777" w:rsidTr="00E9684A">
        <w:tc>
          <w:tcPr>
            <w:tcW w:w="781" w:type="pct"/>
          </w:tcPr>
          <w:p w14:paraId="0BD077B5" w14:textId="67C4AB0C"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78D06F6" w14:textId="5BAE8435"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E9684A">
        <w:tc>
          <w:tcPr>
            <w:tcW w:w="781" w:type="pct"/>
          </w:tcPr>
          <w:p w14:paraId="7DC33715" w14:textId="422B974D" w:rsidR="006A1749" w:rsidRPr="00FC11D9" w:rsidRDefault="006A1749" w:rsidP="006A1749">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5250F13" w14:textId="1D584987" w:rsidR="006A1749" w:rsidRPr="00FC11D9" w:rsidRDefault="006A1749" w:rsidP="006A1749">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E9684A">
        <w:tc>
          <w:tcPr>
            <w:tcW w:w="781" w:type="pct"/>
          </w:tcPr>
          <w:p w14:paraId="0C02DB7D" w14:textId="3296C32D"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4AB0D8B" w14:textId="70B47A84"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133841C"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37D60AF1" w14:textId="77777777" w:rsidTr="00E9684A">
        <w:tc>
          <w:tcPr>
            <w:tcW w:w="781" w:type="pct"/>
          </w:tcPr>
          <w:p w14:paraId="7B440369" w14:textId="2DAC9E19"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B43BE24"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70E261FD" w14:textId="02FFCBFB"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Q3/Q4, we prefer to not define separate capability for L1 execution condition.</w:t>
            </w:r>
          </w:p>
        </w:tc>
      </w:tr>
      <w:tr w:rsidR="00195D60" w:rsidRPr="00FC11D9" w14:paraId="5116E5D5" w14:textId="77777777" w:rsidTr="00E9684A">
        <w:tc>
          <w:tcPr>
            <w:tcW w:w="781" w:type="pct"/>
          </w:tcPr>
          <w:p w14:paraId="296E85E9" w14:textId="5FD3B01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101404A1" w14:textId="5718686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6B0244D1" w14:textId="77777777" w:rsidR="00195D60" w:rsidRPr="00FC11D9" w:rsidRDefault="00195D60" w:rsidP="00195D60">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4B88D8EF" w14:textId="77777777" w:rsidTr="00E9684A">
        <w:tc>
          <w:tcPr>
            <w:tcW w:w="781" w:type="pct"/>
          </w:tcPr>
          <w:p w14:paraId="15E14F0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E9684A">
        <w:tc>
          <w:tcPr>
            <w:tcW w:w="781" w:type="pct"/>
          </w:tcPr>
          <w:p w14:paraId="5BF72762" w14:textId="62F51599" w:rsidR="00EF11AD" w:rsidRPr="00D50488" w:rsidRDefault="00D50488" w:rsidP="00E9684A">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E9684A">
            <w:pPr>
              <w:pStyle w:val="TableofFigures"/>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E9684A">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宋体"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E9684A">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E9684A">
        <w:tc>
          <w:tcPr>
            <w:tcW w:w="781" w:type="pct"/>
          </w:tcPr>
          <w:p w14:paraId="5FDF01BB" w14:textId="1BF3B379"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9525B7F" w14:textId="39A651F0"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83228A" w:rsidRPr="00FC11D9" w14:paraId="605876DA" w14:textId="77777777" w:rsidTr="00E9684A">
        <w:tc>
          <w:tcPr>
            <w:tcW w:w="781" w:type="pct"/>
          </w:tcPr>
          <w:p w14:paraId="6BAD8E99" w14:textId="39844802" w:rsidR="0083228A" w:rsidRPr="00FC11D9" w:rsidRDefault="0083228A" w:rsidP="0083228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C4483A2" w14:textId="22CB4B7F" w:rsidR="0083228A" w:rsidRPr="00FC11D9" w:rsidRDefault="0083228A" w:rsidP="0083228A">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宋体" w:hAnsi="Times New Roman" w:cs="Times New Roman"/>
                <w:bCs/>
                <w:i/>
                <w:iCs/>
                <w:sz w:val="20"/>
                <w:szCs w:val="20"/>
              </w:rPr>
              <w:t>cltm-IntraCU-MCG-r19,</w:t>
            </w:r>
            <w:r>
              <w:rPr>
                <w:rFonts w:ascii="Times New Roman" w:eastAsia="宋体" w:hAnsi="Times New Roman" w:cs="Times New Roman"/>
                <w:bCs/>
                <w:sz w:val="20"/>
                <w:szCs w:val="20"/>
              </w:rPr>
              <w:t xml:space="preserve"> the proposal 7 can be changed to “</w:t>
            </w:r>
            <w:r w:rsidRPr="00A50415">
              <w:rPr>
                <w:rFonts w:ascii="Times New Roman" w:eastAsia="宋体" w:hAnsi="Times New Roman" w:cs="Times New Roman"/>
                <w:bCs/>
                <w:sz w:val="20"/>
                <w:szCs w:val="20"/>
              </w:rPr>
              <w:t xml:space="preserve">When a UE indicates support for both conditional LTM (i.e., </w:t>
            </w:r>
            <w:r w:rsidRPr="001351B9">
              <w:rPr>
                <w:rFonts w:ascii="Times New Roman" w:eastAsia="宋体" w:hAnsi="Times New Roman" w:cs="Times New Roman"/>
                <w:bCs/>
                <w:i/>
                <w:iCs/>
                <w:sz w:val="20"/>
                <w:szCs w:val="20"/>
              </w:rPr>
              <w:t>cltm-ExecutionConditionL1-r19</w:t>
            </w:r>
            <w:r>
              <w:rPr>
                <w:rFonts w:ascii="Times New Roman" w:eastAsia="宋体" w:hAnsi="Times New Roman" w:cs="Times New Roman"/>
                <w:bCs/>
                <w:sz w:val="20"/>
                <w:szCs w:val="20"/>
              </w:rPr>
              <w:t xml:space="preserve"> or</w:t>
            </w:r>
            <w:r w:rsidRPr="001351B9">
              <w:rPr>
                <w:rFonts w:ascii="Times New Roman" w:eastAsia="宋体" w:hAnsi="Times New Roman" w:cs="Times New Roman"/>
                <w:bCs/>
                <w:sz w:val="20"/>
                <w:szCs w:val="20"/>
              </w:rPr>
              <w:t xml:space="preserve"> </w:t>
            </w:r>
            <w:r w:rsidRPr="001351B9">
              <w:rPr>
                <w:rFonts w:ascii="Times New Roman" w:eastAsia="宋体" w:hAnsi="Times New Roman" w:cs="Times New Roman"/>
                <w:bCs/>
                <w:i/>
                <w:iCs/>
                <w:sz w:val="20"/>
                <w:szCs w:val="20"/>
              </w:rPr>
              <w:t>cltm-ExecutionConditionL3-r19</w:t>
            </w:r>
            <w:r w:rsidRPr="00A50415">
              <w:rPr>
                <w:rFonts w:ascii="Times New Roman" w:eastAsia="宋体" w:hAnsi="Times New Roman" w:cs="Times New Roman"/>
                <w:bCs/>
                <w:sz w:val="20"/>
                <w:szCs w:val="20"/>
              </w:rPr>
              <w:t xml:space="preserve">) and </w:t>
            </w:r>
            <w:r w:rsidRPr="001351B9">
              <w:rPr>
                <w:rFonts w:ascii="Times New Roman" w:eastAsia="宋体" w:hAnsi="Times New Roman" w:cs="Times New Roman"/>
                <w:bCs/>
                <w:i/>
                <w:iCs/>
                <w:sz w:val="20"/>
                <w:szCs w:val="20"/>
              </w:rPr>
              <w:t>ltm-RACH-LessCG-r18</w:t>
            </w:r>
            <w:r w:rsidRPr="00A50415">
              <w:rPr>
                <w:rFonts w:ascii="Times New Roman" w:eastAsia="宋体" w:hAnsi="Times New Roman" w:cs="Times New Roman"/>
                <w:bCs/>
                <w:sz w:val="20"/>
                <w:szCs w:val="20"/>
              </w:rPr>
              <w:t>, it implies that the UE has the capacity to support RACH-less conditional LTM with a configured grant.</w:t>
            </w:r>
            <w:r>
              <w:rPr>
                <w:rFonts w:ascii="Times New Roman" w:eastAsia="宋体" w:hAnsi="Times New Roman" w:cs="Times New Roman"/>
                <w:bCs/>
                <w:sz w:val="20"/>
                <w:szCs w:val="20"/>
              </w:rPr>
              <w:t>”.</w:t>
            </w:r>
          </w:p>
        </w:tc>
      </w:tr>
      <w:tr w:rsidR="0083228A" w:rsidRPr="00FC11D9" w14:paraId="792E210A" w14:textId="77777777" w:rsidTr="00E9684A">
        <w:tc>
          <w:tcPr>
            <w:tcW w:w="781" w:type="pct"/>
          </w:tcPr>
          <w:p w14:paraId="3CD47FF5" w14:textId="25E9F173"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F3DB006" w14:textId="57D4BDA8"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3C969DBD" w14:textId="48529487"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combine the two capabilities, but the field description would need some update.</w:t>
            </w:r>
          </w:p>
        </w:tc>
      </w:tr>
      <w:tr w:rsidR="0083228A" w:rsidRPr="00FC11D9" w14:paraId="73581A38" w14:textId="77777777" w:rsidTr="00E9684A">
        <w:tc>
          <w:tcPr>
            <w:tcW w:w="781" w:type="pct"/>
          </w:tcPr>
          <w:p w14:paraId="79B6847A" w14:textId="28FDDF9E"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A05224C" w14:textId="6842CD2F"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62019FB0"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195D60" w:rsidRPr="00FC11D9" w14:paraId="716EC811" w14:textId="77777777" w:rsidTr="00E9684A">
        <w:tc>
          <w:tcPr>
            <w:tcW w:w="781" w:type="pct"/>
          </w:tcPr>
          <w:p w14:paraId="15F2DD25" w14:textId="33B498F4"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211A7F3A" w14:textId="325CAAD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08FA30C" w14:textId="28140BD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think the intention is OK, and agree with Ericsson’s comment that the field description should be updated.</w:t>
            </w:r>
          </w:p>
        </w:tc>
      </w:tr>
    </w:tbl>
    <w:p w14:paraId="41FE23A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w:t>
      </w:r>
      <w:proofErr w:type="gramStart"/>
      <w:r w:rsidRPr="00FC11D9">
        <w:rPr>
          <w:rFonts w:ascii="Times New Roman" w:eastAsia="宋体" w:hAnsi="Times New Roman" w:cs="Times New Roman"/>
          <w:sz w:val="20"/>
          <w:szCs w:val="20"/>
        </w:rPr>
        <w:t>order based</w:t>
      </w:r>
      <w:proofErr w:type="gramEnd"/>
      <w:r w:rsidRPr="00FC11D9">
        <w:rPr>
          <w:rFonts w:ascii="Times New Roman" w:eastAsia="宋体" w:hAnsi="Times New Roman" w:cs="Times New Roman"/>
          <w:sz w:val="20"/>
          <w:szCs w:val="20"/>
        </w:rPr>
        <w:t xml:space="preserve">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Heading3"/>
        <w:numPr>
          <w:ilvl w:val="0"/>
          <w:numId w:val="0"/>
        </w:numPr>
        <w:ind w:left="720" w:hanging="720"/>
        <w:rPr>
          <w:rFonts w:eastAsiaTheme="minorEastAsia"/>
          <w:color w:val="0070C0"/>
          <w:lang w:eastAsia="zh-CN"/>
        </w:rPr>
      </w:pPr>
      <w:r w:rsidRPr="00D17750">
        <w:rPr>
          <w:color w:val="0070C0"/>
        </w:rPr>
        <w:lastRenderedPageBreak/>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6E86097" w14:textId="77777777" w:rsidTr="00E9684A">
        <w:tc>
          <w:tcPr>
            <w:tcW w:w="781" w:type="pct"/>
          </w:tcPr>
          <w:p w14:paraId="4E0366A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t>MediaTek</w:t>
            </w:r>
          </w:p>
        </w:tc>
        <w:tc>
          <w:tcPr>
            <w:tcW w:w="719" w:type="pct"/>
            <w:vAlign w:val="center"/>
          </w:tcPr>
          <w:p w14:paraId="72C2BB24" w14:textId="40B232C8" w:rsidR="00EF11AD" w:rsidRPr="00200EB2" w:rsidRDefault="00200EB2" w:rsidP="00200EB2">
            <w:pPr>
              <w:pStyle w:val="TableofFigures"/>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E9684A">
            <w:pPr>
              <w:rPr>
                <w:rFonts w:ascii="Times New Roman" w:hAnsi="Times New Roman" w:cs="Times New Roman"/>
                <w:sz w:val="20"/>
                <w:szCs w:val="20"/>
                <w:lang w:val="en-GB"/>
              </w:rPr>
            </w:pPr>
          </w:p>
        </w:tc>
      </w:tr>
      <w:tr w:rsidR="00EF11AD" w:rsidRPr="00FC11D9" w14:paraId="4AD7A533" w14:textId="77777777" w:rsidTr="00E9684A">
        <w:tc>
          <w:tcPr>
            <w:tcW w:w="781" w:type="pct"/>
          </w:tcPr>
          <w:p w14:paraId="4799409F" w14:textId="4B96CE75"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D50F58B" w14:textId="35C2BE88"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9C21B1" w:rsidRPr="00FC11D9" w14:paraId="2960ECA9" w14:textId="77777777" w:rsidTr="00E9684A">
        <w:tc>
          <w:tcPr>
            <w:tcW w:w="781" w:type="pct"/>
          </w:tcPr>
          <w:p w14:paraId="4DE9651A" w14:textId="443CA32B" w:rsidR="009C21B1" w:rsidRPr="00FC11D9" w:rsidRDefault="009C21B1" w:rsidP="009C21B1">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9C21B1">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5910C7A7" w14:textId="77777777" w:rsidTr="00E9684A">
        <w:tc>
          <w:tcPr>
            <w:tcW w:w="781" w:type="pct"/>
          </w:tcPr>
          <w:p w14:paraId="0663CAE4" w14:textId="1F1BA240"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D6B48D9" w14:textId="2BCB248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7D67343" w14:textId="76B61B4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Maybe field description of existing capability should be updated?</w:t>
            </w:r>
          </w:p>
        </w:tc>
      </w:tr>
      <w:tr w:rsidR="009C21B1" w:rsidRPr="00FC11D9" w14:paraId="2F522158" w14:textId="77777777" w:rsidTr="00E9684A">
        <w:tc>
          <w:tcPr>
            <w:tcW w:w="781" w:type="pct"/>
          </w:tcPr>
          <w:p w14:paraId="73C8243C" w14:textId="645D6D6D"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0231871" w14:textId="331A1DFA"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D6D90A0"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195D60" w:rsidRPr="00FC11D9" w14:paraId="09445A2E" w14:textId="77777777" w:rsidTr="00E9684A">
        <w:tc>
          <w:tcPr>
            <w:tcW w:w="781" w:type="pct"/>
          </w:tcPr>
          <w:p w14:paraId="7CD5F0ED" w14:textId="0C9D4FB7"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3688AAA3" w14:textId="0A07D97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406F07A" w14:textId="77777777" w:rsidR="00195D60" w:rsidRPr="00FC11D9" w:rsidRDefault="00195D60" w:rsidP="00195D60">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E9684A">
        <w:trPr>
          <w:cantSplit/>
          <w:tblHeader/>
        </w:trPr>
        <w:tc>
          <w:tcPr>
            <w:tcW w:w="6917" w:type="dxa"/>
          </w:tcPr>
          <w:p w14:paraId="2503E5A8"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E9684A">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Heading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A47EE67" w14:textId="77777777" w:rsidTr="00E9684A">
        <w:tc>
          <w:tcPr>
            <w:tcW w:w="781" w:type="pct"/>
          </w:tcPr>
          <w:p w14:paraId="34AB89C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E9684A">
        <w:tc>
          <w:tcPr>
            <w:tcW w:w="781" w:type="pct"/>
          </w:tcPr>
          <w:p w14:paraId="2491B73E" w14:textId="66A4C769" w:rsidR="00EF11AD" w:rsidRPr="00FC11D9" w:rsidRDefault="00200EB2"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052F867D" w14:textId="4F8D7F1B" w:rsidR="00EF11AD" w:rsidRPr="00FC11D9" w:rsidRDefault="00200EB2"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E9684A">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E9684A">
        <w:tc>
          <w:tcPr>
            <w:tcW w:w="781" w:type="pct"/>
          </w:tcPr>
          <w:p w14:paraId="134AFD1A" w14:textId="6828FBD7"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3EDC861E" w14:textId="6DC529D1"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E9684A">
        <w:tc>
          <w:tcPr>
            <w:tcW w:w="781" w:type="pct"/>
          </w:tcPr>
          <w:p w14:paraId="3431B091" w14:textId="5EF56B47" w:rsidR="007D5B70" w:rsidRPr="00FC11D9" w:rsidRDefault="007D5B70" w:rsidP="007D5B70">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RACH, and define TA operation for CLTM in a separate UE capability (as discussed in Q9). In this way, the capability can handle both LTM and CLTM. </w:t>
            </w:r>
          </w:p>
        </w:tc>
      </w:tr>
      <w:tr w:rsidR="007D5B70" w:rsidRPr="00FC11D9" w14:paraId="499193A5" w14:textId="77777777" w:rsidTr="00E9684A">
        <w:tc>
          <w:tcPr>
            <w:tcW w:w="781" w:type="pct"/>
          </w:tcPr>
          <w:p w14:paraId="3B923D33" w14:textId="01D7A74B"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2B274" w14:textId="2928A238"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Need more discussion</w:t>
            </w:r>
          </w:p>
        </w:tc>
        <w:tc>
          <w:tcPr>
            <w:tcW w:w="3500" w:type="pct"/>
          </w:tcPr>
          <w:p w14:paraId="3DC4FFAE"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3F6B65F8" w14:textId="77777777" w:rsidTr="00E9684A">
        <w:tc>
          <w:tcPr>
            <w:tcW w:w="781" w:type="pct"/>
          </w:tcPr>
          <w:p w14:paraId="70DA0E2F" w14:textId="02775CB0"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85F1AD4" w14:textId="3902BBBF"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4556EF23" w14:textId="66A67805" w:rsidR="00AD4375"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o be honest, for LTM (not condition), the usage of rach-EarlyTA-Measurement-r18 is quite unclear, since UE just sends preamble to candidate cell, there is no need to maintain the TA, then how to under the value reported by the UE? E.g. Number of RACH attempts in one serving cell for how long?</w:t>
            </w:r>
          </w:p>
          <w:p w14:paraId="73953DA9" w14:textId="04506B1D" w:rsidR="00AD4375"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design of rach-EarlyTA-Measurement-r18 (with value 1-8) seems more useful for CLTM, as it can indicate the maximum number of TA timers that maintained by the UE.</w:t>
            </w:r>
          </w:p>
        </w:tc>
      </w:tr>
      <w:tr w:rsidR="00195D60" w:rsidRPr="00FC11D9" w14:paraId="0F64D561" w14:textId="77777777" w:rsidTr="00E9684A">
        <w:tc>
          <w:tcPr>
            <w:tcW w:w="781" w:type="pct"/>
          </w:tcPr>
          <w:p w14:paraId="1633B263" w14:textId="363E74EC"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584F4AE4" w14:textId="15184B18"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74F8FF3E" w14:textId="60058486"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agree with companies that at least the TA timer maintenance should be considered for new capability. But whether the TA timer capability can also represent that the UE support PDCCH order TA acquisition in CLTM can be further discussion.</w:t>
            </w:r>
          </w:p>
        </w:tc>
      </w:tr>
    </w:tbl>
    <w:p w14:paraId="2A5A946D"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035B4023" w14:textId="77777777" w:rsidTr="00E9684A">
        <w:tc>
          <w:tcPr>
            <w:tcW w:w="781" w:type="pct"/>
          </w:tcPr>
          <w:p w14:paraId="1F93AB53"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E9684A">
        <w:tc>
          <w:tcPr>
            <w:tcW w:w="781" w:type="pct"/>
          </w:tcPr>
          <w:p w14:paraId="5EB82620" w14:textId="1183AD99" w:rsidR="00EF11AD" w:rsidRPr="00FC11D9" w:rsidRDefault="005E401A"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E9684A">
            <w:pPr>
              <w:rPr>
                <w:rFonts w:ascii="Times New Roman" w:hAnsi="Times New Roman" w:cs="Times New Roman"/>
                <w:sz w:val="20"/>
                <w:szCs w:val="20"/>
                <w:lang w:val="en-GB"/>
              </w:rPr>
            </w:pPr>
          </w:p>
        </w:tc>
      </w:tr>
      <w:tr w:rsidR="00EF11AD" w:rsidRPr="00FC11D9" w14:paraId="332DA9CF" w14:textId="77777777" w:rsidTr="00E9684A">
        <w:tc>
          <w:tcPr>
            <w:tcW w:w="781" w:type="pct"/>
          </w:tcPr>
          <w:p w14:paraId="5C5F8D4B" w14:textId="536D0C7C"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58BC546E" w14:textId="5EBD9EAA"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BC4243" w:rsidRPr="00FC11D9" w14:paraId="5D6D234C" w14:textId="77777777" w:rsidTr="00E9684A">
        <w:tc>
          <w:tcPr>
            <w:tcW w:w="781" w:type="pct"/>
          </w:tcPr>
          <w:p w14:paraId="79D827C9" w14:textId="524A8028" w:rsidR="00BC4243" w:rsidRPr="00FC11D9" w:rsidRDefault="00BC4243" w:rsidP="00BC424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BC424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799E4A7D" w14:textId="77777777" w:rsidTr="00E9684A">
        <w:tc>
          <w:tcPr>
            <w:tcW w:w="781" w:type="pct"/>
          </w:tcPr>
          <w:p w14:paraId="3EF00083" w14:textId="53972D55"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18507CA1" w14:textId="2F99F5FE"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62C9FA90" w14:textId="02773374"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don’t need to tight this capability to only CLTM but it can be more general for LTM and CLTM.</w:t>
            </w:r>
          </w:p>
        </w:tc>
      </w:tr>
      <w:tr w:rsidR="00BC4243" w:rsidRPr="00FC11D9" w14:paraId="696A7875" w14:textId="77777777" w:rsidTr="00E9684A">
        <w:tc>
          <w:tcPr>
            <w:tcW w:w="781" w:type="pct"/>
          </w:tcPr>
          <w:p w14:paraId="489C97FE" w14:textId="43C8908E"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3A7FCB68" w14:textId="6594DD53"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 but</w:t>
            </w:r>
          </w:p>
        </w:tc>
        <w:tc>
          <w:tcPr>
            <w:tcW w:w="3500" w:type="pct"/>
          </w:tcPr>
          <w:p w14:paraId="7BA9B6E0" w14:textId="77777777" w:rsidR="00BC4243"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agree a capability is needed, but whether it is per-band or per-UE needs clarification. For per-band, whether network only check the source band? Or need to check both source band and target band (where preamble is sent)?</w:t>
            </w:r>
          </w:p>
          <w:p w14:paraId="53AB3058" w14:textId="21F18443" w:rsidR="00AD4375"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 addition, this relates to the outcome of Q8, if separate early TA-measurement capability is introduced for CLTM, then that capability should already contain the support of new TA MAC CE.  (We answer Yes to Q</w:t>
            </w:r>
            <w:r w:rsidR="008D56D2">
              <w:rPr>
                <w:rFonts w:ascii="Times New Roman" w:hAnsi="Times New Roman" w:cs="Times New Roman"/>
                <w:sz w:val="20"/>
                <w:szCs w:val="20"/>
              </w:rPr>
              <w:t>9 because we answer Yes to Q8</w:t>
            </w:r>
            <w:r>
              <w:rPr>
                <w:rFonts w:ascii="Times New Roman" w:hAnsi="Times New Roman" w:cs="Times New Roman"/>
                <w:sz w:val="20"/>
                <w:szCs w:val="20"/>
              </w:rPr>
              <w:t>)</w:t>
            </w:r>
          </w:p>
        </w:tc>
      </w:tr>
      <w:tr w:rsidR="00195D60" w:rsidRPr="00FC11D9" w14:paraId="1954E50E" w14:textId="77777777" w:rsidTr="00E9684A">
        <w:tc>
          <w:tcPr>
            <w:tcW w:w="781" w:type="pct"/>
          </w:tcPr>
          <w:p w14:paraId="349C0E33" w14:textId="5086482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D9915E" w14:textId="4A8B770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2AAB0FE" w14:textId="77777777" w:rsidR="00195D60" w:rsidRPr="00FC11D9" w:rsidRDefault="00195D60" w:rsidP="00195D60">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63C76FEA" w14:textId="77777777" w:rsidTr="00E9684A">
        <w:tc>
          <w:tcPr>
            <w:tcW w:w="781" w:type="pct"/>
          </w:tcPr>
          <w:p w14:paraId="7DA0BE88"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E9684A">
        <w:tc>
          <w:tcPr>
            <w:tcW w:w="781" w:type="pct"/>
          </w:tcPr>
          <w:p w14:paraId="751D4124" w14:textId="5F00E579" w:rsidR="00EF11AD" w:rsidRPr="00FC11D9" w:rsidRDefault="002848E6"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E9684A">
            <w:pPr>
              <w:rPr>
                <w:rFonts w:ascii="Times New Roman" w:hAnsi="Times New Roman" w:cs="Times New Roman"/>
                <w:sz w:val="20"/>
                <w:szCs w:val="20"/>
                <w:lang w:val="en-GB"/>
              </w:rPr>
            </w:pPr>
          </w:p>
        </w:tc>
      </w:tr>
      <w:tr w:rsidR="00EF11AD" w:rsidRPr="00FC11D9" w14:paraId="270B5879" w14:textId="77777777" w:rsidTr="00E9684A">
        <w:tc>
          <w:tcPr>
            <w:tcW w:w="781" w:type="pct"/>
          </w:tcPr>
          <w:p w14:paraId="00EAD3C0" w14:textId="214A1762"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4BCA1D14" w14:textId="7D23459B"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E2251F" w:rsidRPr="00FC11D9" w14:paraId="07A03EA0" w14:textId="77777777" w:rsidTr="00E9684A">
        <w:tc>
          <w:tcPr>
            <w:tcW w:w="781" w:type="pct"/>
          </w:tcPr>
          <w:p w14:paraId="794DD06D" w14:textId="5F6DD36C" w:rsidR="00E2251F" w:rsidRPr="00FC11D9" w:rsidRDefault="00E2251F" w:rsidP="00E2251F">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E2251F">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1976D353" w14:textId="77777777" w:rsidTr="00E9684A">
        <w:tc>
          <w:tcPr>
            <w:tcW w:w="781" w:type="pct"/>
          </w:tcPr>
          <w:p w14:paraId="298F29DD" w14:textId="1DEB40B1"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5BD6D" w14:textId="75FD496C"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280FD01"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5349D646" w14:textId="77777777" w:rsidTr="00E9684A">
        <w:tc>
          <w:tcPr>
            <w:tcW w:w="781" w:type="pct"/>
          </w:tcPr>
          <w:p w14:paraId="7E95E752" w14:textId="64C3FF01"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7D842A1" w14:textId="59982E3E"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E80EE7C"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195D60" w:rsidRPr="00FC11D9" w14:paraId="241B7425" w14:textId="77777777" w:rsidTr="00E9684A">
        <w:tc>
          <w:tcPr>
            <w:tcW w:w="781" w:type="pct"/>
          </w:tcPr>
          <w:p w14:paraId="52AE235B" w14:textId="6E8C1C1C"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D8F316C" w14:textId="101F58A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967F47E" w14:textId="77777777" w:rsidR="00195D60" w:rsidRPr="00FC11D9" w:rsidRDefault="00195D60" w:rsidP="00195D60">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14:paraId="33B85C2F" w14:textId="77777777" w:rsidR="001211F8" w:rsidRPr="00D17750" w:rsidRDefault="001211F8" w:rsidP="001211F8">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FC11D9" w14:paraId="505DFC65" w14:textId="77777777" w:rsidTr="00E9684A">
        <w:tc>
          <w:tcPr>
            <w:tcW w:w="781" w:type="pct"/>
          </w:tcPr>
          <w:p w14:paraId="3D5BDBCE"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E9684A">
        <w:tc>
          <w:tcPr>
            <w:tcW w:w="781" w:type="pct"/>
          </w:tcPr>
          <w:p w14:paraId="40A89964" w14:textId="11823B43" w:rsidR="001211F8" w:rsidRPr="00FC11D9" w:rsidRDefault="0055457E"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E9684A">
            <w:pPr>
              <w:pStyle w:val="TableofFigures"/>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E9684A">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E9684A">
        <w:tc>
          <w:tcPr>
            <w:tcW w:w="781" w:type="pct"/>
          </w:tcPr>
          <w:p w14:paraId="2137C7D5" w14:textId="374B56E8" w:rsidR="001211F8"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73F9E8BA" w14:textId="77777777" w:rsidR="001211F8" w:rsidRPr="00FC11D9" w:rsidRDefault="001211F8" w:rsidP="00E9684A">
            <w:pPr>
              <w:spacing w:beforeLines="50" w:before="120" w:afterLines="50" w:after="120"/>
              <w:rPr>
                <w:rFonts w:ascii="Times New Roman" w:hAnsi="Times New Roman" w:cs="Times New Roman"/>
                <w:sz w:val="20"/>
                <w:szCs w:val="20"/>
              </w:rPr>
            </w:pPr>
          </w:p>
        </w:tc>
        <w:tc>
          <w:tcPr>
            <w:tcW w:w="3500" w:type="pct"/>
          </w:tcPr>
          <w:p w14:paraId="55622A2B" w14:textId="52E4B71C" w:rsidR="001211F8"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tc>
      </w:tr>
      <w:tr w:rsidR="00D60CE3" w:rsidRPr="00FC11D9" w14:paraId="606D63AF" w14:textId="77777777" w:rsidTr="00E9684A">
        <w:tc>
          <w:tcPr>
            <w:tcW w:w="781" w:type="pct"/>
          </w:tcPr>
          <w:p w14:paraId="2ACD11B5" w14:textId="6A35FF4B" w:rsidR="00D60CE3" w:rsidRPr="00FC11D9" w:rsidRDefault="00D60CE3" w:rsidP="00D60CE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D60CE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169EAD5C" w14:textId="435845CD" w:rsidR="00D60CE3" w:rsidRPr="00FC11D9" w:rsidRDefault="00D60CE3"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w:t>
            </w:r>
            <w:proofErr w:type="gramStart"/>
            <w:r>
              <w:rPr>
                <w:rFonts w:ascii="Times New Roman" w:hAnsi="Times New Roman" w:cs="Times New Roman"/>
                <w:sz w:val="20"/>
                <w:szCs w:val="20"/>
                <w:lang w:val="en-GB"/>
              </w:rPr>
              <w:t xml:space="preserve">for  </w:t>
            </w:r>
            <w:r w:rsidRPr="008863D9">
              <w:rPr>
                <w:rFonts w:ascii="Times New Roman" w:hAnsi="Times New Roman" w:cs="Times New Roman"/>
                <w:sz w:val="20"/>
                <w:szCs w:val="20"/>
                <w:lang w:val="en-GB"/>
              </w:rPr>
              <w:t>L</w:t>
            </w:r>
            <w:proofErr w:type="gramEnd"/>
            <w:r w:rsidRPr="008863D9">
              <w:rPr>
                <w:rFonts w:ascii="Times New Roman" w:hAnsi="Times New Roman" w:cs="Times New Roman"/>
                <w:sz w:val="20"/>
                <w:szCs w:val="20"/>
                <w:lang w:val="en-GB"/>
              </w:rPr>
              <w:t>1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tc>
      </w:tr>
      <w:tr w:rsidR="00D60CE3" w:rsidRPr="00FC11D9" w14:paraId="5A81C55D" w14:textId="77777777" w:rsidTr="00E9684A">
        <w:tc>
          <w:tcPr>
            <w:tcW w:w="781" w:type="pct"/>
          </w:tcPr>
          <w:p w14:paraId="5F96126E" w14:textId="3C28E565"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B4DE858" w14:textId="1AF46794"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6D73E67" w14:textId="201772A1"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 xml:space="preserve">gree with Xiaomi, but on the other hand, it is unclear to us which capabilities will be discussed in RAN1 (e.g. for L1 event). We should avoid overlapping discussion in two WGs. </w:t>
            </w:r>
          </w:p>
        </w:tc>
      </w:tr>
      <w:tr w:rsidR="00D60CE3" w:rsidRPr="00FC11D9" w14:paraId="0D0304E0" w14:textId="77777777" w:rsidTr="00E9684A">
        <w:tc>
          <w:tcPr>
            <w:tcW w:w="781" w:type="pct"/>
          </w:tcPr>
          <w:p w14:paraId="3F7D79B8"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BB36820"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3CAE7D20" w14:textId="77777777" w:rsidR="00D60CE3" w:rsidRPr="00FC11D9" w:rsidRDefault="00D60CE3" w:rsidP="00D60CE3">
            <w:pPr>
              <w:spacing w:beforeLines="50" w:before="120" w:afterLines="50" w:after="120"/>
              <w:rPr>
                <w:rFonts w:ascii="Times New Roman" w:hAnsi="Times New Roman" w:cs="Times New Roman"/>
                <w:sz w:val="20"/>
                <w:szCs w:val="20"/>
              </w:rPr>
            </w:pPr>
          </w:p>
        </w:tc>
      </w:tr>
      <w:tr w:rsidR="00D60CE3" w:rsidRPr="00FC11D9" w14:paraId="5C994F9E" w14:textId="77777777" w:rsidTr="00E9684A">
        <w:tc>
          <w:tcPr>
            <w:tcW w:w="781" w:type="pct"/>
          </w:tcPr>
          <w:p w14:paraId="47DECD75"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97CD14D"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547661F8" w14:textId="77777777" w:rsidR="00D60CE3" w:rsidRPr="00FC11D9" w:rsidRDefault="00D60CE3" w:rsidP="00D60CE3">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Heading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proofErr w:type="gramStart"/>
      <w:r>
        <w:rPr>
          <w:rFonts w:ascii="Times New Roman" w:hAnsi="Times New Roman" w:cs="Times New Roman"/>
        </w:rPr>
        <w:t>NR;User</w:t>
      </w:r>
      <w:proofErr w:type="spellEnd"/>
      <w:proofErr w:type="gramEnd"/>
      <w:r>
        <w:rPr>
          <w:rFonts w:ascii="Times New Roman" w:hAnsi="Times New Roman" w:cs="Times New Roman"/>
        </w:rPr>
        <w:t xml:space="preserve"> Equipment (UE) radio access capabilities"</w:t>
      </w:r>
    </w:p>
    <w:p w14:paraId="6CAB75D5" w14:textId="77777777" w:rsidR="00D86F1E" w:rsidRDefault="00D86F1E" w:rsidP="00D86F1E">
      <w:pPr>
        <w:rPr>
          <w:rFonts w:ascii="Times New Roman" w:eastAsia="宋体"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lastRenderedPageBreak/>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ast processing of LTM candidate cell RRC configuration. This capability signalling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Scell(s)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lastRenderedPageBreak/>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This capability signalling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This capability signalling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This capability signalling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umber of neighbouring cells per frequency layer for L1-RSRP measurement.</w:t>
            </w:r>
          </w:p>
          <w:p w14:paraId="59E2C83F" w14:textId="77777777" w:rsidR="00D86F1E" w:rsidRDefault="00D86F1E">
            <w:pPr>
              <w:pStyle w:val="TAL"/>
            </w:pPr>
            <w:r>
              <w:t>This capability signalling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This capability signalling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The capability signalling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lastRenderedPageBreak/>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35"/>
        <w:gridCol w:w="975"/>
        <w:gridCol w:w="2348"/>
        <w:gridCol w:w="1494"/>
        <w:gridCol w:w="2348"/>
        <w:gridCol w:w="3754"/>
        <w:gridCol w:w="1674"/>
        <w:gridCol w:w="1674"/>
        <w:gridCol w:w="1573"/>
        <w:gridCol w:w="2214"/>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 xml:space="preserve">Indicates whether the UE supports L1 </w:t>
            </w:r>
            <w:proofErr w:type="gramStart"/>
            <w:r>
              <w:rPr>
                <w:lang w:eastAsia="en-GB"/>
              </w:rPr>
              <w:t>measurement based</w:t>
            </w:r>
            <w:proofErr w:type="gramEnd"/>
            <w:r>
              <w:rPr>
                <w:lang w:eastAsia="en-GB"/>
              </w:rPr>
              <w:t xml:space="preserve">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宋体"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EB55" w14:textId="77777777" w:rsidR="003901AE" w:rsidRDefault="003901AE" w:rsidP="00670762">
      <w:pPr>
        <w:spacing w:after="0" w:line="240" w:lineRule="auto"/>
      </w:pPr>
      <w:r>
        <w:separator/>
      </w:r>
    </w:p>
  </w:endnote>
  <w:endnote w:type="continuationSeparator" w:id="0">
    <w:p w14:paraId="456A8597" w14:textId="77777777" w:rsidR="003901AE" w:rsidRDefault="003901AE"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D527" w14:textId="77777777" w:rsidR="003901AE" w:rsidRDefault="003901AE" w:rsidP="00670762">
      <w:pPr>
        <w:spacing w:after="0" w:line="240" w:lineRule="auto"/>
      </w:pPr>
      <w:r>
        <w:separator/>
      </w:r>
    </w:p>
  </w:footnote>
  <w:footnote w:type="continuationSeparator" w:id="0">
    <w:p w14:paraId="5A01026C" w14:textId="77777777" w:rsidR="003901AE" w:rsidRDefault="003901AE"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A11971"/>
    <w:multiLevelType w:val="hybridMultilevel"/>
    <w:tmpl w:val="E85824DA"/>
    <w:lvl w:ilvl="0" w:tplc="999EC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C8760C"/>
    <w:multiLevelType w:val="hybridMultilevel"/>
    <w:tmpl w:val="123A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3"/>
  </w:num>
  <w:num w:numId="5">
    <w:abstractNumId w:val="15"/>
  </w:num>
  <w:num w:numId="6">
    <w:abstractNumId w:val="2"/>
  </w:num>
  <w:num w:numId="7">
    <w:abstractNumId w:val="8"/>
  </w:num>
  <w:num w:numId="8">
    <w:abstractNumId w:val="5"/>
  </w:num>
  <w:num w:numId="9">
    <w:abstractNumId w:val="12"/>
  </w:num>
  <w:num w:numId="10">
    <w:abstractNumId w:val="0"/>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3"/>
  </w:num>
  <w:num w:numId="18">
    <w:abstractNumId w:val="1"/>
  </w:num>
  <w:num w:numId="19">
    <w:abstractNumId w:val="1"/>
  </w:num>
  <w:num w:numId="20">
    <w:abstractNumId w:val="6"/>
  </w:num>
  <w:num w:numId="21">
    <w:abstractNumId w:val="16"/>
  </w:num>
  <w:num w:numId="22">
    <w:abstractNumId w:val="7"/>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1066"/>
    <w:rsid w:val="00021EA3"/>
    <w:rsid w:val="00035FAF"/>
    <w:rsid w:val="000370D2"/>
    <w:rsid w:val="00050E32"/>
    <w:rsid w:val="0005204B"/>
    <w:rsid w:val="000578FC"/>
    <w:rsid w:val="00063FF5"/>
    <w:rsid w:val="00066DE1"/>
    <w:rsid w:val="00077ADB"/>
    <w:rsid w:val="000853BF"/>
    <w:rsid w:val="000877BD"/>
    <w:rsid w:val="00094632"/>
    <w:rsid w:val="00097F46"/>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1EA"/>
    <w:rsid w:val="001842B0"/>
    <w:rsid w:val="00195210"/>
    <w:rsid w:val="00195D60"/>
    <w:rsid w:val="001A0BA9"/>
    <w:rsid w:val="001B15F7"/>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51B2"/>
    <w:rsid w:val="00277CDB"/>
    <w:rsid w:val="002848E6"/>
    <w:rsid w:val="002A30DF"/>
    <w:rsid w:val="002A3F6B"/>
    <w:rsid w:val="002B3A0A"/>
    <w:rsid w:val="002C4DBD"/>
    <w:rsid w:val="002C589D"/>
    <w:rsid w:val="002E1484"/>
    <w:rsid w:val="002F1F05"/>
    <w:rsid w:val="00302EC9"/>
    <w:rsid w:val="003228FA"/>
    <w:rsid w:val="00330735"/>
    <w:rsid w:val="0034127E"/>
    <w:rsid w:val="00354B37"/>
    <w:rsid w:val="0035501B"/>
    <w:rsid w:val="0036309D"/>
    <w:rsid w:val="003901AE"/>
    <w:rsid w:val="003B7E61"/>
    <w:rsid w:val="003C09EB"/>
    <w:rsid w:val="003D440B"/>
    <w:rsid w:val="003E2021"/>
    <w:rsid w:val="003F09A2"/>
    <w:rsid w:val="00426791"/>
    <w:rsid w:val="00443346"/>
    <w:rsid w:val="004522BA"/>
    <w:rsid w:val="00455C4C"/>
    <w:rsid w:val="00461928"/>
    <w:rsid w:val="0047674E"/>
    <w:rsid w:val="00477543"/>
    <w:rsid w:val="004812DF"/>
    <w:rsid w:val="004A5287"/>
    <w:rsid w:val="004B0821"/>
    <w:rsid w:val="004B53D1"/>
    <w:rsid w:val="004B5B47"/>
    <w:rsid w:val="004B728F"/>
    <w:rsid w:val="004E495B"/>
    <w:rsid w:val="004F2626"/>
    <w:rsid w:val="004F4AB5"/>
    <w:rsid w:val="004F5B36"/>
    <w:rsid w:val="005218CA"/>
    <w:rsid w:val="00522744"/>
    <w:rsid w:val="005312AE"/>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21DB"/>
    <w:rsid w:val="005C71F4"/>
    <w:rsid w:val="005D375F"/>
    <w:rsid w:val="005E401A"/>
    <w:rsid w:val="00604860"/>
    <w:rsid w:val="00623D9D"/>
    <w:rsid w:val="00634B23"/>
    <w:rsid w:val="00637EE8"/>
    <w:rsid w:val="0065451A"/>
    <w:rsid w:val="00670762"/>
    <w:rsid w:val="00675F6F"/>
    <w:rsid w:val="006936C8"/>
    <w:rsid w:val="00696776"/>
    <w:rsid w:val="006A1749"/>
    <w:rsid w:val="006A43E1"/>
    <w:rsid w:val="006A4C7E"/>
    <w:rsid w:val="006B7102"/>
    <w:rsid w:val="006C0F50"/>
    <w:rsid w:val="006E0A6D"/>
    <w:rsid w:val="006E1658"/>
    <w:rsid w:val="006E7777"/>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5B70"/>
    <w:rsid w:val="007D5B98"/>
    <w:rsid w:val="007D7BA3"/>
    <w:rsid w:val="008074A8"/>
    <w:rsid w:val="0081144F"/>
    <w:rsid w:val="0081676B"/>
    <w:rsid w:val="00830C64"/>
    <w:rsid w:val="00830D12"/>
    <w:rsid w:val="0083228A"/>
    <w:rsid w:val="00837132"/>
    <w:rsid w:val="00846813"/>
    <w:rsid w:val="00847C89"/>
    <w:rsid w:val="00854B02"/>
    <w:rsid w:val="00866ACE"/>
    <w:rsid w:val="00877666"/>
    <w:rsid w:val="008878D7"/>
    <w:rsid w:val="008A7791"/>
    <w:rsid w:val="008B24FB"/>
    <w:rsid w:val="008B7316"/>
    <w:rsid w:val="008C4DF1"/>
    <w:rsid w:val="008C7AFE"/>
    <w:rsid w:val="008D56D2"/>
    <w:rsid w:val="008E115A"/>
    <w:rsid w:val="008F15D6"/>
    <w:rsid w:val="008F7743"/>
    <w:rsid w:val="009057F8"/>
    <w:rsid w:val="009103F2"/>
    <w:rsid w:val="0091369C"/>
    <w:rsid w:val="00921FEC"/>
    <w:rsid w:val="00927693"/>
    <w:rsid w:val="0093378C"/>
    <w:rsid w:val="00944E16"/>
    <w:rsid w:val="00945015"/>
    <w:rsid w:val="00955C14"/>
    <w:rsid w:val="00961A38"/>
    <w:rsid w:val="009641FF"/>
    <w:rsid w:val="009772BC"/>
    <w:rsid w:val="0098662D"/>
    <w:rsid w:val="00986CE3"/>
    <w:rsid w:val="009B49EB"/>
    <w:rsid w:val="009C21B1"/>
    <w:rsid w:val="009C26AC"/>
    <w:rsid w:val="009C68D4"/>
    <w:rsid w:val="009D0FA1"/>
    <w:rsid w:val="009E4AF7"/>
    <w:rsid w:val="009E5F4D"/>
    <w:rsid w:val="009F497E"/>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18FB"/>
    <w:rsid w:val="00AB3E1B"/>
    <w:rsid w:val="00AB4A7A"/>
    <w:rsid w:val="00AC2B06"/>
    <w:rsid w:val="00AC5BB9"/>
    <w:rsid w:val="00AD1F9E"/>
    <w:rsid w:val="00AD4375"/>
    <w:rsid w:val="00AF3E7F"/>
    <w:rsid w:val="00AF6436"/>
    <w:rsid w:val="00B1053D"/>
    <w:rsid w:val="00B1239C"/>
    <w:rsid w:val="00B21EB9"/>
    <w:rsid w:val="00B27A2E"/>
    <w:rsid w:val="00B450A7"/>
    <w:rsid w:val="00B57122"/>
    <w:rsid w:val="00BA38DB"/>
    <w:rsid w:val="00BA4064"/>
    <w:rsid w:val="00BB44DB"/>
    <w:rsid w:val="00BC4243"/>
    <w:rsid w:val="00BC4740"/>
    <w:rsid w:val="00BC7FBE"/>
    <w:rsid w:val="00BD57EF"/>
    <w:rsid w:val="00BE02BB"/>
    <w:rsid w:val="00BF3E07"/>
    <w:rsid w:val="00C0149C"/>
    <w:rsid w:val="00C129FD"/>
    <w:rsid w:val="00C231B0"/>
    <w:rsid w:val="00C33AC8"/>
    <w:rsid w:val="00C35954"/>
    <w:rsid w:val="00C35C91"/>
    <w:rsid w:val="00C76541"/>
    <w:rsid w:val="00C76551"/>
    <w:rsid w:val="00C775D8"/>
    <w:rsid w:val="00CA6A9B"/>
    <w:rsid w:val="00CB2E75"/>
    <w:rsid w:val="00CD2208"/>
    <w:rsid w:val="00CE0A77"/>
    <w:rsid w:val="00CE4BBE"/>
    <w:rsid w:val="00CF06C2"/>
    <w:rsid w:val="00D02446"/>
    <w:rsid w:val="00D17750"/>
    <w:rsid w:val="00D50469"/>
    <w:rsid w:val="00D50488"/>
    <w:rsid w:val="00D54A28"/>
    <w:rsid w:val="00D60CE3"/>
    <w:rsid w:val="00D7365C"/>
    <w:rsid w:val="00D85D74"/>
    <w:rsid w:val="00D86F1E"/>
    <w:rsid w:val="00DB257E"/>
    <w:rsid w:val="00DC7976"/>
    <w:rsid w:val="00DE633F"/>
    <w:rsid w:val="00DF5040"/>
    <w:rsid w:val="00E03322"/>
    <w:rsid w:val="00E04B37"/>
    <w:rsid w:val="00E10704"/>
    <w:rsid w:val="00E21B97"/>
    <w:rsid w:val="00E2251F"/>
    <w:rsid w:val="00E35B0D"/>
    <w:rsid w:val="00E44BA0"/>
    <w:rsid w:val="00E527A7"/>
    <w:rsid w:val="00E538AC"/>
    <w:rsid w:val="00E64ECE"/>
    <w:rsid w:val="00E802D8"/>
    <w:rsid w:val="00E82F8B"/>
    <w:rsid w:val="00E93F1D"/>
    <w:rsid w:val="00E9684A"/>
    <w:rsid w:val="00EA0E71"/>
    <w:rsid w:val="00EA5B85"/>
    <w:rsid w:val="00EA787A"/>
    <w:rsid w:val="00EA7ADF"/>
    <w:rsid w:val="00EB4082"/>
    <w:rsid w:val="00EB4682"/>
    <w:rsid w:val="00EB51EB"/>
    <w:rsid w:val="00EB7903"/>
    <w:rsid w:val="00EC7762"/>
    <w:rsid w:val="00ED619B"/>
    <w:rsid w:val="00EE4ABB"/>
    <w:rsid w:val="00EE6F38"/>
    <w:rsid w:val="00EF11AD"/>
    <w:rsid w:val="00F06880"/>
    <w:rsid w:val="00F139F2"/>
    <w:rsid w:val="00F17F18"/>
    <w:rsid w:val="00F2285D"/>
    <w:rsid w:val="00F2480E"/>
    <w:rsid w:val="00F32CD1"/>
    <w:rsid w:val="00F34272"/>
    <w:rsid w:val="00F54055"/>
    <w:rsid w:val="00F63D2B"/>
    <w:rsid w:val="00F6508F"/>
    <w:rsid w:val="00F73F5D"/>
    <w:rsid w:val="00F821D3"/>
    <w:rsid w:val="00F85B59"/>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aliases w:val="H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numId w:val="0"/>
      </w:numPr>
      <w:pBdr>
        <w:top w:val="none" w:sz="0" w:space="0" w:color="auto"/>
      </w:pBdr>
      <w:tabs>
        <w:tab w:val="left" w:pos="576"/>
      </w:tabs>
      <w:spacing w:before="180"/>
      <w:outlineLvl w:val="1"/>
    </w:pPr>
    <w:rPr>
      <w:sz w:val="32"/>
      <w:szCs w:val="32"/>
    </w:rPr>
  </w:style>
  <w:style w:type="paragraph" w:styleId="Heading3">
    <w:name w:val="heading 3"/>
    <w:aliases w:val="Underrubrik2,H3"/>
    <w:basedOn w:val="Heading2"/>
    <w:next w:val="Normal"/>
    <w:link w:val="Heading3Char"/>
    <w:qFormat/>
    <w:rsid w:val="005B140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qFormat/>
    <w:rsid w:val="005B1406"/>
    <w:pPr>
      <w:numPr>
        <w:ilvl w:val="7"/>
      </w:numPr>
      <w:outlineLvl w:val="7"/>
    </w:pPr>
  </w:style>
  <w:style w:type="paragraph" w:styleId="Heading9">
    <w:name w:val="heading 9"/>
    <w:basedOn w:val="Heading8"/>
    <w:next w:val="Normal"/>
    <w:link w:val="Heading9Char"/>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qFormat/>
    <w:rsid w:val="005B1406"/>
    <w:rPr>
      <w:rFonts w:ascii="Arial" w:eastAsia="Malgun Gothic" w:hAnsi="Arial" w:cs="Times New Roman"/>
      <w:sz w:val="32"/>
      <w:szCs w:val="32"/>
      <w:lang w:val="en-GB" w:eastAsia="en-GB"/>
    </w:rPr>
  </w:style>
  <w:style w:type="character" w:customStyle="1" w:styleId="Heading3Char">
    <w:name w:val="Heading 3 Char"/>
    <w:aliases w:val="Underrubrik2 Char,H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Reference">
    <w:name w:val="Reference"/>
    <w:basedOn w:val="BodyText"/>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Normal"/>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Normal"/>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BodyText">
    <w:name w:val="Body Text"/>
    <w:basedOn w:val="Normal"/>
    <w:link w:val="BodyTextChar"/>
    <w:uiPriority w:val="99"/>
    <w:semiHidden/>
    <w:unhideWhenUsed/>
    <w:rsid w:val="0081676B"/>
    <w:pPr>
      <w:spacing w:after="120"/>
    </w:pPr>
  </w:style>
  <w:style w:type="character" w:customStyle="1" w:styleId="BodyTextChar">
    <w:name w:val="Body Text Char"/>
    <w:basedOn w:val="DefaultParagraphFont"/>
    <w:link w:val="BodyText"/>
    <w:uiPriority w:val="99"/>
    <w:semiHidden/>
    <w:rsid w:val="0081676B"/>
  </w:style>
  <w:style w:type="paragraph" w:styleId="CommentSubject">
    <w:name w:val="annotation subject"/>
    <w:basedOn w:val="CommentText"/>
    <w:next w:val="CommentText"/>
    <w:link w:val="CommentSubjectChar"/>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List"/>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List">
    <w:name w:val="List"/>
    <w:basedOn w:val="Normal"/>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3E2B-3943-46E4-A0E4-C2F4DB38000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Jing Liang(vivo)</cp:lastModifiedBy>
  <cp:revision>3</cp:revision>
  <dcterms:created xsi:type="dcterms:W3CDTF">2025-03-20T09:43:00Z</dcterms:created>
  <dcterms:modified xsi:type="dcterms:W3CDTF">2025-03-20T09:46:00Z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