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B25518D"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77777777" w:rsidR="00505E15" w:rsidRDefault="00000000"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POST129][</w:t>
      </w:r>
      <w:proofErr w:type="gramStart"/>
      <w:r w:rsidR="00C1489D" w:rsidRPr="00C1489D">
        <w:rPr>
          <w:rFonts w:ascii="Arial" w:hAnsi="Arial"/>
          <w:b/>
          <w:sz w:val="24"/>
        </w:rPr>
        <w:t>103][</w:t>
      </w:r>
      <w:proofErr w:type="gramEnd"/>
      <w:r w:rsidR="00C1489D" w:rsidRPr="00C1489D">
        <w:rPr>
          <w:rFonts w:ascii="Arial" w:hAnsi="Arial"/>
          <w:b/>
          <w:sz w:val="24"/>
        </w:rPr>
        <w:t xml:space="preserve">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w:t>
      </w:r>
      <w:proofErr w:type="gramStart"/>
      <w:r w:rsidRPr="0030240D">
        <w:rPr>
          <w:lang w:val="fr-FR"/>
        </w:rPr>
        <w:t>103][</w:t>
      </w:r>
      <w:proofErr w:type="gramEnd"/>
      <w:r w:rsidRPr="0030240D">
        <w:rPr>
          <w:lang w:val="fr-FR"/>
        </w:rPr>
        <w:t>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lastRenderedPageBreak/>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lastRenderedPageBreak/>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 xml:space="preserve">RRC release message assisted intra-cell WUS can be discussed as option of </w:t>
      </w:r>
      <w:proofErr w:type="spellStart"/>
      <w:r w:rsidRPr="007C6E1E">
        <w:rPr>
          <w:highlight w:val="cyan"/>
        </w:rPr>
        <w:t>signaling</w:t>
      </w:r>
      <w:proofErr w:type="spellEnd"/>
      <w:r w:rsidRPr="007C6E1E">
        <w:rPr>
          <w:highlight w:val="cyan"/>
        </w:rPr>
        <w:t xml:space="preserve">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lastRenderedPageBreak/>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Legacy UEs bar the OD-SIB1 cell based on </w:t>
      </w:r>
      <w:proofErr w:type="spellStart"/>
      <w:r w:rsidRPr="008653A2">
        <w:rPr>
          <w:rFonts w:eastAsia="Calibri"/>
          <w:kern w:val="2"/>
          <w:highlight w:val="cyan"/>
          <w:lang w:val="en-US"/>
        </w:rPr>
        <w:t>cellBarred</w:t>
      </w:r>
      <w:proofErr w:type="spellEnd"/>
      <w:r w:rsidRPr="008653A2">
        <w:rPr>
          <w:rFonts w:eastAsia="Calibri"/>
          <w:kern w:val="2"/>
          <w:highlight w:val="cyan"/>
          <w:lang w:val="en-US"/>
        </w:rPr>
        <w:t xml:space="preserve">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Legacy UEs bar the OD-SIB1 cell based on no SIB1 indication via </w:t>
      </w:r>
      <w:proofErr w:type="spellStart"/>
      <w:r w:rsidRPr="008653A2">
        <w:rPr>
          <w:rFonts w:eastAsia="Calibri"/>
          <w:kern w:val="2"/>
          <w:highlight w:val="cyan"/>
          <w:lang w:val="en-US"/>
        </w:rPr>
        <w:t>ssb-SubcarrierOffset</w:t>
      </w:r>
      <w:proofErr w:type="spellEnd"/>
      <w:r w:rsidRPr="008653A2">
        <w:rPr>
          <w:rFonts w:eastAsia="Calibri"/>
          <w:kern w:val="2"/>
          <w:highlight w:val="cyan"/>
          <w:lang w:val="en-US"/>
        </w:rPr>
        <w:t xml:space="preserve">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 xml:space="preserve">The legacy UE behaviour can be reused upon on-demand SIB1 acquisition failure, i.e., the NES UE should follow the </w:t>
      </w:r>
      <w:proofErr w:type="spellStart"/>
      <w:r w:rsidRPr="007C6E1E">
        <w:rPr>
          <w:highlight w:val="cyan"/>
        </w:rPr>
        <w:t>intraFreqReselection</w:t>
      </w:r>
      <w:proofErr w:type="spellEnd"/>
      <w:r w:rsidRPr="007C6E1E">
        <w:rPr>
          <w:highlight w:val="cyan"/>
        </w:rPr>
        <w:t xml:space="preserve">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 xml:space="preserve">Legacy UEs bar the OD-SIB1 cell based on no SIB1 indication in MIB e.g. via </w:t>
      </w:r>
      <w:proofErr w:type="spellStart"/>
      <w:r w:rsidRPr="007C6E1E">
        <w:rPr>
          <w:highlight w:val="cyan"/>
        </w:rPr>
        <w:t>ssb-SubcarrierOffset</w:t>
      </w:r>
      <w:proofErr w:type="spellEnd"/>
      <w:r w:rsidRPr="007C6E1E">
        <w:rPr>
          <w:highlight w:val="cyan"/>
        </w:rPr>
        <w: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 xml:space="preserve">Let’s wait for more RAN1 progress on </w:t>
      </w:r>
      <w:proofErr w:type="spellStart"/>
      <w:r w:rsidRPr="007C6E1E">
        <w:rPr>
          <w:highlight w:val="cyan"/>
        </w:rPr>
        <w:t>Kssb</w:t>
      </w:r>
      <w:proofErr w:type="spellEnd"/>
      <w:r w:rsidRPr="007C6E1E">
        <w:rPr>
          <w:highlight w:val="cyan"/>
        </w:rPr>
        <w:t xml:space="preserve">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lastRenderedPageBreak/>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 xml:space="preserve">Introduce new </w:t>
      </w:r>
      <w:proofErr w:type="spellStart"/>
      <w:r w:rsidRPr="007C6E1E">
        <w:rPr>
          <w:highlight w:val="cyan"/>
        </w:rPr>
        <w:t>IntraFreqExcludedCellList</w:t>
      </w:r>
      <w:proofErr w:type="spellEnd"/>
      <w:r w:rsidRPr="007C6E1E">
        <w:rPr>
          <w:highlight w:val="cyan"/>
        </w:rPr>
        <w:t xml:space="preserve">-NES / </w:t>
      </w:r>
      <w:proofErr w:type="spellStart"/>
      <w:r w:rsidRPr="007C6E1E">
        <w:rPr>
          <w:highlight w:val="cyan"/>
        </w:rPr>
        <w:t>InterFreqExcludedCellList</w:t>
      </w:r>
      <w:proofErr w:type="spellEnd"/>
      <w:r w:rsidRPr="007C6E1E">
        <w:rPr>
          <w:highlight w:val="cyan"/>
        </w:rPr>
        <w: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w:t>
      </w:r>
      <w:proofErr w:type="spellStart"/>
      <w:r w:rsidRPr="00CD0308">
        <w:rPr>
          <w:highlight w:val="cyan"/>
        </w:rPr>
        <w:t>signaling</w:t>
      </w:r>
      <w:proofErr w:type="spellEnd"/>
      <w:r w:rsidRPr="00CD0308">
        <w:rPr>
          <w:highlight w:val="cyan"/>
        </w:rPr>
        <w:t xml:space="preserve">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proofErr w:type="gramStart"/>
      <w:r w:rsidRPr="005A02FF">
        <w:rPr>
          <w:highlight w:val="cyan"/>
        </w:rPr>
        <w:t>behavior</w:t>
      </w:r>
      <w:proofErr w:type="spellEnd"/>
      <w:proofErr w:type="gramEnd"/>
      <w:r w:rsidRPr="005A02FF">
        <w:rPr>
          <w:highlight w:val="cyan"/>
        </w:rPr>
        <w:t xml:space="preserve">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1: Prevent the access of legacy UE via </w:t>
      </w:r>
      <w:proofErr w:type="gramStart"/>
      <w:r w:rsidRPr="008653A2">
        <w:rPr>
          <w:rFonts w:eastAsia="Calibri"/>
          <w:kern w:val="2"/>
          <w:highlight w:val="cyan"/>
          <w:lang w:val="en-US"/>
        </w:rPr>
        <w:t>barring;</w:t>
      </w:r>
      <w:proofErr w:type="gramEnd"/>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lastRenderedPageBreak/>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 xml:space="preserve">R2 should aim at </w:t>
      </w:r>
      <w:proofErr w:type="spellStart"/>
      <w:r w:rsidRPr="007C6E1E">
        <w:rPr>
          <w:highlight w:val="cyan"/>
        </w:rPr>
        <w:t>signaling</w:t>
      </w:r>
      <w:proofErr w:type="spellEnd"/>
      <w:r w:rsidRPr="007C6E1E">
        <w:rPr>
          <w:highlight w:val="cyan"/>
        </w:rPr>
        <w:t xml:space="preserve">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lastRenderedPageBreak/>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3"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 xml:space="preserve">t least for the following parameter(s), multiple candidate values can be configured by </w:t>
      </w:r>
      <w:proofErr w:type="gramStart"/>
      <w:r w:rsidRPr="00553680">
        <w:rPr>
          <w:rFonts w:eastAsia="Malgun Gothic"/>
          <w:highlight w:val="yellow"/>
          <w:lang w:val="en-CA" w:eastAsia="ko-KR"/>
        </w:rPr>
        <w:t>RRC</w:t>
      </w:r>
      <w:proofErr w:type="gramEnd"/>
      <w:r w:rsidRPr="00553680">
        <w:rPr>
          <w:rFonts w:eastAsia="Malgun Gothic"/>
          <w:highlight w:val="yellow"/>
          <w:lang w:val="en-CA" w:eastAsia="ko-KR"/>
        </w:rPr>
        <w:t xml:space="preserve">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3"/>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OD-SIB1 and SSB follows the mapping rule between </w:t>
      </w:r>
      <w:proofErr w:type="spellStart"/>
      <w:r w:rsidRPr="00DA389E">
        <w:rPr>
          <w:rFonts w:ascii="Times" w:eastAsia="Cambria" w:hAnsi="Times" w:cs="Times"/>
          <w:i/>
          <w:iCs/>
          <w:highlight w:val="green"/>
          <w:lang w:val="en-CA"/>
        </w:rPr>
        <w:t>ra-PreambleStartIndex</w:t>
      </w:r>
      <w:proofErr w:type="spellEnd"/>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proofErr w:type="gramStart"/>
      <w:r w:rsidRPr="00DA389E">
        <w:rPr>
          <w:rFonts w:eastAsia="PMingLiU"/>
          <w:highlight w:val="cyan"/>
          <w:lang w:val="en-CA" w:eastAsia="zh-TW"/>
        </w:rPr>
        <w:t>For the purpose of</w:t>
      </w:r>
      <w:proofErr w:type="gramEnd"/>
      <w:r w:rsidRPr="00DA389E">
        <w:rPr>
          <w:rFonts w:eastAsia="PMingLiU"/>
          <w:highlight w:val="cyan"/>
          <w:lang w:val="en-CA" w:eastAsia="zh-TW"/>
        </w:rPr>
        <w:t xml:space="preserve">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 w:name="OLE_LINK47"/>
      <w:proofErr w:type="spellStart"/>
      <w:r w:rsidRPr="00DA389E">
        <w:rPr>
          <w:rFonts w:eastAsia="PMingLiU" w:cs="Times"/>
          <w:i/>
          <w:iCs/>
          <w:highlight w:val="cyan"/>
          <w:lang w:val="en-US" w:eastAsia="zh-TW"/>
        </w:rPr>
        <w:t>prach-RootSequenceIndex</w:t>
      </w:r>
      <w:bookmarkEnd w:id="4"/>
      <w:proofErr w:type="spellEnd"/>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w:t>
      </w:r>
      <w:proofErr w:type="spellStart"/>
      <w:r w:rsidRPr="00DA389E">
        <w:rPr>
          <w:rFonts w:eastAsia="PMingLiU"/>
          <w:highlight w:val="cyan"/>
          <w:lang w:val="en-CA" w:eastAsia="zh-TW"/>
        </w:rPr>
        <w:t>ConfigCommon</w:t>
      </w:r>
      <w:proofErr w:type="spellEnd"/>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lastRenderedPageBreak/>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 xml:space="preserve">Alt 2-6: Network configured </w:t>
      </w:r>
      <w:proofErr w:type="gramStart"/>
      <w:r w:rsidRPr="00E17063">
        <w:rPr>
          <w:rFonts w:ascii="Times" w:eastAsia="Cambria" w:hAnsi="Times" w:cs="Times"/>
          <w:lang w:val="en-CA"/>
        </w:rPr>
        <w:t>time period</w:t>
      </w:r>
      <w:proofErr w:type="gramEnd"/>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lastRenderedPageBreak/>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 xml:space="preserve">Mapping SS/PBCH block indexes to valid additional PRACH occasions provided by semi-static </w:t>
      </w:r>
      <w:proofErr w:type="spellStart"/>
      <w:r w:rsidRPr="008653A2">
        <w:rPr>
          <w:rFonts w:eastAsia="Aptos"/>
          <w:kern w:val="2"/>
          <w:lang w:val="en-US" w:eastAsia="x-none"/>
        </w:rPr>
        <w:t>signalling</w:t>
      </w:r>
      <w:proofErr w:type="spellEnd"/>
      <w:r w:rsidRPr="008653A2">
        <w:rPr>
          <w:rFonts w:eastAsia="Aptos"/>
          <w:kern w:val="2"/>
          <w:lang w:val="en-US" w:eastAsia="x-none"/>
        </w:rPr>
        <w:t xml:space="preserve">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E45C" w14:textId="77777777" w:rsidR="00F812DF" w:rsidRDefault="00F812DF">
      <w:r>
        <w:separator/>
      </w:r>
    </w:p>
  </w:endnote>
  <w:endnote w:type="continuationSeparator" w:id="0">
    <w:p w14:paraId="3CC6AC39" w14:textId="77777777" w:rsidR="00F812DF" w:rsidRDefault="00F8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C12E" w14:textId="77777777" w:rsidR="00F812DF" w:rsidRDefault="00F812DF">
      <w:r>
        <w:separator/>
      </w:r>
    </w:p>
  </w:footnote>
  <w:footnote w:type="continuationSeparator" w:id="0">
    <w:p w14:paraId="0B84B075" w14:textId="77777777" w:rsidR="00F812DF" w:rsidRDefault="00F8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32"/>
  </w:num>
  <w:num w:numId="2" w16cid:durableId="202013890">
    <w:abstractNumId w:val="2"/>
  </w:num>
  <w:num w:numId="3" w16cid:durableId="1636712894">
    <w:abstractNumId w:val="10"/>
  </w:num>
  <w:num w:numId="4" w16cid:durableId="1743522145">
    <w:abstractNumId w:val="30"/>
  </w:num>
  <w:num w:numId="5" w16cid:durableId="637493080">
    <w:abstractNumId w:val="21"/>
  </w:num>
  <w:num w:numId="6" w16cid:durableId="902716152">
    <w:abstractNumId w:val="18"/>
  </w:num>
  <w:num w:numId="7" w16cid:durableId="1164055478">
    <w:abstractNumId w:val="0"/>
  </w:num>
  <w:num w:numId="8" w16cid:durableId="1590119274">
    <w:abstractNumId w:val="19"/>
  </w:num>
  <w:num w:numId="9" w16cid:durableId="191041535">
    <w:abstractNumId w:val="21"/>
  </w:num>
  <w:num w:numId="10" w16cid:durableId="365645118">
    <w:abstractNumId w:val="14"/>
  </w:num>
  <w:num w:numId="11" w16cid:durableId="313729601">
    <w:abstractNumId w:val="31"/>
  </w:num>
  <w:num w:numId="12" w16cid:durableId="1568106901">
    <w:abstractNumId w:val="9"/>
  </w:num>
  <w:num w:numId="13" w16cid:durableId="1361667089">
    <w:abstractNumId w:val="25"/>
  </w:num>
  <w:num w:numId="14" w16cid:durableId="253100354">
    <w:abstractNumId w:val="21"/>
  </w:num>
  <w:num w:numId="15" w16cid:durableId="2126927565">
    <w:abstractNumId w:val="5"/>
  </w:num>
  <w:num w:numId="16" w16cid:durableId="1172725214">
    <w:abstractNumId w:val="4"/>
  </w:num>
  <w:num w:numId="17" w16cid:durableId="9228364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20"/>
  </w:num>
  <w:num w:numId="19" w16cid:durableId="684475929">
    <w:abstractNumId w:val="7"/>
  </w:num>
  <w:num w:numId="20" w16cid:durableId="368920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045521">
    <w:abstractNumId w:val="29"/>
  </w:num>
  <w:num w:numId="27" w16cid:durableId="1013649404">
    <w:abstractNumId w:val="23"/>
  </w:num>
  <w:num w:numId="28" w16cid:durableId="788160907">
    <w:abstractNumId w:val="6"/>
  </w:num>
  <w:num w:numId="29" w16cid:durableId="1537237406">
    <w:abstractNumId w:val="16"/>
  </w:num>
  <w:num w:numId="30" w16cid:durableId="160002948">
    <w:abstractNumId w:val="15"/>
  </w:num>
  <w:num w:numId="31" w16cid:durableId="1704553780">
    <w:abstractNumId w:val="24"/>
  </w:num>
  <w:num w:numId="32" w16cid:durableId="104352456">
    <w:abstractNumId w:val="27"/>
  </w:num>
  <w:num w:numId="33" w16cid:durableId="1980959578">
    <w:abstractNumId w:val="22"/>
  </w:num>
  <w:num w:numId="34" w16cid:durableId="1395545507">
    <w:abstractNumId w:val="13"/>
  </w:num>
  <w:num w:numId="35" w16cid:durableId="100289908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9593449D-CB2D-418D-B809-347072BD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9</Pages>
  <Words>3342</Words>
  <Characters>19053</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RAN2#129</cp:lastModifiedBy>
  <cp:revision>43</cp:revision>
  <dcterms:created xsi:type="dcterms:W3CDTF">2023-11-21T15:18:00Z</dcterms:created>
  <dcterms:modified xsi:type="dcterms:W3CDTF">2025-03-03T13:26:00Z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ies>
</file>