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[POST129][</w:t>
      </w:r>
      <w:proofErr w:type="gramStart"/>
      <w:r w:rsidRPr="00AD227B">
        <w:rPr>
          <w:rFonts w:ascii="Arial" w:eastAsia="MS Mincho" w:hAnsi="Arial"/>
          <w:b/>
          <w:szCs w:val="24"/>
          <w:lang w:eastAsia="en-GB"/>
        </w:rPr>
        <w:t>102][</w:t>
      </w:r>
      <w:proofErr w:type="gramEnd"/>
      <w:r w:rsidRPr="00AD227B">
        <w:rPr>
          <w:rFonts w:ascii="Arial" w:eastAsia="MS Mincho" w:hAnsi="Arial"/>
          <w:b/>
          <w:szCs w:val="24"/>
          <w:lang w:eastAsia="en-GB"/>
        </w:rPr>
        <w:t xml:space="preserve">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take into account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>are taken into account by best effort.</w:t>
      </w:r>
    </w:p>
    <w:p w14:paraId="02091DC5" w14:textId="77777777" w:rsidR="003A567E" w:rsidRDefault="003A567E" w:rsidP="003A567E">
      <w:pPr>
        <w:pStyle w:val="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hukun</w:t>
            </w:r>
            <w:proofErr w:type="spellEnd"/>
            <w:r>
              <w:rPr>
                <w:rFonts w:eastAsia="等线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等线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等线" w:hint="eastAsia"/>
                <w:lang w:eastAsia="zh-CN"/>
              </w:rPr>
              <w:t>Qianxi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等线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af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af1"/>
              <w:rPr>
                <w:rFonts w:eastAsia="等线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等线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proofErr w:type="spellStart"/>
            <w:r w:rsidRPr="00EF4276">
              <w:rPr>
                <w:rFonts w:eastAsia="等线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proofErr w:type="spellEnd"/>
            <w:r w:rsidRPr="00EF4276">
              <w:rPr>
                <w:rFonts w:eastAsia="等线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281" w:type="dxa"/>
          </w:tcPr>
          <w:p w14:paraId="2D7EF67B" w14:textId="04343254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37DF9C01" w14:textId="0629841C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等线"/>
                <w:bCs/>
                <w:lang w:val="en-US"/>
              </w:rPr>
              <w:t>these parameters</w:t>
            </w:r>
            <w:r>
              <w:rPr>
                <w:rFonts w:eastAsia="等线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4E01F26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宋体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04136FEF" w14:textId="4B2F5191" w:rsidR="00195A9A" w:rsidRPr="004E143D" w:rsidRDefault="00195A9A" w:rsidP="00195A9A">
            <w:pPr>
              <w:pStyle w:val="a0"/>
              <w:keepNext/>
              <w:rPr>
                <w:color w:val="4472C4" w:themeColor="accent1"/>
              </w:rPr>
            </w:pPr>
            <w:r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 xml:space="preserve">can be </w:t>
            </w:r>
            <w:r w:rsidRPr="00800448"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lastRenderedPageBreak/>
              <w:t xml:space="preserve">relocated 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8B9D978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宋体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3BB28A6D" w14:textId="77777777" w:rsidR="00195A9A" w:rsidRPr="00800448" w:rsidRDefault="00195A9A" w:rsidP="00195A9A">
            <w:pPr>
              <w:pStyle w:val="a0"/>
              <w:keepNext/>
              <w:rPr>
                <w:rFonts w:eastAsia="等线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>[OPPO] G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a0"/>
              <w:keepNext/>
              <w:rPr>
                <w:rFonts w:eastAsia="等线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等线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a0"/>
              <w:keepNext/>
              <w:rPr>
                <w:rFonts w:eastAsia="等线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等线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等线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5F4C7366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a0"/>
              <w:keepNext/>
              <w:rPr>
                <w:rFonts w:eastAsia="等线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等线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a0"/>
              <w:keepNext/>
              <w:rPr>
                <w:rFonts w:eastAsia="等线"/>
                <w:bCs/>
                <w:color w:val="FF0000"/>
              </w:rPr>
            </w:pPr>
            <w:r w:rsidRPr="00800448">
              <w:rPr>
                <w:rFonts w:eastAsia="等线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等线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等线"/>
                <w:bCs/>
                <w:color w:val="FF0000"/>
                <w:lang w:val="en-US"/>
              </w:rPr>
              <w:t>ss-PBCH-</w:t>
            </w:r>
            <w:proofErr w:type="spellStart"/>
            <w:r w:rsidRPr="00800448">
              <w:rPr>
                <w:rFonts w:eastAsia="等线"/>
                <w:bCs/>
                <w:color w:val="FF0000"/>
                <w:lang w:val="en-US"/>
              </w:rPr>
              <w:t>BlockPower</w:t>
            </w:r>
            <w:proofErr w:type="spellEnd"/>
            <w:r w:rsidRPr="00800448">
              <w:rPr>
                <w:rFonts w:eastAsia="等线"/>
                <w:bCs/>
                <w:color w:val="FF0000"/>
                <w:lang w:val="en-US"/>
              </w:rPr>
              <w:t xml:space="preserve"> </w:t>
            </w:r>
            <w:r w:rsidRPr="00800448">
              <w:rPr>
                <w:rFonts w:eastAsia="等线" w:hint="eastAsia"/>
                <w:bCs/>
                <w:color w:val="FF0000"/>
              </w:rPr>
              <w:t>are</w:t>
            </w:r>
            <w:r w:rsidRPr="00800448">
              <w:rPr>
                <w:rFonts w:eastAsia="等线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a0"/>
              <w:keepNext/>
              <w:rPr>
                <w:rFonts w:eastAsia="等线"/>
                <w:bCs/>
                <w:color w:val="FF0000"/>
              </w:rPr>
            </w:pPr>
            <w:proofErr w:type="spellStart"/>
            <w:r w:rsidRPr="00800448">
              <w:rPr>
                <w:rFonts w:eastAsia="等线"/>
                <w:bCs/>
                <w:color w:val="FF0000"/>
                <w:lang w:val="en-US"/>
              </w:rPr>
              <w:t>offsetToCarrier</w:t>
            </w:r>
            <w:proofErr w:type="spellEnd"/>
            <w:r w:rsidRPr="00800448">
              <w:rPr>
                <w:rFonts w:eastAsia="等线" w:hint="eastAsia"/>
                <w:bCs/>
                <w:color w:val="FF0000"/>
                <w:lang w:val="en-US"/>
              </w:rPr>
              <w:t xml:space="preserve">, </w:t>
            </w:r>
            <w:proofErr w:type="spellStart"/>
            <w:r w:rsidRPr="00800448">
              <w:rPr>
                <w:rFonts w:eastAsia="等线"/>
                <w:bCs/>
                <w:color w:val="FF0000"/>
                <w:lang w:val="en-US"/>
              </w:rPr>
              <w:t>absoluteFrequencyPointA</w:t>
            </w:r>
            <w:proofErr w:type="spellEnd"/>
            <w:r w:rsidRPr="00800448">
              <w:rPr>
                <w:rFonts w:eastAsia="等线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等线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等线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等线"/>
                <w:bCs/>
                <w:color w:val="FF0000"/>
              </w:rPr>
              <w:t xml:space="preserve"> per [</w:t>
            </w:r>
            <w:proofErr w:type="spellStart"/>
            <w:r w:rsidRPr="00800448">
              <w:rPr>
                <w:rFonts w:eastAsia="等线"/>
                <w:bCs/>
                <w:color w:val="FF0000"/>
              </w:rPr>
              <w:t>frequencyInfoUL</w:t>
            </w:r>
            <w:proofErr w:type="spellEnd"/>
            <w:r w:rsidRPr="00800448">
              <w:rPr>
                <w:rFonts w:eastAsia="等线"/>
                <w:bCs/>
                <w:color w:val="FF0000"/>
              </w:rPr>
              <w:t>]</w:t>
            </w:r>
          </w:p>
          <w:p w14:paraId="23918134" w14:textId="73739D9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 w:rsidRPr="00800448">
              <w:rPr>
                <w:rFonts w:eastAsia="等线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2016743F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lastRenderedPageBreak/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a0"/>
              <w:keepNext/>
              <w:rPr>
                <w:rFonts w:eastAsia="等线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 w:rsidRPr="00800448">
              <w:rPr>
                <w:rFonts w:eastAsia="等线" w:hint="eastAsia"/>
                <w:color w:val="FF0000"/>
              </w:rPr>
              <w:t xml:space="preserve">[OPPO] quite some </w:t>
            </w:r>
            <w:r w:rsidRPr="00800448">
              <w:rPr>
                <w:rFonts w:eastAsia="等线"/>
                <w:color w:val="FF0000"/>
              </w:rPr>
              <w:t>field</w:t>
            </w:r>
            <w:r w:rsidRPr="00800448">
              <w:rPr>
                <w:rFonts w:eastAsia="等线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51C58B5C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87491FF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1B11BA8E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281" w:type="dxa"/>
          </w:tcPr>
          <w:p w14:paraId="122EA80A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2BA6323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637A0669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281" w:type="dxa"/>
          </w:tcPr>
          <w:p w14:paraId="5B54DC09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4445A45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6D47DD6F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281" w:type="dxa"/>
          </w:tcPr>
          <w:p w14:paraId="7906D964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04EE4" w14:textId="77777777" w:rsidR="00067DDC" w:rsidRDefault="00067DDC">
      <w:pPr>
        <w:spacing w:after="0"/>
      </w:pPr>
      <w:r>
        <w:separator/>
      </w:r>
    </w:p>
  </w:endnote>
  <w:endnote w:type="continuationSeparator" w:id="0">
    <w:p w14:paraId="5DAA5371" w14:textId="77777777" w:rsidR="00067DDC" w:rsidRDefault="00067DDC">
      <w:pPr>
        <w:spacing w:after="0"/>
      </w:pPr>
      <w:r>
        <w:continuationSeparator/>
      </w:r>
    </w:p>
  </w:endnote>
  <w:endnote w:type="continuationNotice" w:id="1">
    <w:p w14:paraId="179EB068" w14:textId="77777777" w:rsidR="00067DDC" w:rsidRDefault="00067D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99DB" w14:textId="77777777" w:rsidR="00067DDC" w:rsidRDefault="00067DDC">
      <w:pPr>
        <w:spacing w:after="0"/>
      </w:pPr>
      <w:r>
        <w:separator/>
      </w:r>
    </w:p>
  </w:footnote>
  <w:footnote w:type="continuationSeparator" w:id="0">
    <w:p w14:paraId="7EE50397" w14:textId="77777777" w:rsidR="00067DDC" w:rsidRDefault="00067DDC">
      <w:pPr>
        <w:spacing w:after="0"/>
      </w:pPr>
      <w:r>
        <w:continuationSeparator/>
      </w:r>
    </w:p>
  </w:footnote>
  <w:footnote w:type="continuationNotice" w:id="1">
    <w:p w14:paraId="328B2D98" w14:textId="77777777" w:rsidR="00067DDC" w:rsidRDefault="00067D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745801548">
    <w:abstractNumId w:val="16"/>
  </w:num>
  <w:num w:numId="2" w16cid:durableId="1266763942">
    <w:abstractNumId w:val="13"/>
  </w:num>
  <w:num w:numId="3" w16cid:durableId="889998047">
    <w:abstractNumId w:val="18"/>
  </w:num>
  <w:num w:numId="4" w16cid:durableId="899562734">
    <w:abstractNumId w:val="25"/>
  </w:num>
  <w:num w:numId="5" w16cid:durableId="1704674243">
    <w:abstractNumId w:val="19"/>
  </w:num>
  <w:num w:numId="6" w16cid:durableId="1145315304">
    <w:abstractNumId w:val="4"/>
  </w:num>
  <w:num w:numId="7" w16cid:durableId="1830368012">
    <w:abstractNumId w:val="23"/>
  </w:num>
  <w:num w:numId="8" w16cid:durableId="1547985055">
    <w:abstractNumId w:val="24"/>
  </w:num>
  <w:num w:numId="9" w16cid:durableId="1611009872">
    <w:abstractNumId w:val="5"/>
  </w:num>
  <w:num w:numId="10" w16cid:durableId="966012115">
    <w:abstractNumId w:val="14"/>
  </w:num>
  <w:num w:numId="11" w16cid:durableId="1791971986">
    <w:abstractNumId w:val="7"/>
  </w:num>
  <w:num w:numId="12" w16cid:durableId="1451053650">
    <w:abstractNumId w:val="0"/>
  </w:num>
  <w:num w:numId="13" w16cid:durableId="599528200">
    <w:abstractNumId w:val="26"/>
  </w:num>
  <w:num w:numId="14" w16cid:durableId="1206333626">
    <w:abstractNumId w:val="22"/>
  </w:num>
  <w:num w:numId="15" w16cid:durableId="420030534">
    <w:abstractNumId w:val="9"/>
  </w:num>
  <w:num w:numId="16" w16cid:durableId="2051227458">
    <w:abstractNumId w:val="15"/>
  </w:num>
  <w:num w:numId="17" w16cid:durableId="434908388">
    <w:abstractNumId w:val="12"/>
  </w:num>
  <w:num w:numId="18" w16cid:durableId="2045865412">
    <w:abstractNumId w:val="21"/>
  </w:num>
  <w:num w:numId="19" w16cid:durableId="493378457">
    <w:abstractNumId w:val="2"/>
  </w:num>
  <w:num w:numId="20" w16cid:durableId="854996183">
    <w:abstractNumId w:val="6"/>
  </w:num>
  <w:num w:numId="21" w16cid:durableId="1403681594">
    <w:abstractNumId w:val="10"/>
  </w:num>
  <w:num w:numId="22" w16cid:durableId="2134665512">
    <w:abstractNumId w:val="20"/>
  </w:num>
  <w:num w:numId="23" w16cid:durableId="1446465834">
    <w:abstractNumId w:val="17"/>
  </w:num>
  <w:num w:numId="24" w16cid:durableId="1533302399">
    <w:abstractNumId w:val="8"/>
  </w:num>
  <w:num w:numId="25" w16cid:durableId="926303756">
    <w:abstractNumId w:val="11"/>
  </w:num>
  <w:num w:numId="26" w16cid:durableId="1859082304">
    <w:abstractNumId w:val="1"/>
  </w:num>
  <w:num w:numId="27" w16cid:durableId="9959128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6CC6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B0E4C"/>
    <w:rsid w:val="006B0E6F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3617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FC4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143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276"/>
    <w:rsid w:val="00EF44A1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docId w15:val="{DDDAF76B-9ACF-4185-856E-2C21E9C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971B0F"/>
  </w:style>
  <w:style w:type="character" w:customStyle="1" w:styleId="af2">
    <w:name w:val="批注文字 字符"/>
    <w:basedOn w:val="a1"/>
    <w:link w:val="af1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a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2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31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22">
    <w:name w:val="List 2"/>
    <w:basedOn w:val="a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195A9A"/>
    <w:pPr>
      <w:ind w:leftChars="4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OPPO (Qianxi Lu)</cp:lastModifiedBy>
  <cp:revision>2</cp:revision>
  <dcterms:created xsi:type="dcterms:W3CDTF">2025-03-10T11:33:00Z</dcterms:created>
  <dcterms:modified xsi:type="dcterms:W3CDTF">2025-03-10T11:33:00Z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</Properties>
</file>