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77777777" w:rsidR="00BA47C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>
        <w:rPr>
          <w:rFonts w:ascii="Arial" w:eastAsia="MS Mincho" w:hAnsi="Arial" w:hint="eastAsia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>_R2-24xxxxx</w:t>
      </w:r>
    </w:p>
    <w:p w14:paraId="001615F3" w14:textId="77777777" w:rsidR="00BA47CD" w:rsidRDefault="00480789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LS on Satellite IDs for store-and-forward operation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17DE30C8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discussed how an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UE capable of store-and-forward operation uses the MME-configured satellite ID list in the access stratum, and achieved the following understanding:</w:t>
      </w:r>
    </w:p>
    <w:p w14:paraId="42022400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: the UE configured with a satellite ID list by MME is not prevented to camp on a satellite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(i.e. with feeder-link connection), and perform subsequent access and data/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signalling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communication with that satellite.</w:t>
      </w:r>
    </w:p>
    <w:p w14:paraId="672BE871" w14:textId="77777777" w:rsidR="00BA47CD" w:rsidRDefault="00480789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Understanding 2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the UE configured with a satellite ID list by MME is not prevented to camp on, attempt to access to and communicate with a satellite which is not included in the MME-configured satellite list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1A812C17" w14:textId="5CAD3294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7"/>
      <w:commentRangeStart w:id="8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RAN2 would like request SA2 to provide feedback on whether above Understanding 2</w:t>
      </w:r>
      <w:del w:id="9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 is correct</w:delText>
        </w:r>
        <w:commentRangeEnd w:id="7"/>
        <w:r w:rsidR="005221D5" w:rsidDel="00A57ABA">
          <w:rPr>
            <w:rStyle w:val="af7"/>
          </w:rPr>
          <w:commentReference w:id="7"/>
        </w:r>
        <w:commentRangeEnd w:id="8"/>
        <w:r w:rsidR="00A57ABA" w:rsidDel="00A57ABA">
          <w:rPr>
            <w:rStyle w:val="af7"/>
          </w:rPr>
          <w:commentReference w:id="8"/>
        </w:r>
      </w:del>
      <w:ins w:id="11" w:author="CATT (Xiao)_简化" w:date="2024-11-27T10:01:00Z">
        <w:r w:rsidR="003762D4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 xml:space="preserve"> </w:t>
        </w:r>
      </w:ins>
      <w:ins w:id="12" w:author="CATT (Xiao)_v02" w:date="2024-11-27T10:23:00Z">
        <w:r w:rsidR="00A57ABA">
          <w:rPr>
            <w:rFonts w:ascii="Arial" w:eastAsia="DengXian" w:hAnsi="Arial" w:cs="Arial" w:hint="eastAsia"/>
            <w:kern w:val="2"/>
            <w:lang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8853D8D" w14:textId="77777777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Also, RAN2 would like to respectfully ask below question to SA2:</w:t>
      </w:r>
    </w:p>
    <w:p w14:paraId="5A974A33" w14:textId="77777777" w:rsidR="00BA47CD" w:rsidRDefault="00480789">
      <w:pPr>
        <w:widowControl w:val="0"/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u w:val="single"/>
          <w:lang w:val="en-US" w:eastAsia="zh-CN"/>
          <w14:ligatures w14:val="standardContextual"/>
        </w:rPr>
        <w:t>Question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 What does it mean if a satellite is included in the satellite list configured by the MME to a UE, e.g. whether it means:</w:t>
      </w:r>
    </w:p>
    <w:p w14:paraId="790669A8" w14:textId="75010881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1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 satellite has the UE context but does not necessarily support store-and-forward operation, or</w:t>
      </w:r>
    </w:p>
    <w:p w14:paraId="061037CA" w14:textId="77777777" w:rsidR="00BA47CD" w:rsidRDefault="00480789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proofErr w:type="gram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the</w:t>
      </w:r>
      <w:proofErr w:type="gram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satellite has the UE context and must support S&amp;F mode (but may be currently operating in normal </w:t>
      </w:r>
      <w:proofErr w:type="spellStart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NTN mode or in store-and-forward mode)?</w:t>
      </w:r>
    </w:p>
    <w:p w14:paraId="3738E745" w14:textId="43B03BDE" w:rsidR="00BA47CD" w:rsidRDefault="00480789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Note that with above 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“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e.g.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”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RAN2 does not imply that the answer has to be exactly the same as one of the examples listed above.  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7777777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To </w:t>
      </w:r>
      <w:r>
        <w:rPr>
          <w:rFonts w:ascii="Arial" w:eastAsia="DengXian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2D81B94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commentRangeStart w:id="13"/>
      <w:commentRangeStart w:id="14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SA2 to provide feedback on whether above Understanding 2 </w:t>
      </w:r>
      <w:del w:id="15" w:author="CATT (Xiao)_v02" w:date="2024-11-27T10:23:00Z"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delText xml:space="preserve">is </w:delText>
        </w:r>
        <w:r w:rsidDel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lastRenderedPageBreak/>
          <w:delText>correct</w:delText>
        </w:r>
        <w:commentRangeEnd w:id="13"/>
        <w:r w:rsidR="00663FE1" w:rsidDel="00A57ABA">
          <w:rPr>
            <w:rStyle w:val="af7"/>
          </w:rPr>
          <w:commentReference w:id="13"/>
        </w:r>
      </w:del>
      <w:commentRangeEnd w:id="14"/>
      <w:r w:rsidR="00FA7A86">
        <w:rPr>
          <w:rStyle w:val="af7"/>
        </w:rPr>
        <w:commentReference w:id="14"/>
      </w:r>
      <w:ins w:id="16" w:author="CATT (Xiao)_v02" w:date="2024-11-27T10:23:00Z">
        <w:r w:rsidR="00A57ABA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>can be confirmed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provide </w:t>
      </w:r>
      <w:ins w:id="17" w:author="CATT (Xiao)_v02" w:date="2024-11-27T10:28:00Z">
        <w:r w:rsidR="00642763">
          <w:rPr>
            <w:rFonts w:ascii="Arial" w:eastAsia="DengXian" w:hAnsi="Arial" w:cs="Arial" w:hint="eastAsia"/>
            <w:kern w:val="2"/>
            <w:lang w:val="en-US" w:eastAsia="zh-CN"/>
            <w14:ligatures w14:val="standardContextual"/>
          </w:rPr>
          <w:t xml:space="preserve">an </w:t>
        </w:r>
      </w:ins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answer to the Question above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68975F64" w14:textId="77777777" w:rsidR="00BA47CD" w:rsidRDefault="0048078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="DengXian" w:hAnsi="Arial" w:cs="Arial" w:hint="eastAsia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="宋体" w:hAnsi="Arial" w:cs="Arial" w:hint="eastAsia"/>
          <w:bCs/>
          <w:lang w:eastAsia="zh-CN"/>
        </w:rPr>
        <w:t>GR</w:t>
      </w:r>
    </w:p>
    <w:p w14:paraId="12337EC9" w14:textId="77777777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="DengXian" w:hAnsi="Arial" w:cs="Arial" w:hint="eastAsia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0</w:t>
      </w:r>
      <w:r>
        <w:rPr>
          <w:rFonts w:ascii="Arial" w:eastAsia="DengXian" w:hAnsi="Arial" w:cs="Arial"/>
          <w:lang w:eastAsia="zh-CN"/>
        </w:rPr>
        <w:t>7 - 2025-0</w:t>
      </w:r>
      <w:r>
        <w:rPr>
          <w:rFonts w:ascii="Arial" w:eastAsia="DengXian" w:hAnsi="Arial" w:cs="Arial" w:hint="eastAsia"/>
          <w:lang w:eastAsia="zh-CN"/>
        </w:rPr>
        <w:t>4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1 </w:t>
      </w:r>
      <w:r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 w:hint="eastAsia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="宋体" w:hAnsi="Arial" w:cs="Arial" w:hint="eastAsia"/>
          <w:lang w:eastAsia="zh-CN"/>
        </w:rPr>
        <w:t>CN</w:t>
      </w:r>
    </w:p>
    <w:sectPr w:rsidR="00BA47CD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Google (Ming-Hung)" w:date="2024-11-26T16:10:00Z" w:initials="MH">
    <w:p w14:paraId="2522F3C0" w14:textId="5614B9E6" w:rsidR="005221D5" w:rsidRDefault="005221D5">
      <w:pPr>
        <w:pStyle w:val="a8"/>
      </w:pPr>
      <w:r>
        <w:t xml:space="preserve">From RAN2 perspective, these two understandings are absolutely </w:t>
      </w:r>
      <w:r w:rsidR="004414F0">
        <w:t>correct</w:t>
      </w:r>
      <w:r>
        <w:t xml:space="preserve"> and hence we suggest to use the following statement</w:t>
      </w:r>
      <w:r w:rsidR="004414F0">
        <w:t xml:space="preserve"> instead</w:t>
      </w:r>
      <w:r>
        <w:t>: “</w:t>
      </w:r>
      <w:r w:rsidRPr="00663FE1">
        <w:rPr>
          <w:rStyle w:val="af7"/>
          <w:b/>
        </w:rPr>
        <w:annotationRef/>
      </w:r>
      <w:r w:rsidR="00663FE1" w:rsidRPr="00663FE1">
        <w:rPr>
          <w:b/>
        </w:rPr>
        <w:t>RAN2 would appreciate it if SA2 could review the above understandings and provide any necessary feedback.</w:t>
      </w:r>
      <w:r>
        <w:t xml:space="preserve">” </w:t>
      </w:r>
    </w:p>
  </w:comment>
  <w:comment w:id="8" w:author="CATT (Xiao)_v02" w:date="2024-11-27T10:29:00Z" w:initials="CATT_Xiao">
    <w:p w14:paraId="63D5DDF2" w14:textId="77777777" w:rsidR="00A57ABA" w:rsidRDefault="00A57ABA">
      <w:pPr>
        <w:pStyle w:val="a8"/>
        <w:rPr>
          <w:rFonts w:eastAsia="宋体"/>
          <w:lang w:eastAsia="zh-CN"/>
        </w:rPr>
      </w:pPr>
      <w:r>
        <w:rPr>
          <w:rStyle w:val="af7"/>
        </w:rPr>
        <w:annotationRef/>
      </w:r>
    </w:p>
    <w:p w14:paraId="1A3A0324" w14:textId="23B8D5DF" w:rsidR="00A57ABA" w:rsidRDefault="00A57ABA">
      <w:pPr>
        <w:pStyle w:val="a8"/>
      </w:pPr>
      <w:r w:rsidRPr="00A57ABA">
        <w:rPr>
          <w:rFonts w:eastAsia="宋体" w:hint="eastAsia"/>
          <w:color w:val="0000FF"/>
          <w:lang w:eastAsia="zh-CN"/>
        </w:rPr>
        <w:t xml:space="preserve">[Xiao_v02] </w:t>
      </w:r>
      <w:r w:rsidR="003318F7">
        <w:rPr>
          <w:rFonts w:eastAsia="宋体" w:hint="eastAsia"/>
          <w:lang w:eastAsia="zh-CN"/>
        </w:rPr>
        <w:t>RAN2</w:t>
      </w:r>
      <w:r>
        <w:rPr>
          <w:rFonts w:eastAsia="宋体" w:hint="eastAsia"/>
          <w:lang w:eastAsia="zh-CN"/>
        </w:rPr>
        <w:t xml:space="preserve"> only agreed to ask </w:t>
      </w:r>
      <w:r w:rsidR="003318F7">
        <w:rPr>
          <w:rFonts w:eastAsia="宋体" w:hint="eastAsia"/>
          <w:lang w:eastAsia="zh-CN"/>
        </w:rPr>
        <w:t xml:space="preserve">for </w:t>
      </w:r>
      <w:r>
        <w:rPr>
          <w:rFonts w:eastAsia="宋体"/>
          <w:lang w:eastAsia="zh-CN"/>
        </w:rPr>
        <w:t>feedback</w:t>
      </w:r>
      <w:r>
        <w:rPr>
          <w:rFonts w:eastAsia="宋体" w:hint="eastAsia"/>
          <w:lang w:eastAsia="zh-CN"/>
        </w:rPr>
        <w:t xml:space="preserve"> </w:t>
      </w:r>
      <w:r w:rsidR="003318F7">
        <w:rPr>
          <w:rFonts w:eastAsia="宋体" w:hint="eastAsia"/>
          <w:lang w:eastAsia="zh-CN"/>
        </w:rPr>
        <w:t xml:space="preserve">on </w:t>
      </w:r>
      <w:r>
        <w:rPr>
          <w:rFonts w:eastAsia="宋体" w:hint="eastAsia"/>
          <w:lang w:eastAsia="zh-CN"/>
        </w:rPr>
        <w:t>Understanding 2, but not Understanding 1. For Understan</w:t>
      </w:r>
      <w:r w:rsidR="00FA7A86">
        <w:rPr>
          <w:rFonts w:eastAsia="宋体" w:hint="eastAsia"/>
          <w:lang w:eastAsia="zh-CN"/>
        </w:rPr>
        <w:t>ding 2, I know Google's comment</w:t>
      </w:r>
      <w:r>
        <w:rPr>
          <w:rFonts w:eastAsia="宋体" w:hint="eastAsia"/>
          <w:lang w:eastAsia="zh-CN"/>
        </w:rPr>
        <w:t xml:space="preserve"> online was no need for feedback. But I guess some companies still </w:t>
      </w:r>
      <w:r w:rsidR="00FA7A86">
        <w:rPr>
          <w:rFonts w:eastAsia="宋体" w:hint="eastAsia"/>
          <w:lang w:eastAsia="zh-CN"/>
        </w:rPr>
        <w:t xml:space="preserve">considered </w:t>
      </w:r>
      <w:r w:rsidR="00391FEF">
        <w:rPr>
          <w:rFonts w:eastAsia="宋体" w:hint="eastAsia"/>
          <w:lang w:eastAsia="zh-CN"/>
        </w:rPr>
        <w:t xml:space="preserve">that a </w:t>
      </w:r>
      <w:r>
        <w:rPr>
          <w:rFonts w:eastAsia="宋体" w:hint="eastAsia"/>
          <w:lang w:eastAsia="zh-CN"/>
        </w:rPr>
        <w:t>confirmation from SA2 is safer, which is th</w:t>
      </w:r>
      <w:bookmarkStart w:id="10" w:name="_GoBack"/>
      <w:bookmarkEnd w:id="10"/>
      <w:r>
        <w:rPr>
          <w:rFonts w:eastAsia="宋体" w:hint="eastAsia"/>
          <w:lang w:eastAsia="zh-CN"/>
        </w:rPr>
        <w:t>e reason why we agree</w:t>
      </w:r>
      <w:r w:rsidR="00391FEF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 xml:space="preserve"> to ask SA2 for feedback. </w:t>
      </w:r>
      <w:r w:rsidR="00391FEF">
        <w:rPr>
          <w:rFonts w:eastAsia="宋体" w:hint="eastAsia"/>
          <w:lang w:eastAsia="zh-CN"/>
        </w:rPr>
        <w:t xml:space="preserve">To address </w:t>
      </w:r>
      <w:r w:rsidR="00F658B5">
        <w:rPr>
          <w:rFonts w:eastAsia="宋体" w:hint="eastAsia"/>
          <w:lang w:eastAsia="zh-CN"/>
        </w:rPr>
        <w:t xml:space="preserve">Google's </w:t>
      </w:r>
      <w:r w:rsidR="00391FEF">
        <w:rPr>
          <w:rFonts w:eastAsia="宋体" w:hint="eastAsia"/>
          <w:lang w:eastAsia="zh-CN"/>
        </w:rPr>
        <w:t>concern on "</w:t>
      </w:r>
      <w:r w:rsidR="00F658B5">
        <w:rPr>
          <w:rFonts w:eastAsia="宋体" w:hint="eastAsia"/>
          <w:lang w:eastAsia="zh-CN"/>
        </w:rPr>
        <w:t>no need to confirm</w:t>
      </w:r>
      <w:r w:rsidR="00391FEF">
        <w:rPr>
          <w:rFonts w:eastAsia="宋体" w:hint="eastAsia"/>
          <w:lang w:eastAsia="zh-CN"/>
        </w:rPr>
        <w:t xml:space="preserve"> </w:t>
      </w:r>
      <w:r w:rsidR="00F658B5">
        <w:rPr>
          <w:rFonts w:eastAsia="宋体" w:hint="eastAsia"/>
          <w:lang w:eastAsia="zh-CN"/>
        </w:rPr>
        <w:t>'</w:t>
      </w:r>
      <w:r w:rsidR="00391FEF">
        <w:rPr>
          <w:rFonts w:eastAsia="宋体" w:hint="eastAsia"/>
          <w:lang w:eastAsia="zh-CN"/>
        </w:rPr>
        <w:t>correctness</w:t>
      </w:r>
      <w:r w:rsidR="00F658B5">
        <w:rPr>
          <w:rFonts w:eastAsia="宋体" w:hint="eastAsia"/>
          <w:lang w:eastAsia="zh-CN"/>
        </w:rPr>
        <w:t>' itself</w:t>
      </w:r>
      <w:r w:rsidR="00391FEF">
        <w:rPr>
          <w:rFonts w:eastAsia="宋体" w:hint="eastAsia"/>
          <w:lang w:eastAsia="zh-CN"/>
        </w:rPr>
        <w:t xml:space="preserve">", </w:t>
      </w:r>
      <w:r>
        <w:rPr>
          <w:rFonts w:eastAsia="宋体" w:hint="eastAsia"/>
          <w:lang w:eastAsia="zh-CN"/>
        </w:rPr>
        <w:t>I changed the wording accordingly.</w:t>
      </w:r>
    </w:p>
  </w:comment>
  <w:comment w:id="13" w:author="Google (Ming-Hung)" w:date="2024-11-26T16:28:00Z" w:initials="MH">
    <w:p w14:paraId="242A306B" w14:textId="2C6AAF38" w:rsidR="00663FE1" w:rsidRDefault="00663FE1">
      <w:pPr>
        <w:pStyle w:val="a8"/>
      </w:pPr>
      <w:r>
        <w:rPr>
          <w:rStyle w:val="af7"/>
        </w:rPr>
        <w:annotationRef/>
      </w:r>
      <w:r>
        <w:t>Same comment as above, we suggest to replace the ACTION with: “</w:t>
      </w:r>
      <w:r w:rsidRPr="00663FE1">
        <w:rPr>
          <w:b/>
        </w:rPr>
        <w:t>RAN2 respectfully asks SA2 to provide any necessary feedback on Understanding 1 and Understanding 2 and provide answer to the Question above.</w:t>
      </w:r>
      <w:r>
        <w:t>”</w:t>
      </w:r>
    </w:p>
  </w:comment>
  <w:comment w:id="14" w:author="CATT (Xiao)_v02" w:date="2024-11-27T10:24:00Z" w:initials="CATT_Xiao">
    <w:p w14:paraId="09CD420B" w14:textId="77777777" w:rsidR="00FA7A86" w:rsidRDefault="00FA7A86">
      <w:pPr>
        <w:pStyle w:val="a8"/>
        <w:rPr>
          <w:rFonts w:eastAsia="宋体"/>
          <w:color w:val="0000FF"/>
          <w:lang w:eastAsia="zh-CN"/>
        </w:rPr>
      </w:pPr>
      <w:r>
        <w:rPr>
          <w:rStyle w:val="af7"/>
        </w:rPr>
        <w:annotationRef/>
      </w:r>
    </w:p>
    <w:p w14:paraId="39D15CAF" w14:textId="40022DFB" w:rsidR="00FA7A86" w:rsidRDefault="00FA7A86">
      <w:pPr>
        <w:pStyle w:val="a8"/>
      </w:pPr>
      <w:r w:rsidRPr="00A57ABA">
        <w:rPr>
          <w:rFonts w:eastAsia="宋体" w:hint="eastAsia"/>
          <w:color w:val="0000FF"/>
          <w:lang w:eastAsia="zh-CN"/>
        </w:rPr>
        <w:t xml:space="preserve">[Xiao_v02] </w:t>
      </w:r>
      <w:r>
        <w:rPr>
          <w:rFonts w:eastAsia="宋体" w:hint="eastAsia"/>
          <w:lang w:eastAsia="zh-CN"/>
        </w:rPr>
        <w:t>Same reply.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2F3C0" w15:done="0"/>
  <w15:commentEx w15:paraId="242A306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F5C8" w14:textId="77777777" w:rsidR="00D91D43" w:rsidRDefault="00D91D43">
      <w:pPr>
        <w:spacing w:after="0"/>
      </w:pPr>
      <w:r>
        <w:separator/>
      </w:r>
    </w:p>
  </w:endnote>
  <w:endnote w:type="continuationSeparator" w:id="0">
    <w:p w14:paraId="7935CD5E" w14:textId="77777777" w:rsidR="00D91D43" w:rsidRDefault="00D91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DengXian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BDA6F" w14:textId="77777777" w:rsidR="00D91D43" w:rsidRDefault="00D91D43">
      <w:pPr>
        <w:spacing w:after="0"/>
      </w:pPr>
      <w:r>
        <w:separator/>
      </w:r>
    </w:p>
  </w:footnote>
  <w:footnote w:type="continuationSeparator" w:id="0">
    <w:p w14:paraId="7E257C6C" w14:textId="77777777" w:rsidR="00D91D43" w:rsidRDefault="00D91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Ming-Hung)">
    <w15:presenceInfo w15:providerId="None" w15:userId="Google (Ming-Hung)"/>
  </w15:person>
  <w15:person w15:author="CATT (Xiao)_v00">
    <w15:presenceInfo w15:providerId="None" w15:userId="CATT (Xiao)_v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18F7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14F0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4E0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0684"/>
    <w:rsid w:val="00CB30DA"/>
    <w:rsid w:val="00CB780A"/>
    <w:rsid w:val="00CC1472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91D43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A86"/>
    <w:rsid w:val="00FB2469"/>
    <w:rsid w:val="00FB6386"/>
    <w:rsid w:val="00FB68E2"/>
    <w:rsid w:val="00FB6F05"/>
    <w:rsid w:val="00FC241C"/>
    <w:rsid w:val="00FE671E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4C25-08AD-40DA-8A4C-C0AFF9F9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(Xiao)_v02</cp:lastModifiedBy>
  <cp:revision>5</cp:revision>
  <cp:lastPrinted>1900-12-31T16:00:00Z</cp:lastPrinted>
  <dcterms:created xsi:type="dcterms:W3CDTF">2024-11-27T02:08:00Z</dcterms:created>
  <dcterms:modified xsi:type="dcterms:W3CDTF">2024-11-27T02:30:00Z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