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w:t>
      </w:r>
      <w:proofErr w:type="gramStart"/>
      <w:r w:rsidR="00894263" w:rsidRPr="00894263">
        <w:rPr>
          <w:rFonts w:ascii="Arial" w:eastAsia="MS Mincho" w:hAnsi="Arial" w:cs="Arial"/>
          <w:b/>
          <w:sz w:val="24"/>
          <w:szCs w:val="24"/>
          <w:lang w:eastAsia="en-US"/>
        </w:rPr>
        <w:t>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w:t>
      </w:r>
      <w:proofErr w:type="gramStart"/>
      <w:r w:rsidRPr="006856D8">
        <w:rPr>
          <w:rFonts w:ascii="Arial" w:eastAsia="MS Mincho" w:hAnsi="Arial" w:cs="Arial"/>
          <w:b/>
          <w:szCs w:val="24"/>
          <w:lang w:val="en-US" w:eastAsia="zh-CN"/>
        </w:rPr>
        <w:t>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w:t>
      </w:r>
      <w:proofErr w:type="gramEnd"/>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lang w:eastAsia="zh-CN"/>
              </w:rPr>
            </w:pPr>
            <w:r>
              <w:rPr>
                <w:rFonts w:eastAsia="等线"/>
                <w:lang w:eastAsia="zh-CN"/>
              </w:rPr>
              <w:t>MediaTek</w:t>
            </w:r>
          </w:p>
        </w:tc>
        <w:tc>
          <w:tcPr>
            <w:tcW w:w="1843" w:type="dxa"/>
          </w:tcPr>
          <w:p w14:paraId="48793AF9" w14:textId="060D169D" w:rsidR="0032774A" w:rsidRDefault="0032774A" w:rsidP="002F4255">
            <w:pPr>
              <w:rPr>
                <w:rFonts w:eastAsia="等线"/>
                <w:lang w:eastAsia="zh-CN"/>
              </w:rPr>
            </w:pPr>
            <w:r>
              <w:rPr>
                <w:rFonts w:eastAsia="等线"/>
                <w:lang w:eastAsia="zh-CN"/>
              </w:rPr>
              <w:t>Xiaonan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w:t>
      </w:r>
      <w:proofErr w:type="gramStart"/>
      <w:r>
        <w:rPr>
          <w:lang w:eastAsia="zh-CN"/>
        </w:rPr>
        <w:t>e.g.</w:t>
      </w:r>
      <w:proofErr w:type="gramEnd"/>
      <w:r>
        <w:rPr>
          <w:lang w:eastAsia="zh-CN"/>
        </w:rPr>
        <w:t xml:space="preserve">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lastRenderedPageBreak/>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343"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5645D9">
        <w:tc>
          <w:tcPr>
            <w:tcW w:w="1305"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850"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343" w:type="dxa"/>
          </w:tcPr>
          <w:p w14:paraId="3705FBA3" w14:textId="67B86983" w:rsidR="0032774A" w:rsidRPr="0032774A" w:rsidRDefault="0032774A" w:rsidP="0032774A">
            <w:pPr>
              <w:pStyle w:val="afa"/>
              <w:ind w:firstLineChars="0" w:firstLine="0"/>
              <w:rPr>
                <w:rFonts w:eastAsia="等线"/>
                <w:iCs/>
                <w:lang w:eastAsia="zh-CN"/>
              </w:rPr>
            </w:pPr>
            <w:r>
              <w:rPr>
                <w:rFonts w:eastAsia="等线"/>
                <w:iCs/>
                <w:lang w:eastAsia="zh-CN"/>
              </w:rPr>
              <w:t xml:space="preserve">Agree that </w:t>
            </w:r>
            <w:r w:rsidRPr="0032774A">
              <w:rPr>
                <w:rFonts w:eastAsia="等线"/>
                <w:iCs/>
                <w:lang w:eastAsia="zh-CN"/>
              </w:rPr>
              <w:t>LTM in specification</w:t>
            </w:r>
            <w:r>
              <w:rPr>
                <w:rFonts w:eastAsia="等线"/>
                <w:iCs/>
                <w:lang w:eastAsia="zh-CN"/>
              </w:rPr>
              <w:t xml:space="preserve"> can represent</w:t>
            </w:r>
            <w:r w:rsidRPr="0032774A">
              <w:rPr>
                <w:rFonts w:eastAsia="等线"/>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afa"/>
              <w:ind w:firstLineChars="0" w:firstLine="0"/>
              <w:rPr>
                <w:rFonts w:eastAsia="等线"/>
                <w:iCs/>
                <w:lang w:eastAsia="zh-CN"/>
              </w:rPr>
            </w:pPr>
            <w:r>
              <w:rPr>
                <w:rFonts w:eastAsia="等线"/>
                <w:iCs/>
                <w:lang w:eastAsia="zh-CN"/>
              </w:rPr>
              <w:t>The same rule can be applied to stage-2 spec.</w:t>
            </w:r>
          </w:p>
        </w:tc>
      </w:tr>
      <w:tr w:rsidR="003F03F3" w14:paraId="3B1959CF" w14:textId="77777777" w:rsidTr="005645D9">
        <w:tc>
          <w:tcPr>
            <w:tcW w:w="1305" w:type="dxa"/>
          </w:tcPr>
          <w:p w14:paraId="77AB4601" w14:textId="2D1EC3D6" w:rsidR="003F03F3" w:rsidRDefault="003F03F3"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00A98AD4" w14:textId="5CC48BAB" w:rsidR="003F03F3" w:rsidRDefault="003F03F3" w:rsidP="005645D9">
            <w:pPr>
              <w:jc w:val="center"/>
              <w:rPr>
                <w:rFonts w:eastAsia="等线"/>
                <w:lang w:eastAsia="zh-CN"/>
              </w:rPr>
            </w:pPr>
            <w:r>
              <w:rPr>
                <w:rFonts w:eastAsia="等线"/>
                <w:lang w:eastAsia="zh-CN"/>
              </w:rPr>
              <w:t>Others</w:t>
            </w:r>
          </w:p>
        </w:tc>
        <w:tc>
          <w:tcPr>
            <w:tcW w:w="7343" w:type="dxa"/>
          </w:tcPr>
          <w:p w14:paraId="033FA13D" w14:textId="6CB6F4FA" w:rsidR="003F03F3" w:rsidRDefault="003F03F3" w:rsidP="0032774A">
            <w:pPr>
              <w:pStyle w:val="afa"/>
              <w:ind w:firstLineChars="0" w:firstLine="0"/>
              <w:rPr>
                <w:rFonts w:eastAsia="等线" w:hint="eastAsia"/>
                <w:iCs/>
                <w:lang w:eastAsia="zh-CN"/>
              </w:rPr>
            </w:pPr>
            <w:r>
              <w:rPr>
                <w:rFonts w:eastAsia="等线" w:hint="eastAsia"/>
                <w:iCs/>
                <w:lang w:eastAsia="zh-CN"/>
              </w:rPr>
              <w:t>E</w:t>
            </w:r>
            <w:r>
              <w:rPr>
                <w:rFonts w:eastAsia="等线"/>
                <w:iCs/>
                <w:lang w:eastAsia="zh-CN"/>
              </w:rPr>
              <w:t>xisting LTM should be applicable for both Inter-CU LTM and Intra-CU LTM. Conditional LTM is separate from the existing LTM</w:t>
            </w:r>
            <w:r w:rsidR="008379C8">
              <w:rPr>
                <w:rFonts w:eastAsia="等线"/>
                <w:iCs/>
                <w:lang w:eastAsia="zh-CN"/>
              </w:rPr>
              <w:t xml:space="preserve"> and may be newly defined</w:t>
            </w: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w:t>
            </w:r>
            <w:proofErr w:type="gramStart"/>
            <w:r>
              <w:rPr>
                <w:lang w:eastAsia="ko-KR"/>
              </w:rPr>
              <w:t>Random Access</w:t>
            </w:r>
            <w:proofErr w:type="gramEnd"/>
            <w:r>
              <w:rPr>
                <w:lang w:eastAsia="ko-KR"/>
              </w:rPr>
              <w:t xml:space="preserve">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 xml:space="preserve">assume that Msg1 repetition is applicable and that the Msg1 repetition number applicable for the current </w:t>
            </w:r>
            <w:proofErr w:type="gramStart"/>
            <w:r>
              <w:rPr>
                <w:lang w:eastAsia="ko-KR"/>
              </w:rPr>
              <w:t>Random Access</w:t>
            </w:r>
            <w:proofErr w:type="gramEnd"/>
            <w:r>
              <w:rPr>
                <w:lang w:eastAsia="ko-KR"/>
              </w:rPr>
              <w:t xml:space="preserve">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 xml:space="preserve">contention-free </w:t>
            </w:r>
            <w:proofErr w:type="gramStart"/>
            <w:r w:rsidRPr="00862947">
              <w:rPr>
                <w:highlight w:val="yellow"/>
                <w:lang w:eastAsia="ko-KR"/>
              </w:rPr>
              <w:t>Random Access</w:t>
            </w:r>
            <w:proofErr w:type="gramEnd"/>
            <w:r w:rsidRPr="00862947">
              <w:rPr>
                <w:highlight w:val="yellow"/>
                <w:lang w:eastAsia="ko-KR"/>
              </w:rPr>
              <w:t xml:space="preserve">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w:t>
            </w:r>
            <w:proofErr w:type="gramStart"/>
            <w:r w:rsidRPr="00862947">
              <w:rPr>
                <w:highlight w:val="yellow"/>
                <w:lang w:eastAsia="ko-KR"/>
              </w:rPr>
              <w:t>Random Access</w:t>
            </w:r>
            <w:proofErr w:type="gramEnd"/>
            <w:r w:rsidRPr="00862947">
              <w:rPr>
                <w:highlight w:val="yellow"/>
                <w:lang w:eastAsia="ko-KR"/>
              </w:rPr>
              <w:t xml:space="preserve">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 xml:space="preserve">select the set of </w:t>
            </w:r>
            <w:proofErr w:type="gramStart"/>
            <w:r>
              <w:rPr>
                <w:lang w:eastAsia="ko-KR"/>
              </w:rPr>
              <w:t>Random Access</w:t>
            </w:r>
            <w:proofErr w:type="gramEnd"/>
            <w:r>
              <w:rPr>
                <w:lang w:eastAsia="ko-KR"/>
              </w:rPr>
              <w:t xml:space="preserve">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w:t>
            </w:r>
            <w:proofErr w:type="gramStart"/>
            <w:r w:rsidRPr="00862947">
              <w:rPr>
                <w:highlight w:val="yellow"/>
                <w:lang w:eastAsia="ko-KR"/>
              </w:rPr>
              <w:t>Random Access</w:t>
            </w:r>
            <w:proofErr w:type="gramEnd"/>
            <w:r w:rsidRPr="00862947">
              <w:rPr>
                <w:highlight w:val="yellow"/>
                <w:lang w:eastAsia="ko-KR"/>
              </w:rPr>
              <w:t xml:space="preserve">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w:t>
            </w:r>
            <w:proofErr w:type="gramStart"/>
            <w:r>
              <w:rPr>
                <w:lang w:eastAsia="ko-KR"/>
              </w:rPr>
              <w:t>Random Access</w:t>
            </w:r>
            <w:proofErr w:type="gramEnd"/>
            <w:r>
              <w:rPr>
                <w:lang w:eastAsia="ko-KR"/>
              </w:rPr>
              <w:t xml:space="preserve">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 xml:space="preserve">select the set of </w:t>
            </w:r>
            <w:proofErr w:type="gramStart"/>
            <w:r>
              <w:rPr>
                <w:lang w:eastAsia="ko-KR"/>
              </w:rPr>
              <w:t>Random Access</w:t>
            </w:r>
            <w:proofErr w:type="gramEnd"/>
            <w:r>
              <w:rPr>
                <w:lang w:eastAsia="ko-KR"/>
              </w:rPr>
              <w:t xml:space="preserve">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 xml:space="preserve">select the set of </w:t>
            </w:r>
            <w:proofErr w:type="gramStart"/>
            <w:r>
              <w:rPr>
                <w:lang w:eastAsia="ko-KR"/>
              </w:rPr>
              <w:t>Random Access</w:t>
            </w:r>
            <w:proofErr w:type="gramEnd"/>
            <w:r>
              <w:rPr>
                <w:lang w:eastAsia="ko-KR"/>
              </w:rPr>
              <w:t xml:space="preserve">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Timing Advance Command: This field indicates whether the TA is valid for the 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w:t>
            </w:r>
            <w:proofErr w:type="gramStart"/>
            <w:r>
              <w:t>Random Access</w:t>
            </w:r>
            <w:proofErr w:type="gramEnd"/>
            <w:r>
              <w:t xml:space="preserve">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5645D9">
        <w:tc>
          <w:tcPr>
            <w:tcW w:w="1305"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484"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5645D9">
        <w:tc>
          <w:tcPr>
            <w:tcW w:w="1305"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484"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5645D9">
        <w:tc>
          <w:tcPr>
            <w:tcW w:w="1305"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484" w:type="dxa"/>
          </w:tcPr>
          <w:p w14:paraId="1CBF33D6" w14:textId="7DFCA457" w:rsidR="005A3AD8" w:rsidRDefault="005A3AD8" w:rsidP="005645D9">
            <w:pPr>
              <w:rPr>
                <w:rFonts w:eastAsia="等线"/>
                <w:lang w:eastAsia="zh-CN"/>
              </w:rPr>
            </w:pPr>
          </w:p>
        </w:tc>
      </w:tr>
      <w:tr w:rsidR="008F7269" w14:paraId="76C4659E" w14:textId="77777777" w:rsidTr="005645D9">
        <w:tc>
          <w:tcPr>
            <w:tcW w:w="1305" w:type="dxa"/>
          </w:tcPr>
          <w:p w14:paraId="432039EE" w14:textId="63525A34"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465B4570" w14:textId="0B72FAD2" w:rsidR="008F7269" w:rsidRDefault="008F7269" w:rsidP="005645D9">
            <w:pPr>
              <w:jc w:val="center"/>
              <w:rPr>
                <w:rFonts w:eastAsia="等线"/>
                <w:lang w:eastAsia="zh-CN"/>
              </w:rPr>
            </w:pPr>
            <w:r>
              <w:rPr>
                <w:rFonts w:eastAsia="等线" w:hint="eastAsia"/>
                <w:lang w:eastAsia="zh-CN"/>
              </w:rPr>
              <w:t>Y</w:t>
            </w:r>
            <w:r>
              <w:rPr>
                <w:rFonts w:eastAsia="等线"/>
                <w:lang w:eastAsia="zh-CN"/>
              </w:rPr>
              <w:t>es, but</w:t>
            </w:r>
          </w:p>
        </w:tc>
        <w:tc>
          <w:tcPr>
            <w:tcW w:w="7484" w:type="dxa"/>
          </w:tcPr>
          <w:p w14:paraId="4808B29B" w14:textId="77777777" w:rsidR="008F7269" w:rsidRDefault="008F7269" w:rsidP="005645D9">
            <w:pPr>
              <w:rPr>
                <w:rFonts w:eastAsia="等线"/>
                <w:lang w:eastAsia="zh-CN"/>
              </w:rPr>
            </w:pPr>
            <w:r>
              <w:rPr>
                <w:rFonts w:eastAsia="等线" w:hint="eastAsia"/>
                <w:lang w:eastAsia="zh-CN"/>
              </w:rPr>
              <w:t>O</w:t>
            </w:r>
            <w:r>
              <w:rPr>
                <w:rFonts w:eastAsia="等线"/>
                <w:lang w:eastAsia="zh-CN"/>
              </w:rPr>
              <w:t xml:space="preserve">K with </w:t>
            </w:r>
            <w:proofErr w:type="spellStart"/>
            <w:r>
              <w:rPr>
                <w:rFonts w:eastAsia="等线"/>
                <w:lang w:eastAsia="zh-CN"/>
              </w:rPr>
              <w:t>CovE</w:t>
            </w:r>
            <w:proofErr w:type="spellEnd"/>
            <w:r>
              <w:rPr>
                <w:rFonts w:eastAsia="等线"/>
                <w:lang w:eastAsia="zh-CN"/>
              </w:rPr>
              <w:t xml:space="preserve"> and REDCAP, but should leave it open for MIMO 2TA whether it should co-exist with inter-C</w:t>
            </w:r>
            <w:r>
              <w:rPr>
                <w:rFonts w:eastAsia="等线" w:hint="eastAsia"/>
                <w:lang w:eastAsia="zh-CN"/>
              </w:rPr>
              <w:t>U</w:t>
            </w:r>
            <w:r>
              <w:rPr>
                <w:rFonts w:eastAsia="等线"/>
                <w:lang w:eastAsia="zh-CN"/>
              </w:rPr>
              <w:t xml:space="preserve"> LTM. This might be related to a more general discussion on the co-existence between inter-CU LTM and </w:t>
            </w:r>
            <w:proofErr w:type="spellStart"/>
            <w:r>
              <w:rPr>
                <w:rFonts w:eastAsia="等线" w:hint="eastAsia"/>
                <w:lang w:eastAsia="zh-CN"/>
              </w:rPr>
              <w:t>mTRP</w:t>
            </w:r>
            <w:proofErr w:type="spellEnd"/>
            <w:r w:rsidR="00C517D4">
              <w:rPr>
                <w:rFonts w:eastAsia="等线"/>
                <w:lang w:eastAsia="zh-CN"/>
              </w:rPr>
              <w:t>.</w:t>
            </w:r>
          </w:p>
          <w:p w14:paraId="3683BBB2" w14:textId="43C9E4F3" w:rsidR="00C517D4" w:rsidRDefault="00C517D4" w:rsidP="005645D9">
            <w:pPr>
              <w:rPr>
                <w:rFonts w:eastAsia="等线"/>
                <w:lang w:eastAsia="zh-CN"/>
              </w:rPr>
            </w:pPr>
            <w:r>
              <w:rPr>
                <w:rFonts w:eastAsia="等线" w:hint="eastAsia"/>
                <w:lang w:eastAsia="zh-CN"/>
              </w:rPr>
              <w:t>F</w:t>
            </w:r>
            <w:r>
              <w:rPr>
                <w:rFonts w:eastAsia="等线"/>
                <w:lang w:eastAsia="zh-CN"/>
              </w:rPr>
              <w:t>or NRU and NES, there is no related procedure in RACH resource set selection???</w:t>
            </w: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2.35pt" o:ole="">
            <v:imagedata r:id="rId12" o:title=""/>
          </v:shape>
          <o:OLEObject Type="Embed" ProgID="Visio.Drawing.15" ShapeID="_x0000_i1025" DrawAspect="Content" ObjectID="_1799155771"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7D3BD3F9" w14:textId="551C4224" w:rsidR="008F7269" w:rsidRDefault="00C517D4"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7B3FE945" w14:textId="33611173" w:rsidR="008F7269" w:rsidRPr="00C24BE2" w:rsidRDefault="008F7269" w:rsidP="005645D9">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lastRenderedPageBreak/>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he gNB is able to control the L1 measurement report for each beam separately by using the beam specific offset and the L1 measurement event is triggered by 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 is not used</w:t>
            </w:r>
            <w:r>
              <w:rPr>
                <w:rFonts w:eastAsia="等线"/>
                <w:lang w:eastAsia="zh-CN"/>
              </w:rPr>
              <w:t>.</w:t>
            </w:r>
            <w:r w:rsidR="00A14E98">
              <w:rPr>
                <w:rFonts w:eastAsia="等线"/>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221D3B70" w14:textId="424948D8" w:rsidR="008F7269" w:rsidRDefault="008F7269"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567DF4AE" w14:textId="33FE66BA" w:rsidR="008F7269" w:rsidRDefault="008F7269" w:rsidP="005645D9">
            <w:pPr>
              <w:rPr>
                <w:rFonts w:eastAsia="等线"/>
                <w:lang w:eastAsia="zh-CN"/>
              </w:rPr>
            </w:pPr>
            <w:r>
              <w:rPr>
                <w:rFonts w:eastAsia="等线" w:hint="eastAsia"/>
                <w:lang w:eastAsia="zh-CN"/>
              </w:rPr>
              <w:t>C</w:t>
            </w:r>
            <w:r>
              <w:rPr>
                <w:rFonts w:eastAsia="等线"/>
                <w:lang w:eastAsia="zh-CN"/>
              </w:rPr>
              <w:t>IO is for cell measurement quantity</w:t>
            </w: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w:t>
            </w:r>
            <w:proofErr w:type="gramStart"/>
            <w:r w:rsidRPr="0017595B">
              <w:t>i.e.</w:t>
            </w:r>
            <w:proofErr w:type="gramEnd"/>
            <w:r w:rsidRPr="0017595B">
              <w:t xml:space="preserv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r w:rsidR="008F7269" w14:paraId="0C72BFC8" w14:textId="77777777" w:rsidTr="005645D9">
        <w:tc>
          <w:tcPr>
            <w:tcW w:w="1305" w:type="dxa"/>
          </w:tcPr>
          <w:p w14:paraId="70ED9AA7" w14:textId="51988165"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6652DE45" w14:textId="77777777" w:rsidR="008F7269" w:rsidRDefault="008F7269" w:rsidP="005645D9">
            <w:pPr>
              <w:rPr>
                <w:rFonts w:eastAsia="等线"/>
                <w:lang w:eastAsia="zh-CN"/>
              </w:rPr>
            </w:pPr>
          </w:p>
        </w:tc>
        <w:tc>
          <w:tcPr>
            <w:tcW w:w="6801" w:type="dxa"/>
          </w:tcPr>
          <w:p w14:paraId="1425E299" w14:textId="25397AF5" w:rsidR="008F7269" w:rsidRPr="00C24BE2" w:rsidRDefault="008F7269" w:rsidP="005645D9">
            <w:pPr>
              <w:rPr>
                <w:rFonts w:eastAsia="等线"/>
                <w:lang w:eastAsia="zh-CN"/>
              </w:rPr>
            </w:pPr>
            <w:r>
              <w:rPr>
                <w:rFonts w:eastAsia="等线" w:hint="eastAsia"/>
                <w:lang w:eastAsia="zh-CN"/>
              </w:rPr>
              <w:t>C</w:t>
            </w:r>
            <w:r>
              <w:rPr>
                <w:rFonts w:eastAsia="等线"/>
                <w:lang w:eastAsia="zh-CN"/>
              </w:rPr>
              <w:t>an wait for R1 progress. Now, R1 has only agreed on RSRP. Only if in the future some other quantities are defined, there is necessity to discuss the question. Otherwise, both triggering and report quantity will be RSRP</w:t>
            </w:r>
          </w:p>
        </w:tc>
      </w:tr>
    </w:tbl>
    <w:p w14:paraId="1D1663BC" w14:textId="29B43B26" w:rsidR="005A3AD8" w:rsidRDefault="005A3AD8"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lastRenderedPageBreak/>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1C3BEA67" w14:textId="12338C86" w:rsidR="005A3AD8" w:rsidRDefault="00B91BAB" w:rsidP="005645D9">
            <w:pPr>
              <w:rPr>
                <w:rFonts w:eastAsia="等线"/>
                <w:lang w:eastAsia="zh-CN"/>
              </w:rPr>
            </w:pPr>
            <w:bookmarkStart w:id="4"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proofErr w:type="gramStart"/>
            <w:r w:rsidRPr="008E2C4C">
              <w:rPr>
                <w:rFonts w:eastAsia="等线"/>
                <w:lang w:eastAsia="zh-CN"/>
              </w:rPr>
              <w:t>if</w:t>
            </w:r>
            <w:proofErr w:type="gramEnd"/>
            <w:r w:rsidRPr="008E2C4C">
              <w:rPr>
                <w:rFonts w:eastAsia="等线"/>
                <w:lang w:eastAsia="zh-CN"/>
              </w:rPr>
              <w:t xml:space="preserve"> the </w:t>
            </w:r>
            <w:r w:rsidRPr="008E2C4C">
              <w:rPr>
                <w:rFonts w:eastAsia="等线"/>
                <w:b/>
                <w:bCs/>
                <w:lang w:eastAsia="zh-CN"/>
              </w:rPr>
              <w:t xml:space="preserve">eventLTM3 or eventLTM5 </w:t>
            </w:r>
            <w:r w:rsidRPr="008E2C4C">
              <w:rPr>
                <w:rFonts w:eastAsia="等线"/>
                <w:lang w:eastAsia="zh-CN"/>
              </w:rPr>
              <w:t>is configured in the corresponding ltm-CSI-ReportConfigId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B4529DA" w14:textId="4600C77F" w:rsidR="00EB1AAE" w:rsidRDefault="008E2C4C" w:rsidP="005645D9">
            <w:pPr>
              <w:rPr>
                <w:rFonts w:eastAsia="等线"/>
                <w:lang w:eastAsia="zh-CN"/>
              </w:rPr>
            </w:pPr>
            <w:r w:rsidRPr="008E2C4C">
              <w:rPr>
                <w:rFonts w:eastAsia="等线"/>
                <w:lang w:eastAsia="zh-CN"/>
              </w:rPr>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5" w:name="_Hlk188457750"/>
            <w:r w:rsidR="003A2B43">
              <w:rPr>
                <w:rFonts w:eastAsia="等线"/>
                <w:lang w:eastAsia="zh-CN"/>
              </w:rPr>
              <w:t>E</w:t>
            </w:r>
            <w:r w:rsidRPr="008E2C4C">
              <w:rPr>
                <w:rFonts w:eastAsia="等线"/>
                <w:lang w:eastAsia="zh-CN"/>
              </w:rPr>
              <w:t>vent</w:t>
            </w:r>
            <w:bookmarkEnd w:id="5"/>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w:t>
            </w:r>
            <w:proofErr w:type="spellStart"/>
            <w:r w:rsidRPr="00B97F6F">
              <w:rPr>
                <w:rFonts w:eastAsia="等线"/>
                <w:highlight w:val="cyan"/>
                <w:lang w:eastAsia="zh-CN"/>
              </w:rPr>
              <w:t>SpCell</w:t>
            </w:r>
            <w:proofErr w:type="spellEnd"/>
            <w:r w:rsidRPr="00B97F6F">
              <w:rPr>
                <w:rFonts w:eastAsia="等线"/>
                <w:lang w:eastAsia="zh-CN"/>
              </w:rPr>
              <w:t xml:space="preserve"> and these UL-SCH resources can accommodate the L1 measurement report MAC CE plus its </w:t>
            </w:r>
            <w:proofErr w:type="spellStart"/>
            <w:r w:rsidRPr="00B97F6F">
              <w:rPr>
                <w:rFonts w:eastAsia="等线"/>
                <w:lang w:eastAsia="zh-CN"/>
              </w:rPr>
              <w:t>subheader</w:t>
            </w:r>
            <w:proofErr w:type="spellEnd"/>
            <w:r w:rsidRPr="00B97F6F">
              <w:rPr>
                <w:rFonts w:eastAsia="等线"/>
                <w:lang w:eastAsia="zh-CN"/>
              </w:rPr>
              <w:t xml:space="preserve">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w:t>
            </w:r>
            <w:proofErr w:type="spellStart"/>
            <w:r w:rsidRPr="00B97F6F">
              <w:rPr>
                <w:rFonts w:eastAsia="等线"/>
                <w:lang w:eastAsia="zh-CN"/>
              </w:rPr>
              <w:t>SpCell</w:t>
            </w:r>
            <w:proofErr w:type="spellEnd"/>
            <w:r>
              <w:rPr>
                <w:rFonts w:eastAsia="等线"/>
                <w:lang w:eastAsia="zh-CN"/>
              </w:rPr>
              <w:t>.</w:t>
            </w:r>
          </w:p>
        </w:tc>
        <w:tc>
          <w:tcPr>
            <w:tcW w:w="4107" w:type="dxa"/>
          </w:tcPr>
          <w:p w14:paraId="752043A7" w14:textId="372CF6CC" w:rsidR="00B97F6F" w:rsidRPr="008E2C4C"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w:t>
            </w:r>
            <w:proofErr w:type="spellStart"/>
            <w:r>
              <w:rPr>
                <w:rFonts w:eastAsia="等线"/>
                <w:lang w:eastAsia="zh-CN"/>
              </w:rPr>
              <w:t>SpCell</w:t>
            </w:r>
            <w:proofErr w:type="spellEnd"/>
            <w:r>
              <w:rPr>
                <w:rFonts w:eastAsia="等线"/>
                <w:lang w:eastAsia="zh-CN"/>
              </w:rPr>
              <w:t>.</w:t>
            </w:r>
          </w:p>
        </w:tc>
      </w:tr>
      <w:tr w:rsidR="00411185" w14:paraId="7B23B30C" w14:textId="77777777" w:rsidTr="005645D9">
        <w:tc>
          <w:tcPr>
            <w:tcW w:w="2122" w:type="dxa"/>
          </w:tcPr>
          <w:p w14:paraId="64347066" w14:textId="127EA9C1" w:rsidR="00411185" w:rsidRDefault="00411185" w:rsidP="005645D9">
            <w:pPr>
              <w:rPr>
                <w:rFonts w:eastAsia="等线"/>
                <w:lang w:eastAsia="zh-CN"/>
              </w:rPr>
            </w:pPr>
            <w:r>
              <w:rPr>
                <w:rFonts w:eastAsia="等线"/>
                <w:lang w:eastAsia="zh-CN"/>
              </w:rPr>
              <w:t>MediaTek</w:t>
            </w:r>
          </w:p>
        </w:tc>
        <w:tc>
          <w:tcPr>
            <w:tcW w:w="3402" w:type="dxa"/>
          </w:tcPr>
          <w:p w14:paraId="4AC8DE6F" w14:textId="07F9E7C3" w:rsidR="00411185" w:rsidRDefault="00411185" w:rsidP="00130C9A">
            <w:pPr>
              <w:rPr>
                <w:rFonts w:eastAsia="等线"/>
                <w:lang w:eastAsia="zh-CN"/>
              </w:rPr>
            </w:pPr>
            <w:r w:rsidRPr="00411185">
              <w:rPr>
                <w:rFonts w:eastAsia="等线"/>
                <w:lang w:eastAsia="zh-CN"/>
              </w:rPr>
              <w:t>Please refer to the comments in the 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lang w:eastAsia="zh-CN"/>
              </w:rPr>
            </w:pP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3722" w14:textId="77777777" w:rsidR="00AE70C5" w:rsidRDefault="00AE70C5">
      <w:pPr>
        <w:spacing w:after="0"/>
      </w:pPr>
      <w:r>
        <w:separator/>
      </w:r>
    </w:p>
  </w:endnote>
  <w:endnote w:type="continuationSeparator" w:id="0">
    <w:p w14:paraId="5145946F" w14:textId="77777777" w:rsidR="00AE70C5" w:rsidRDefault="00AE7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9D8A" w14:textId="77777777" w:rsidR="00AE70C5" w:rsidRDefault="00AE70C5">
      <w:pPr>
        <w:spacing w:after="0"/>
      </w:pPr>
      <w:r>
        <w:separator/>
      </w:r>
    </w:p>
  </w:footnote>
  <w:footnote w:type="continuationSeparator" w:id="0">
    <w:p w14:paraId="120EB035" w14:textId="77777777" w:rsidR="00AE70C5" w:rsidRDefault="00AE70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4"/>
  </w:num>
  <w:num w:numId="16">
    <w:abstractNumId w:val="1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1</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8</cp:revision>
  <dcterms:created xsi:type="dcterms:W3CDTF">2025-01-23T01:23:00Z</dcterms:created>
  <dcterms:modified xsi:type="dcterms:W3CDTF">2025-01-23T08:41:00Z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