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319519A2"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41BF7461"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w:t>
            </w:r>
            <w:r w:rsidR="00240354">
              <w:rPr>
                <w:b/>
                <w:noProof/>
                <w:sz w:val="28"/>
              </w:rPr>
              <w:t>0</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A09FA6C" w:rsidR="00123B50" w:rsidRPr="00410371" w:rsidRDefault="00240354" w:rsidP="000D61E6">
            <w:pPr>
              <w:pStyle w:val="CRCoverPage"/>
              <w:spacing w:after="0"/>
              <w:jc w:val="center"/>
              <w:rPr>
                <w:noProof/>
              </w:rPr>
            </w:pPr>
            <w:r>
              <w:rPr>
                <w:b/>
                <w:noProof/>
                <w:sz w:val="28"/>
              </w:rPr>
              <w:t>xxxx</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79A74FA" w:rsidR="00123B50" w:rsidRPr="00410371" w:rsidRDefault="001442B3"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61DA47E" w:rsidR="000D61E6" w:rsidRPr="00C804D4" w:rsidRDefault="00E81E57" w:rsidP="00EC548C">
            <w:pPr>
              <w:pStyle w:val="CRCoverPage"/>
              <w:ind w:left="100"/>
              <w:rPr>
                <w:iCs/>
                <w:noProof/>
              </w:rPr>
            </w:pPr>
            <w:r w:rsidRPr="00E81E57">
              <w:rPr>
                <w:noProof/>
              </w:rPr>
              <w:t xml:space="preserve">Correction on </w:t>
            </w:r>
            <w:r w:rsidR="00CF5B1F" w:rsidRPr="00151786">
              <w:rPr>
                <w:rFonts w:eastAsia="宋体"/>
                <w:lang w:eastAsia="zh-CN"/>
              </w:rPr>
              <w:t>BWP operation without restriction</w:t>
            </w:r>
            <w:r w:rsidR="00CF5B1F">
              <w:rPr>
                <w:rFonts w:eastAsia="宋体"/>
                <w:lang w:eastAsia="zh-CN"/>
              </w:rPr>
              <w:t xml:space="preserve"> for DC case</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9319E59" w:rsidR="000D61E6" w:rsidRDefault="000D61E6" w:rsidP="002130EF">
            <w:pPr>
              <w:pStyle w:val="CRCoverPage"/>
              <w:spacing w:after="0"/>
              <w:ind w:left="100"/>
              <w:rPr>
                <w:noProof/>
              </w:rPr>
            </w:pPr>
            <w:r>
              <w:rPr>
                <w:lang w:val="en-US"/>
              </w:rPr>
              <w:t>v</w:t>
            </w:r>
            <w:r w:rsidRPr="00D01185">
              <w:rPr>
                <w:lang w:val="en-US"/>
              </w:rPr>
              <w:t>ivo</w:t>
            </w:r>
            <w:r w:rsidR="00273B39">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r w:rsidR="00273B39">
              <w:rPr>
                <w:lang w:val="en-US"/>
              </w:rPr>
              <w:t>]</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r w:rsidRPr="0021407E">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PCell/PSCell (if configured). For PSCell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PSCell,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5BB7C88E"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sidR="00136AFC">
              <w:rPr>
                <w:noProof/>
              </w:rPr>
              <w:t xml:space="preserve"> in TS 38.306</w:t>
            </w:r>
            <w:r>
              <w:rPr>
                <w:noProof/>
              </w:rPr>
              <w:t xml:space="preserve">, it is better to </w:t>
            </w:r>
            <w:r w:rsidR="00F30BCA">
              <w:rPr>
                <w:noProof/>
              </w:rPr>
              <w:t>add</w:t>
            </w:r>
            <w:r w:rsidR="00D34BE1">
              <w:rPr>
                <w:noProof/>
              </w:rPr>
              <w:t xml:space="preserve"> </w:t>
            </w:r>
            <w:r>
              <w:rPr>
                <w:noProof/>
              </w:rPr>
              <w:t xml:space="preserve">the </w:t>
            </w:r>
            <w:r w:rsidR="00BE5A61">
              <w:rPr>
                <w:noProof/>
              </w:rPr>
              <w:t xml:space="preserve">corresponding </w:t>
            </w:r>
            <w:r>
              <w:rPr>
                <w:noProof/>
              </w:rPr>
              <w:t>clarifcation</w:t>
            </w:r>
            <w:r w:rsidR="00892534">
              <w:rPr>
                <w:noProof/>
              </w:rPr>
              <w:t xml:space="preserve"> for </w:t>
            </w:r>
            <w:r w:rsidR="00D807C6">
              <w:rPr>
                <w:noProof/>
              </w:rPr>
              <w:t>Pcell/</w:t>
            </w:r>
            <w:r w:rsidR="00892534">
              <w:rPr>
                <w:noProof/>
              </w:rPr>
              <w:t>PSCell</w:t>
            </w:r>
            <w:r w:rsidR="00D55753">
              <w:rPr>
                <w:noProof/>
              </w:rPr>
              <w:t xml:space="preserve"> in stage-2 specification</w:t>
            </w:r>
            <w:r>
              <w:rPr>
                <w:noProof/>
              </w:rPr>
              <w:t xml:space="preserve">: </w:t>
            </w:r>
            <w:r w:rsidR="00263FD8">
              <w:t>For Pcell, b</w:t>
            </w:r>
            <w:r w:rsidR="00263FD8" w:rsidRPr="00B33F36">
              <w:t>andwidth of UE-specific RRC configured BWP need</w:t>
            </w:r>
            <w:r w:rsidR="00263FD8">
              <w:t>s</w:t>
            </w:r>
            <w:r w:rsidR="00263FD8" w:rsidRPr="00B33F36">
              <w:t xml:space="preserve"> not include bandwidth of the CORESET#0 (if CORESET#0 is present) and CD-SSB</w:t>
            </w:r>
            <w:r w:rsidR="00263FD8">
              <w:t xml:space="preserve">. </w:t>
            </w:r>
            <w:r w:rsidR="00BE5A61">
              <w:rPr>
                <w:rFonts w:eastAsiaTheme="minorEastAsia" w:hint="eastAsia"/>
              </w:rPr>
              <w:t xml:space="preserve">For </w:t>
            </w:r>
            <w:r w:rsidR="00BE5A61" w:rsidRPr="00A855F4">
              <w:t>PSCell</w:t>
            </w:r>
            <w:r w:rsidR="00BE5A61">
              <w:t xml:space="preserve"> (if configured)</w:t>
            </w:r>
            <w:r w:rsidR="00BE5A61">
              <w:rPr>
                <w:rFonts w:eastAsiaTheme="minorEastAsia" w:hint="eastAsia"/>
              </w:rPr>
              <w:t>, b</w:t>
            </w:r>
            <w:r w:rsidR="00BE5A61" w:rsidRPr="00A855F4">
              <w:t xml:space="preserve">andwidth of UE-specific RRC configured BWP </w:t>
            </w:r>
            <w:r w:rsidR="003A13ED">
              <w:t>needs not</w:t>
            </w:r>
            <w:r w:rsidR="00BE5A61" w:rsidRPr="00A855F4">
              <w:t xml:space="preserve"> include bandwidth of the CORESET#0 (if CORESET#0 is present) and </w:t>
            </w:r>
            <w:r w:rsidR="00BE5A61">
              <w:rPr>
                <w:rFonts w:eastAsiaTheme="minorEastAsia" w:hint="eastAsia"/>
              </w:rPr>
              <w:t xml:space="preserve">SSB indicated by </w:t>
            </w:r>
            <w:r w:rsidR="00BE5A61" w:rsidRPr="008C3B68">
              <w:rPr>
                <w:i/>
                <w:iCs/>
              </w:rPr>
              <w:t>absoluteFrequencySSB</w:t>
            </w:r>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19CFF458" w:rsidR="000206CF" w:rsidRPr="009238B5" w:rsidRDefault="00263FD8" w:rsidP="00A05503">
            <w:pPr>
              <w:pStyle w:val="CRCoverPage"/>
              <w:rPr>
                <w:noProof/>
                <w:sz w:val="18"/>
                <w:szCs w:val="18"/>
              </w:rPr>
            </w:pPr>
            <w:r>
              <w:rPr>
                <w:noProof/>
                <w:sz w:val="18"/>
                <w:szCs w:val="18"/>
              </w:rPr>
              <w:t xml:space="preserve">Add the </w:t>
            </w:r>
            <w:r w:rsidR="000206CF" w:rsidRPr="009238B5">
              <w:rPr>
                <w:noProof/>
                <w:sz w:val="18"/>
                <w:szCs w:val="18"/>
              </w:rPr>
              <w:t xml:space="preserve">clarifcation in </w:t>
            </w:r>
            <w:r w:rsidR="00F22532">
              <w:rPr>
                <w:noProof/>
                <w:sz w:val="18"/>
                <w:szCs w:val="18"/>
              </w:rPr>
              <w:t>the stage-2 specifcation for BWP operation without restriction</w:t>
            </w:r>
            <w:r w:rsidR="000206CF" w:rsidRPr="009238B5">
              <w:rPr>
                <w:noProof/>
                <w:sz w:val="18"/>
                <w:szCs w:val="18"/>
              </w:rPr>
              <w:t xml:space="preserve">: </w:t>
            </w:r>
            <w:r w:rsidR="00F93FD6" w:rsidRPr="00F93FD6">
              <w:rPr>
                <w:noProof/>
                <w:sz w:val="18"/>
                <w:szCs w:val="18"/>
              </w:rPr>
              <w:t>For the case that UE performs RLM/BM/BFD and RRM measurements and measurements for RA resource selection inside the active DL BWP based on NCD-SSB within active BWP, bandwidth of UE-specific RRC configured BWP needs not include bandwidth of the CORESET#0 (if CORESET#0 is present) and CD-SSB for Pcell, and bandwidth of UE-specific RRC configured BWP needs not include bandwidth of the CORESET#0 (if CORESET#0 is present) and CD-SSB/NCD-SSB for PSCell (if configured).</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lastRenderedPageBreak/>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1EEB169" w:rsidR="000D61E6" w:rsidRDefault="00546DCD" w:rsidP="000D61E6">
            <w:pPr>
              <w:pStyle w:val="CRCoverPage"/>
              <w:spacing w:after="0"/>
              <w:ind w:left="100"/>
              <w:rPr>
                <w:noProof/>
              </w:rPr>
            </w:pPr>
            <w:r>
              <w:rPr>
                <w:noProof/>
                <w:lang w:eastAsia="zh-CN"/>
              </w:rPr>
              <w:t>5.2.4</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05A82A78" w:rsidR="000D61E6" w:rsidRDefault="00DC54BE" w:rsidP="00223B6D">
            <w:pPr>
              <w:pStyle w:val="CRCoverPage"/>
              <w:spacing w:after="0"/>
              <w:ind w:left="99"/>
              <w:rPr>
                <w:noProof/>
              </w:rPr>
            </w:pPr>
            <w:r w:rsidRPr="002A64DF">
              <w:rPr>
                <w:noProof/>
              </w:rPr>
              <w:t>TS/TR ... CR ...</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1D4801D8" w14:textId="77777777" w:rsidR="0012209A" w:rsidRPr="0012209A" w:rsidRDefault="0012209A" w:rsidP="0012209A">
      <w:pPr>
        <w:keepNext/>
        <w:keepLines/>
        <w:spacing w:before="120"/>
        <w:ind w:left="1134" w:hanging="1134"/>
        <w:outlineLvl w:val="2"/>
        <w:rPr>
          <w:rFonts w:ascii="Arial" w:hAnsi="Arial"/>
          <w:sz w:val="28"/>
          <w:lang w:eastAsia="zh-CN"/>
        </w:rPr>
      </w:pPr>
      <w:bookmarkStart w:id="3" w:name="_Toc20387909"/>
      <w:bookmarkStart w:id="4" w:name="_Toc29375988"/>
      <w:bookmarkStart w:id="5" w:name="_Toc37231858"/>
      <w:bookmarkStart w:id="6" w:name="_Toc46501913"/>
      <w:bookmarkStart w:id="7" w:name="_Toc51971261"/>
      <w:bookmarkStart w:id="8" w:name="_Toc52551244"/>
      <w:bookmarkStart w:id="9" w:name="_Toc185530320"/>
      <w:bookmarkStart w:id="10" w:name="_Hlk178356032"/>
      <w:r w:rsidRPr="0012209A">
        <w:rPr>
          <w:rFonts w:ascii="Arial" w:hAnsi="Arial"/>
          <w:sz w:val="28"/>
          <w:lang w:eastAsia="zh-CN"/>
        </w:rPr>
        <w:t>5.2.4</w:t>
      </w:r>
      <w:r w:rsidRPr="0012209A">
        <w:rPr>
          <w:rFonts w:ascii="Calibri" w:eastAsia="MS Mincho" w:hAnsi="Calibri"/>
          <w:sz w:val="22"/>
          <w:szCs w:val="22"/>
          <w:lang w:eastAsia="zh-CN"/>
        </w:rPr>
        <w:tab/>
      </w:r>
      <w:r w:rsidRPr="0012209A">
        <w:rPr>
          <w:rFonts w:ascii="Arial" w:hAnsi="Arial"/>
          <w:sz w:val="28"/>
          <w:lang w:eastAsia="zh-CN"/>
        </w:rPr>
        <w:t>Synchronization signal and PBCH block</w:t>
      </w:r>
      <w:bookmarkEnd w:id="3"/>
      <w:bookmarkEnd w:id="4"/>
      <w:bookmarkEnd w:id="5"/>
      <w:bookmarkEnd w:id="6"/>
      <w:bookmarkEnd w:id="7"/>
      <w:bookmarkEnd w:id="8"/>
      <w:bookmarkEnd w:id="9"/>
    </w:p>
    <w:p w14:paraId="6E7B6E7F" w14:textId="77777777" w:rsidR="0012209A" w:rsidRPr="0012209A" w:rsidRDefault="0012209A" w:rsidP="0012209A">
      <w:pPr>
        <w:rPr>
          <w:lang w:eastAsia="en-US"/>
        </w:rPr>
      </w:pPr>
      <w:r w:rsidRPr="0012209A">
        <w:rPr>
          <w:lang w:eastAsia="zh-CN"/>
        </w:rP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For the 3 MHz channel bandwidth, the PBCH is further equally punctured from both edges to span 144 subcarriers. The possible</w:t>
      </w:r>
      <w:r w:rsidRPr="0012209A">
        <w:rPr>
          <w:lang w:eastAsia="en-US"/>
        </w:rPr>
        <w:t xml:space="preserve"> time locations of SSBs within a half-frame are determined by sub-carrier spacing and the periodicity of the half-frames where SSBs are transmitted is configured by the network. During </w:t>
      </w:r>
      <w:r w:rsidRPr="0012209A">
        <w:rPr>
          <w:lang w:eastAsia="zh-CN"/>
        </w:rPr>
        <w:t>a half-frame, different SSBs may be transmitted in different spatial directions (i.e. using different beams, spanning the coverage area of a cell)</w:t>
      </w:r>
      <w:r w:rsidRPr="0012209A">
        <w:rPr>
          <w:lang w:eastAsia="en-US"/>
        </w:rPr>
        <w:t>.</w:t>
      </w:r>
    </w:p>
    <w:p w14:paraId="104AE35E" w14:textId="77777777" w:rsidR="0012209A" w:rsidRPr="0012209A" w:rsidRDefault="0012209A" w:rsidP="0012209A">
      <w:pPr>
        <w:rPr>
          <w:lang w:eastAsia="en-US"/>
        </w:rPr>
      </w:pPr>
      <w:r w:rsidRPr="0012209A">
        <w:rPr>
          <w:lang w:eastAsia="en-US"/>
        </w:rP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p>
    <w:p w14:paraId="24014FE9" w14:textId="5DA74A69" w:rsidR="0012209A" w:rsidRPr="0012209A" w:rsidRDefault="0012209A" w:rsidP="0012209A">
      <w:pPr>
        <w:rPr>
          <w:lang w:eastAsia="zh-CN"/>
        </w:rPr>
      </w:pPr>
      <w:r w:rsidRPr="0012209A">
        <w:rPr>
          <w:lang w:eastAsia="zh-CN"/>
        </w:rPr>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ins w:id="11" w:author="vivo-Chenli" w:date="2025-02-02T23:37:00Z">
        <w:r w:rsidR="0017024B" w:rsidRPr="0017024B">
          <w:t xml:space="preserve"> </w:t>
        </w:r>
      </w:ins>
      <w:commentRangeStart w:id="12"/>
      <w:ins w:id="13" w:author="vivo-Chenli" w:date="2025-02-02T23:42:00Z">
        <w:r w:rsidR="00143A4F">
          <w:t xml:space="preserve">For </w:t>
        </w:r>
      </w:ins>
      <w:commentRangeEnd w:id="12"/>
      <w:r w:rsidR="00A30D21">
        <w:rPr>
          <w:rStyle w:val="af7"/>
        </w:rPr>
        <w:commentReference w:id="12"/>
      </w:r>
      <w:ins w:id="14" w:author="vivo-Chenli" w:date="2025-02-02T23:42:00Z">
        <w:r w:rsidR="00143A4F">
          <w:t>the case that UE</w:t>
        </w:r>
        <w:r w:rsidR="00143A4F" w:rsidRPr="00143A4F">
          <w:t xml:space="preserve"> </w:t>
        </w:r>
      </w:ins>
      <w:ins w:id="15" w:author="vivo-Chenli" w:date="2025-02-02T23:43:00Z">
        <w:r w:rsidR="00143A4F">
          <w:t xml:space="preserve">performs </w:t>
        </w:r>
      </w:ins>
      <w:ins w:id="16" w:author="vivo-Chenli" w:date="2025-02-02T23:42:00Z">
        <w:r w:rsidR="00143A4F" w:rsidRPr="00B33F36">
          <w:t xml:space="preserve">RLM/BM/BFD and </w:t>
        </w:r>
      </w:ins>
      <w:ins w:id="17" w:author="vivo-Chenli" w:date="2025-02-02T23:43:00Z">
        <w:r w:rsidR="00557B2F" w:rsidRPr="0012209A">
          <w:rPr>
            <w:lang w:eastAsia="zh-CN"/>
          </w:rPr>
          <w:t>RRM measurements and measurements for RA resource selection inside the active DL BWP</w:t>
        </w:r>
      </w:ins>
      <w:ins w:id="18" w:author="vivo-Chenli" w:date="2025-02-02T23:42:00Z">
        <w:r w:rsidR="00143A4F" w:rsidRPr="00B33F36">
          <w:t xml:space="preserve"> based on NCD-SSB</w:t>
        </w:r>
      </w:ins>
      <w:ins w:id="19" w:author="vivo-Chenli" w:date="2025-02-02T23:44:00Z">
        <w:r w:rsidR="009F1BDE">
          <w:t xml:space="preserve"> within active BWP</w:t>
        </w:r>
      </w:ins>
      <w:ins w:id="20" w:author="vivo-Chenli" w:date="2025-02-02T23:43:00Z">
        <w:r w:rsidR="00557B2F">
          <w:t xml:space="preserve">, </w:t>
        </w:r>
      </w:ins>
      <w:ins w:id="21" w:author="vivo-Chenli" w:date="2025-02-02T23:37:00Z">
        <w:r w:rsidR="0017024B">
          <w:t>b</w:t>
        </w:r>
        <w:r w:rsidR="0017024B" w:rsidRPr="00B33F36">
          <w:t>andwidth of UE-specific RRC configured BWP need</w:t>
        </w:r>
        <w:r w:rsidR="0017024B">
          <w:t>s</w:t>
        </w:r>
        <w:r w:rsidR="0017024B" w:rsidRPr="00B33F36">
          <w:t xml:space="preserve"> not include bandwidth of the CORESET#0 (if CORESET#0 is present) and CD-SSB</w:t>
        </w:r>
      </w:ins>
      <w:ins w:id="22" w:author="vivo-Chenli" w:date="2025-02-02T23:44:00Z">
        <w:r w:rsidR="006E1A11" w:rsidRPr="006E1A11">
          <w:t xml:space="preserve"> </w:t>
        </w:r>
        <w:r w:rsidR="006E1A11">
          <w:t xml:space="preserve">for Pcell, and </w:t>
        </w:r>
      </w:ins>
      <w:ins w:id="23" w:author="vivo-Chenli" w:date="2025-02-02T23:37:00Z">
        <w:r w:rsidR="0017024B">
          <w:rPr>
            <w:rFonts w:eastAsiaTheme="minorEastAsia" w:hint="eastAsia"/>
          </w:rPr>
          <w:t>b</w:t>
        </w:r>
        <w:r w:rsidR="0017024B" w:rsidRPr="00A855F4">
          <w:t xml:space="preserve">andwidth of UE-specific RRC configured BWP </w:t>
        </w:r>
        <w:r w:rsidR="0017024B" w:rsidRPr="005301B5">
          <w:rPr>
            <w:rFonts w:cs="Arial"/>
            <w:szCs w:val="18"/>
          </w:rPr>
          <w:t>needs</w:t>
        </w:r>
        <w:r w:rsidR="0017024B" w:rsidRPr="00AD61D9">
          <w:rPr>
            <w:rFonts w:cs="Arial"/>
            <w:szCs w:val="18"/>
          </w:rPr>
          <w:t xml:space="preserve"> </w:t>
        </w:r>
        <w:r w:rsidR="0017024B" w:rsidRPr="00A855F4">
          <w:t xml:space="preserve">not include bandwidth of the CORESET#0 (if CORESET#0 is present) and </w:t>
        </w:r>
        <w:r w:rsidR="0017024B">
          <w:rPr>
            <w:rFonts w:eastAsiaTheme="minorEastAsia" w:hint="eastAsia"/>
          </w:rPr>
          <w:t>CD-SSB</w:t>
        </w:r>
      </w:ins>
      <w:ins w:id="24" w:author="vivo-Chenli" w:date="2025-02-02T23:41:00Z">
        <w:r w:rsidR="0068028E">
          <w:rPr>
            <w:rFonts w:eastAsiaTheme="minorEastAsia"/>
          </w:rPr>
          <w:t>/</w:t>
        </w:r>
      </w:ins>
      <w:ins w:id="25" w:author="vivo-Chenli" w:date="2025-02-02T23:37:00Z">
        <w:r w:rsidR="0017024B">
          <w:rPr>
            <w:rFonts w:eastAsiaTheme="minorEastAsia" w:hint="eastAsia"/>
          </w:rPr>
          <w:t>NCD-SSB</w:t>
        </w:r>
      </w:ins>
      <w:ins w:id="26" w:author="vivo-Chenli" w:date="2025-02-02T23:44:00Z">
        <w:r w:rsidR="00205914">
          <w:t xml:space="preserve"> </w:t>
        </w:r>
        <w:r w:rsidR="007B017D">
          <w:t>f</w:t>
        </w:r>
        <w:r w:rsidR="00205914">
          <w:t xml:space="preserve">or </w:t>
        </w:r>
        <w:r w:rsidR="00205914" w:rsidRPr="00B33F36">
          <w:t>PSCell (if configured)</w:t>
        </w:r>
        <w:r w:rsidR="00205914">
          <w:t xml:space="preserve">. </w:t>
        </w:r>
      </w:ins>
    </w:p>
    <w:p w14:paraId="6163716A" w14:textId="77777777" w:rsidR="0012209A" w:rsidRPr="0012209A" w:rsidRDefault="0012209A" w:rsidP="0012209A">
      <w:pPr>
        <w:keepNext/>
        <w:keepLines/>
        <w:spacing w:before="60"/>
        <w:jc w:val="center"/>
        <w:rPr>
          <w:rFonts w:ascii="Arial" w:hAnsi="Arial"/>
          <w:b/>
          <w:lang w:eastAsia="zh-CN"/>
        </w:rPr>
      </w:pPr>
      <w:r w:rsidRPr="0012209A">
        <w:rPr>
          <w:rFonts w:ascii="Arial" w:hAnsi="Arial"/>
          <w:b/>
          <w:noProof/>
          <w:lang w:eastAsia="zh-CN"/>
        </w:rPr>
        <w:object w:dxaOrig="3170" w:dyaOrig="4988" w14:anchorId="0205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49.2pt" o:ole="">
            <v:imagedata r:id="rId17" o:title=""/>
          </v:shape>
          <o:OLEObject Type="Embed" ProgID="Visio.Drawing.11" ShapeID="_x0000_i1025" DrawAspect="Content" ObjectID="_1800048193" r:id="rId18"/>
        </w:object>
      </w:r>
    </w:p>
    <w:p w14:paraId="3F02CC32" w14:textId="77777777" w:rsidR="0012209A" w:rsidRPr="0012209A" w:rsidRDefault="0012209A" w:rsidP="0012209A">
      <w:pPr>
        <w:keepLines/>
        <w:spacing w:after="240"/>
        <w:jc w:val="center"/>
        <w:rPr>
          <w:rFonts w:ascii="Arial" w:hAnsi="Arial"/>
          <w:b/>
          <w:lang w:eastAsia="zh-CN"/>
        </w:rPr>
      </w:pPr>
      <w:r w:rsidRPr="0012209A">
        <w:rPr>
          <w:rFonts w:ascii="Arial" w:hAnsi="Arial"/>
          <w:b/>
          <w:lang w:eastAsia="zh-CN"/>
        </w:rPr>
        <w:t>Figure 5.2.4-1: Time-frequency structure of SSB</w:t>
      </w:r>
    </w:p>
    <w:p w14:paraId="69606816" w14:textId="77777777" w:rsidR="0012209A" w:rsidRPr="0012209A" w:rsidRDefault="0012209A" w:rsidP="0012209A">
      <w:pPr>
        <w:rPr>
          <w:lang w:eastAsia="zh-CN"/>
        </w:rPr>
      </w:pPr>
      <w:r w:rsidRPr="0012209A">
        <w:rPr>
          <w:lang w:eastAsia="zh-CN"/>
        </w:rPr>
        <w:t>Polar coding is used for PBCH.</w:t>
      </w:r>
    </w:p>
    <w:p w14:paraId="32861099" w14:textId="77777777" w:rsidR="0012209A" w:rsidRPr="0012209A" w:rsidRDefault="0012209A" w:rsidP="0012209A">
      <w:pPr>
        <w:rPr>
          <w:lang w:eastAsia="zh-CN"/>
        </w:rPr>
      </w:pPr>
      <w:r w:rsidRPr="0012209A">
        <w:rPr>
          <w:lang w:eastAsia="zh-CN"/>
        </w:rPr>
        <w:t>The UE may assume a band-specific sub-carrier spacing for the SSB unless a network has configured the UE to assume a different sub-carrier spacing.</w:t>
      </w:r>
    </w:p>
    <w:p w14:paraId="5C379A0B" w14:textId="77777777" w:rsidR="0012209A" w:rsidRPr="0012209A" w:rsidRDefault="0012209A" w:rsidP="0012209A">
      <w:pPr>
        <w:rPr>
          <w:lang w:eastAsia="zh-CN"/>
        </w:rPr>
      </w:pPr>
      <w:r w:rsidRPr="0012209A">
        <w:rPr>
          <w:lang w:eastAsia="zh-CN"/>
        </w:rPr>
        <w:t>PBCH symbols carry its own frequency-multiplexed DMRS.</w:t>
      </w:r>
    </w:p>
    <w:p w14:paraId="5C1D7761" w14:textId="77777777" w:rsidR="0012209A" w:rsidRPr="0012209A" w:rsidRDefault="0012209A" w:rsidP="0012209A">
      <w:pPr>
        <w:rPr>
          <w:lang w:eastAsia="zh-CN"/>
        </w:rPr>
      </w:pPr>
      <w:r w:rsidRPr="0012209A">
        <w:rPr>
          <w:lang w:eastAsia="zh-CN"/>
        </w:rPr>
        <w:t>QPSK modulation is used for PBCH.</w:t>
      </w:r>
    </w:p>
    <w:p w14:paraId="7179A6D7" w14:textId="77777777" w:rsidR="0012209A" w:rsidRPr="0012209A" w:rsidRDefault="0012209A" w:rsidP="0012209A">
      <w:pPr>
        <w:rPr>
          <w:lang w:eastAsia="zh-CN"/>
        </w:rPr>
      </w:pPr>
      <w:r w:rsidRPr="0012209A">
        <w:rPr>
          <w:lang w:eastAsia="zh-CN"/>
        </w:rPr>
        <w:t>The PBCH physical layer model is described in TS 38.202 [20].</w:t>
      </w:r>
    </w:p>
    <w:p w14:paraId="6F5EF630" w14:textId="1E545BD1" w:rsidR="00E31002" w:rsidRDefault="00E31002" w:rsidP="00524614"/>
    <w:bookmarkEnd w:id="10"/>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vivo-Chenli" w:date="2025-02-02T23:55:00Z" w:initials="v">
    <w:p w14:paraId="0B6BD748" w14:textId="72BB76AE" w:rsidR="00A30D21" w:rsidRDefault="00A30D21">
      <w:pPr>
        <w:pStyle w:val="af8"/>
      </w:pPr>
      <w:r>
        <w:rPr>
          <w:rStyle w:val="af7"/>
        </w:rPr>
        <w:annotationRef/>
      </w:r>
      <w:r>
        <w:t>Companies who support change in TS 38.300 (only in 300 or both in 306 and 300) are invited to provide comment</w:t>
      </w:r>
      <w:r w:rsidR="00D41EF1">
        <w:t>s, e.g. where/how to capture this.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BD7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8D" w16cex:dateUtc="2025-02-0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BD748" w16cid:durableId="2B4A8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7901" w14:textId="77777777" w:rsidR="00516E22" w:rsidRDefault="00516E22">
      <w:r>
        <w:separator/>
      </w:r>
    </w:p>
  </w:endnote>
  <w:endnote w:type="continuationSeparator" w:id="0">
    <w:p w14:paraId="3321F284" w14:textId="77777777" w:rsidR="00516E22" w:rsidRDefault="0051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5227" w14:textId="77777777" w:rsidR="00516E22" w:rsidRDefault="00516E22">
      <w:r>
        <w:separator/>
      </w:r>
    </w:p>
  </w:footnote>
  <w:footnote w:type="continuationSeparator" w:id="0">
    <w:p w14:paraId="12E4295E" w14:textId="77777777" w:rsidR="00516E22" w:rsidRDefault="0051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54"/>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09A"/>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AFC"/>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A4F"/>
    <w:rsid w:val="00143E62"/>
    <w:rsid w:val="00143FF4"/>
    <w:rsid w:val="001442B3"/>
    <w:rsid w:val="00144953"/>
    <w:rsid w:val="00144A57"/>
    <w:rsid w:val="00144AB6"/>
    <w:rsid w:val="00144B4A"/>
    <w:rsid w:val="00144D8C"/>
    <w:rsid w:val="00144F9E"/>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24B"/>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914"/>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354"/>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3FD8"/>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B39"/>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3ED"/>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22"/>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6DCD"/>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B2F"/>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323A"/>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28E"/>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1"/>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17D"/>
    <w:rsid w:val="007B02C2"/>
    <w:rsid w:val="007B0465"/>
    <w:rsid w:val="007B07C5"/>
    <w:rsid w:val="007B0F32"/>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6CC"/>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E08"/>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514"/>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D43"/>
    <w:rsid w:val="009B2E65"/>
    <w:rsid w:val="009B307B"/>
    <w:rsid w:val="009B37C9"/>
    <w:rsid w:val="009B3866"/>
    <w:rsid w:val="009B3B73"/>
    <w:rsid w:val="009B3F24"/>
    <w:rsid w:val="009B42EA"/>
    <w:rsid w:val="009B44D1"/>
    <w:rsid w:val="009B4508"/>
    <w:rsid w:val="009B5105"/>
    <w:rsid w:val="009B5B40"/>
    <w:rsid w:val="009B6432"/>
    <w:rsid w:val="009B6576"/>
    <w:rsid w:val="009B659E"/>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2EE"/>
    <w:rsid w:val="009D3B66"/>
    <w:rsid w:val="009D3B99"/>
    <w:rsid w:val="009D3C45"/>
    <w:rsid w:val="009D3FF7"/>
    <w:rsid w:val="009D4DFB"/>
    <w:rsid w:val="009D5396"/>
    <w:rsid w:val="009D643B"/>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1BDE"/>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D21"/>
    <w:rsid w:val="00A30FB2"/>
    <w:rsid w:val="00A31123"/>
    <w:rsid w:val="00A317FA"/>
    <w:rsid w:val="00A31D00"/>
    <w:rsid w:val="00A31DBC"/>
    <w:rsid w:val="00A32A18"/>
    <w:rsid w:val="00A33688"/>
    <w:rsid w:val="00A33C98"/>
    <w:rsid w:val="00A340C6"/>
    <w:rsid w:val="00A34B4C"/>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16"/>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8C7"/>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4BA3"/>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B1F"/>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1EF1"/>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5753"/>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07C6"/>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771"/>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AB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026"/>
    <w:rsid w:val="00F22532"/>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BCA"/>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3FD6"/>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4</Pages>
  <Words>1017</Words>
  <Characters>5798</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139</cp:revision>
  <cp:lastPrinted>2010-06-10T06:19:00Z</cp:lastPrinted>
  <dcterms:created xsi:type="dcterms:W3CDTF">2024-11-19T20:58:00Z</dcterms:created>
  <dcterms:modified xsi:type="dcterms:W3CDTF">2025-02-02T16:25:00Z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