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1"/>
      <w:r w:rsidR="00B97E53" w:rsidRPr="00B97E53">
        <w:rPr>
          <w:rFonts w:ascii="Arial" w:hAnsi="Arial" w:cs="Arial"/>
          <w:b/>
          <w:sz w:val="22"/>
          <w:szCs w:val="22"/>
          <w:highlight w:val="yellow"/>
          <w:lang w:val="en-US" w:eastAsia="en-US"/>
        </w:rPr>
        <w:t>RAN3</w:t>
      </w:r>
      <w:commentRangeEnd w:id="1"/>
      <w:r w:rsidR="00EF1902">
        <w:rPr>
          <w:rStyle w:val="CommentReference"/>
        </w:rPr>
        <w:commentReference w:id="1"/>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2"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2"/>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3" w:name="_Hlk146817914"/>
      <w:bookmarkStart w:id="4"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r w:rsidRPr="006B7417">
              <w:rPr>
                <w:rFonts w:ascii="Arial" w:eastAsia="DengXian" w:hAnsi="Arial" w:cs="Arial"/>
              </w:rPr>
              <w:t>;</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641D094A"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t xml:space="preserve">such </w:t>
      </w:r>
      <w:r w:rsidR="002D5003" w:rsidRPr="002D5003">
        <w:rPr>
          <w:rFonts w:ascii="Arial" w:eastAsia="DengXian" w:hAnsi="Arial" w:cs="Arial"/>
          <w:lang w:val="en-US"/>
        </w:rPr>
        <w:lastRenderedPageBreak/>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5BA5B5EE"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w:t>
      </w:r>
      <w:r w:rsidR="00C90176">
        <w:rPr>
          <w:rFonts w:ascii="Arial" w:eastAsia="DengXian" w:hAnsi="Arial" w:cs="Arial"/>
          <w:lang w:val="en-US"/>
        </w:rPr>
        <w:t>message</w:t>
      </w:r>
      <w:r w:rsidR="00220DCC">
        <w:rPr>
          <w:rFonts w:ascii="Arial" w:eastAsia="DengXian" w:hAnsi="Arial" w:cs="Arial"/>
          <w:lang w:val="en-US"/>
        </w:rPr>
        <w:t xml:space="preserve"> size </w:t>
      </w:r>
      <w:r w:rsidR="00C90176">
        <w:rPr>
          <w:rFonts w:ascii="Arial" w:eastAsia="DengXian" w:hAnsi="Arial" w:cs="Arial"/>
          <w:lang w:val="en-US"/>
        </w:rPr>
        <w:t xml:space="preserve">in response </w:t>
      </w:r>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2C4CB441" w:rsidR="00220DCC" w:rsidRPr="00857416" w:rsidRDefault="00220DCC" w:rsidP="00B62147">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xml:space="preserve">: Can the CN indicate to the reader (either </w:t>
      </w:r>
      <w:r w:rsidR="00490F82">
        <w:rPr>
          <w:rFonts w:ascii="Arial" w:eastAsia="DengXian" w:hAnsi="Arial" w:cs="Arial"/>
          <w:b/>
          <w:bCs/>
          <w:lang w:val="en-US"/>
        </w:rPr>
        <w:t>explicitly</w:t>
      </w:r>
      <w:r w:rsidR="00B97E53">
        <w:rPr>
          <w:rFonts w:ascii="Arial" w:eastAsia="DengXian" w:hAnsi="Arial" w:cs="Arial"/>
          <w:b/>
          <w:bCs/>
          <w:lang w:val="en-US"/>
        </w:rPr>
        <w:t xml:space="preserve"> </w:t>
      </w:r>
      <w:r w:rsidRPr="00857416">
        <w:rPr>
          <w:rFonts w:ascii="Arial" w:eastAsia="DengXian" w:hAnsi="Arial" w:cs="Arial"/>
          <w:b/>
          <w:bCs/>
          <w:lang w:val="en-US"/>
        </w:rPr>
        <w:t xml:space="preserve">or implicitly, for instance by indicating </w:t>
      </w:r>
      <w:r w:rsidR="001826C2">
        <w:rPr>
          <w:rFonts w:ascii="Arial" w:eastAsia="DengXian" w:hAnsi="Arial" w:cs="Arial"/>
          <w:b/>
          <w:bCs/>
          <w:lang w:val="en-US"/>
        </w:rPr>
        <w:t>the</w:t>
      </w:r>
      <w:r w:rsidRPr="00857416">
        <w:rPr>
          <w:rFonts w:ascii="Arial" w:eastAsia="DengXian" w:hAnsi="Arial" w:cs="Arial"/>
          <w:b/>
          <w:bCs/>
          <w:lang w:val="en-US"/>
        </w:rPr>
        <w:t xml:space="preserve"> expected size of </w:t>
      </w:r>
      <w:r w:rsidR="00DB7BCD">
        <w:rPr>
          <w:rFonts w:ascii="Arial" w:eastAsia="DengXian" w:hAnsi="Arial" w:cs="Arial"/>
          <w:b/>
          <w:bCs/>
          <w:lang w:val="en-US"/>
        </w:rPr>
        <w:t>a response message in</w:t>
      </w:r>
      <w:r w:rsidRPr="00857416">
        <w:rPr>
          <w:rFonts w:ascii="Arial" w:eastAsia="DengXian" w:hAnsi="Arial" w:cs="Arial"/>
          <w:b/>
          <w:bCs/>
          <w:lang w:val="en-US"/>
        </w:rPr>
        <w:t xml:space="preserve"> D2R </w:t>
      </w:r>
      <w:r w:rsidR="00DB7BCD">
        <w:rPr>
          <w:rFonts w:ascii="Arial" w:eastAsia="DengXian" w:hAnsi="Arial" w:cs="Arial"/>
          <w:b/>
          <w:bCs/>
          <w:lang w:val="en-US"/>
        </w:rPr>
        <w:t>direction</w:t>
      </w:r>
      <w:r w:rsidRPr="00857416">
        <w:rPr>
          <w:rFonts w:ascii="Arial" w:eastAsia="DengXian" w:hAnsi="Arial" w:cs="Arial"/>
          <w:b/>
          <w:bCs/>
          <w:lang w:val="en-US"/>
        </w:rPr>
        <w:t>)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Pr="00857416">
        <w:rPr>
          <w:rFonts w:ascii="Arial" w:eastAsia="DengXian" w:hAnsi="Arial" w:cs="Arial"/>
          <w:b/>
          <w:bCs/>
          <w:lang w:val="en-US"/>
        </w:rPr>
        <w:t xml:space="preserve">? </w:t>
      </w:r>
      <w:bookmarkStart w:id="5" w:name="_Hlk149073819"/>
      <w:bookmarkEnd w:id="3"/>
      <w:bookmarkEnd w:id="4"/>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5"/>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ZTE(Eswar)" w:date="2024-11-29T14:24:00Z" w:initials="Z(EV)">
    <w:p w14:paraId="08A7F383" w14:textId="6195CC0B"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A7F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0BD7BD" w16cex:dateUtc="2024-11-2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A7F383" w16cid:durableId="110BD7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F1E5" w14:textId="77777777" w:rsidR="0025648B" w:rsidRDefault="0025648B">
      <w:r>
        <w:separator/>
      </w:r>
    </w:p>
  </w:endnote>
  <w:endnote w:type="continuationSeparator" w:id="0">
    <w:p w14:paraId="66CD2319" w14:textId="77777777" w:rsidR="0025648B" w:rsidRDefault="0025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DA46" w14:textId="77777777" w:rsidR="00CD272C" w:rsidRDefault="00CD2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C67F" w14:textId="77777777" w:rsidR="00CD272C" w:rsidRDefault="00CD2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E0AE" w14:textId="77777777" w:rsidR="00CD272C" w:rsidRDefault="00CD2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A647" w14:textId="77777777" w:rsidR="0025648B" w:rsidRDefault="0025648B">
      <w:r>
        <w:separator/>
      </w:r>
    </w:p>
  </w:footnote>
  <w:footnote w:type="continuationSeparator" w:id="0">
    <w:p w14:paraId="4CBADDF0" w14:textId="77777777" w:rsidR="0025648B" w:rsidRDefault="0025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4034" w14:textId="77777777" w:rsidR="00CD272C" w:rsidRDefault="00CD2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797A" w14:textId="77777777" w:rsidR="00CD272C" w:rsidRDefault="00CD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36929">
    <w:abstractNumId w:val="1"/>
  </w:num>
  <w:num w:numId="2" w16cid:durableId="826434092">
    <w:abstractNumId w:val="6"/>
  </w:num>
  <w:num w:numId="3" w16cid:durableId="449933023">
    <w:abstractNumId w:val="15"/>
  </w:num>
  <w:num w:numId="4" w16cid:durableId="481236561">
    <w:abstractNumId w:val="14"/>
  </w:num>
  <w:num w:numId="5" w16cid:durableId="2106917397">
    <w:abstractNumId w:val="8"/>
  </w:num>
  <w:num w:numId="6" w16cid:durableId="1730811244">
    <w:abstractNumId w:val="13"/>
  </w:num>
  <w:num w:numId="7" w16cid:durableId="1892157417">
    <w:abstractNumId w:val="5"/>
  </w:num>
  <w:num w:numId="8" w16cid:durableId="383868363">
    <w:abstractNumId w:val="3"/>
  </w:num>
  <w:num w:numId="9" w16cid:durableId="490491434">
    <w:abstractNumId w:val="10"/>
  </w:num>
  <w:num w:numId="10" w16cid:durableId="689262754">
    <w:abstractNumId w:val="2"/>
  </w:num>
  <w:num w:numId="11" w16cid:durableId="707069271">
    <w:abstractNumId w:val="16"/>
  </w:num>
  <w:num w:numId="12" w16cid:durableId="1759205560">
    <w:abstractNumId w:val="11"/>
  </w:num>
  <w:num w:numId="13" w16cid:durableId="1914966379">
    <w:abstractNumId w:val="4"/>
  </w:num>
  <w:num w:numId="14" w16cid:durableId="2086486219">
    <w:abstractNumId w:val="0"/>
  </w:num>
  <w:num w:numId="15" w16cid:durableId="224338217">
    <w:abstractNumId w:val="12"/>
  </w:num>
  <w:num w:numId="16" w16cid:durableId="80106855">
    <w:abstractNumId w:val="9"/>
  </w:num>
  <w:num w:numId="17" w16cid:durableId="737633384">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52B"/>
    <w:rsid w:val="00855071"/>
    <w:rsid w:val="00855272"/>
    <w:rsid w:val="008556A3"/>
    <w:rsid w:val="00856707"/>
    <w:rsid w:val="00856A04"/>
    <w:rsid w:val="00857416"/>
    <w:rsid w:val="00857D88"/>
    <w:rsid w:val="0086032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2</Pages>
  <Words>611</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6</cp:revision>
  <dcterms:created xsi:type="dcterms:W3CDTF">2024-11-29T10:10:00Z</dcterms:created>
  <dcterms:modified xsi:type="dcterms:W3CDTF">2024-12-02T09:37:00Z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ies>
</file>