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MCSt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等线" w:hAnsi="Times New Roman" w:cs="Times New Roman"/>
                <w:kern w:val="0"/>
                <w:sz w:val="20"/>
                <w:szCs w:val="20"/>
                <w:lang w:val="en-GB"/>
              </w:rPr>
              <w:t>Dedicated SL-PRS resource pool</w:t>
            </w:r>
            <w:r w:rsidRPr="00176E40">
              <w:rPr>
                <w:rFonts w:ascii="Times New Roman" w:eastAsia="等线" w:hAnsi="Times New Roman" w:cs="Times New Roman" w:hint="eastAsia"/>
                <w:kern w:val="0"/>
                <w:sz w:val="20"/>
                <w:szCs w:val="20"/>
                <w:lang w:val="en-GB" w:eastAsia="en-US"/>
              </w:rPr>
              <w:t xml:space="preserve"> </w:t>
            </w:r>
            <w:r w:rsidRPr="00176E40">
              <w:rPr>
                <w:rFonts w:ascii="Times New Roman" w:eastAsia="等线"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Malgun Gothic"/>
                </w:rPr>
                <w:t xml:space="preserve">and the pool(s) in which all RB sets with Sidelink consistent LBT failure detected and not cancelled </w:t>
              </w:r>
              <w:r w:rsidRPr="00D37AC6">
                <w:t xml:space="preserve">and the resources of which the lowest sub-channel includes intra cell guard band PRBs if </w:t>
              </w:r>
              <w:r w:rsidRPr="00D37AC6">
                <w:rPr>
                  <w:i/>
                </w:rPr>
                <w:t>sl-</w:t>
              </w:r>
              <w:r w:rsidRPr="00D37AC6">
                <w:rPr>
                  <w:rFonts w:eastAsia="宋体"/>
                  <w:i/>
                  <w:iCs/>
                  <w:lang w:eastAsia="ko-KR"/>
                </w:rPr>
                <w:t>transmissionStructureForPSCCHandPSSCH</w:t>
              </w:r>
              <w:r w:rsidRPr="00D37AC6">
                <w:rPr>
                  <w:rFonts w:eastAsia="宋体"/>
                  <w:lang w:eastAsia="ko-KR"/>
                </w:rPr>
                <w:t xml:space="preserve"> is set to 'contiguousRB' </w:t>
              </w:r>
              <w:r w:rsidRPr="00D37AC6">
                <w:rPr>
                  <w:rFonts w:eastAsia="Malgun Gothic"/>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sz w:val="20"/>
                <w:szCs w:val="21"/>
                <w:lang w:val="en-GB"/>
              </w:rPr>
            </w:pPr>
            <w:ins w:id="10" w:author="OPPO (Qianxi Lu)" w:date="2024-08-28T09:16:00Z">
              <w:r>
                <w:rPr>
                  <w:rFonts w:ascii="Calibri" w:hAnsi="Calibri" w:cs="Calibri" w:hint="eastAsia"/>
                  <w:sz w:val="20"/>
                  <w:szCs w:val="21"/>
                  <w:lang w:val="en-GB"/>
                </w:rPr>
                <w:t>So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lastRenderedPageBreak/>
              <w:t xml:space="preserve">[CATT/CICTCI]: Thanks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Indeed, there are some different restrictions for the legacy retransmission part as high-lighted above, where</w:t>
            </w:r>
          </w:p>
          <w:p w14:paraId="7B166AF5" w14:textId="77777777" w:rsidR="008A27F0" w:rsidRDefault="008A27F0" w:rsidP="008A27F0">
            <w:pPr>
              <w:pStyle w:val="aa"/>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aa"/>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MCSt transmissions since we only support MCSt in a pool without PSFCH resources.</w:t>
            </w:r>
          </w:p>
          <w:p w14:paraId="219455BF" w14:textId="77777777" w:rsidR="008A27F0" w:rsidRPr="00497725" w:rsidRDefault="008A27F0" w:rsidP="008A27F0">
            <w:pPr>
              <w:pStyle w:val="aa"/>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MCSt transmission and the UE behaviour is pretty clear. In contrast, if the second branch is also used to select HARQ retransmissions, we see more issues since it is more </w:t>
            </w:r>
            <w:r>
              <w:rPr>
                <w:rFonts w:ascii="Calibri" w:hAnsi="Calibri" w:cs="Calibri"/>
                <w:sz w:val="20"/>
                <w:szCs w:val="21"/>
                <w:lang w:val="en-GB"/>
              </w:rPr>
              <w:t>complicated</w:t>
            </w:r>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 xml:space="preserve">and the number of selected transmission opportunities is less than the selected number of HARQ </w:t>
            </w:r>
            <w:r w:rsidRPr="00505AF2">
              <w:rPr>
                <w:rFonts w:ascii="Times New Roman" w:hAnsi="Times New Roman" w:cs="Times New Roman"/>
                <w:color w:val="0070C0"/>
                <w:sz w:val="20"/>
                <w:szCs w:val="21"/>
              </w:rPr>
              <w:lastRenderedPageBreak/>
              <w:t>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econdly selects remaining resources if n_HARQ&gt;n_MCSt</w:t>
              </w:r>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Since if we go with the other approach, HARQ Re-Tx may still happen in case of n_HARQ (e.g., = 2) &lt; n_MCTs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based on the number of MCSt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a"/>
              <w:numPr>
                <w:ilvl w:val="0"/>
                <w:numId w:val="1"/>
              </w:numPr>
              <w:rPr>
                <w:rFonts w:ascii="Calibri" w:hAnsi="Calibri" w:cs="Calibri"/>
                <w:sz w:val="20"/>
                <w:szCs w:val="21"/>
              </w:rPr>
            </w:pPr>
            <w:r>
              <w:rPr>
                <w:rFonts w:ascii="Calibri" w:hAnsi="Calibri" w:cs="Calibri"/>
                <w:sz w:val="20"/>
                <w:szCs w:val="21"/>
              </w:rPr>
              <w:t xml:space="preserve">Regarding the </w:t>
            </w:r>
            <w:r w:rsidRPr="00DD2D3E">
              <w:rPr>
                <w:rFonts w:ascii="Calibri" w:hAnsi="Calibri" w:cs="Calibri"/>
                <w:sz w:val="20"/>
                <w:szCs w:val="21"/>
              </w:rPr>
              <w:t>MCSt</w:t>
            </w:r>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 xml:space="preserve">RAN2 has </w:t>
            </w:r>
            <w:r w:rsidRPr="00E471D9">
              <w:rPr>
                <w:rFonts w:ascii="Calibri" w:hAnsi="Calibri" w:cs="Calibri"/>
                <w:sz w:val="20"/>
                <w:szCs w:val="21"/>
              </w:rPr>
              <w:lastRenderedPageBreak/>
              <w:t>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As you know, the legacy resource selection procedure is separated into the initial transmission resource loop and HARQ retransmission resource loop. However, when reflecting the MCSt operation, the HARQ retransmission resource was selected from the initial transmission loop, breaking the logic of the legacy resource selection operation. Rapporteur has considered a TP to reflect MCSt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MCSt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the limited time)</w:t>
              </w:r>
            </w:ins>
            <w:ins w:id="22" w:author="OPPO (Qianxi Lu)" w:date="2024-08-28T09:19:00Z">
              <w:r w:rsidR="00500263">
                <w:rPr>
                  <w:rFonts w:ascii="Calibri" w:hAnsi="Calibri" w:cs="Calibri" w:hint="eastAsia"/>
                  <w:sz w:val="20"/>
                  <w:szCs w:val="21"/>
                </w:rPr>
                <w:t>. We can list</w:t>
              </w:r>
            </w:ins>
            <w:ins w:id="23"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sz w:val="20"/>
                <w:szCs w:val="21"/>
              </w:rPr>
            </w:pPr>
          </w:p>
          <w:p w14:paraId="75CBAE2D" w14:textId="65A835B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01218D51" w14:textId="7F371C1C" w:rsidR="00384F9F" w:rsidRDefault="00384F9F" w:rsidP="008A27F0">
            <w:pPr>
              <w:rPr>
                <w:rFonts w:ascii="Calibri" w:hAnsi="Calibri" w:cs="Calibri"/>
                <w:sz w:val="20"/>
                <w:szCs w:val="21"/>
              </w:rPr>
            </w:pPr>
          </w:p>
          <w:p w14:paraId="68AC7473" w14:textId="77777777" w:rsidR="008A27F0" w:rsidRDefault="00D15D4B" w:rsidP="003A18AA">
            <w:pPr>
              <w:rPr>
                <w:rFonts w:ascii="Calibri" w:hAnsi="Calibri" w:cs="Calibri"/>
                <w:sz w:val="20"/>
                <w:szCs w:val="21"/>
              </w:rPr>
            </w:pPr>
            <w:ins w:id="24" w:author="LG-Giwon Park (2)" w:date="2024-08-28T13:36:00Z">
              <w:r>
                <w:rPr>
                  <w:rFonts w:ascii="Calibri" w:hAnsi="Calibri" w:cs="Calibri"/>
                  <w:sz w:val="20"/>
                  <w:szCs w:val="21"/>
                </w:rPr>
                <w:t xml:space="preserve">[Rapporteur] </w:t>
              </w:r>
              <w:r w:rsidRPr="00D15D4B">
                <w:rPr>
                  <w:rFonts w:ascii="Calibri" w:hAnsi="Calibri" w:cs="Calibri"/>
                  <w:sz w:val="20"/>
                  <w:szCs w:val="21"/>
                </w:rPr>
                <w:t xml:space="preserve">Even though the email discussion deadline is approaching, there still seems to be a GAP between companies on this issue. This issue was first raised at this meeting, and it seems undesirable to urgently reflect the agreement in </w:t>
              </w:r>
            </w:ins>
            <w:ins w:id="25" w:author="LG-Giwon Park (2)" w:date="2024-08-28T13:37:00Z">
              <w:r>
                <w:rPr>
                  <w:rFonts w:ascii="Calibri" w:hAnsi="Calibri" w:cs="Calibri"/>
                  <w:sz w:val="20"/>
                  <w:szCs w:val="21"/>
                </w:rPr>
                <w:t xml:space="preserve">the </w:t>
              </w:r>
            </w:ins>
            <w:ins w:id="26" w:author="LG-Giwon Park (2)" w:date="2024-08-28T13:36:00Z">
              <w:r w:rsidRPr="00D15D4B">
                <w:rPr>
                  <w:rFonts w:ascii="Calibri" w:hAnsi="Calibri" w:cs="Calibri"/>
                  <w:sz w:val="20"/>
                  <w:szCs w:val="21"/>
                </w:rPr>
                <w:t>CR while the technical concern is still unresolved.</w:t>
              </w:r>
              <w:r>
                <w:rPr>
                  <w:rFonts w:ascii="Calibri" w:hAnsi="Calibri" w:cs="Calibri"/>
                  <w:sz w:val="20"/>
                  <w:szCs w:val="21"/>
                </w:rPr>
                <w:t xml:space="preserve"> </w:t>
              </w:r>
              <w:r w:rsidRPr="00D15D4B">
                <w:rPr>
                  <w:rFonts w:ascii="Calibri" w:hAnsi="Calibri" w:cs="Calibri"/>
                  <w:sz w:val="20"/>
                  <w:szCs w:val="21"/>
                </w:rPr>
                <w:t>Therefore, as OPPO (WI Rappo</w:t>
              </w:r>
              <w:r>
                <w:rPr>
                  <w:rFonts w:ascii="Calibri" w:hAnsi="Calibri" w:cs="Calibri"/>
                  <w:sz w:val="20"/>
                  <w:szCs w:val="21"/>
                </w:rPr>
                <w:t>r</w:t>
              </w:r>
              <w:r w:rsidRPr="00D15D4B">
                <w:rPr>
                  <w:rFonts w:ascii="Calibri" w:hAnsi="Calibri" w:cs="Calibri"/>
                  <w:sz w:val="20"/>
                  <w:szCs w:val="21"/>
                </w:rPr>
                <w:t xml:space="preserve">teur) suggested, it seems to be the right decision to provide companies with time to think about a stable solution to this issue and proceed with discussions based on the prepared solution at the next meeting. I would appreciate it if the proponent </w:t>
              </w:r>
            </w:ins>
            <w:ins w:id="27" w:author="LG-Giwon Park (2)" w:date="2024-08-28T13:37:00Z">
              <w:r>
                <w:rPr>
                  <w:rFonts w:ascii="Calibri" w:hAnsi="Calibri" w:cs="Calibri"/>
                  <w:sz w:val="20"/>
                  <w:szCs w:val="21"/>
                </w:rPr>
                <w:t xml:space="preserve">(CATT) </w:t>
              </w:r>
            </w:ins>
            <w:ins w:id="28" w:author="LG-Giwon Park (2)" w:date="2024-08-28T13:36:00Z">
              <w:r w:rsidRPr="00D15D4B">
                <w:rPr>
                  <w:rFonts w:ascii="Calibri" w:hAnsi="Calibri" w:cs="Calibri"/>
                  <w:sz w:val="20"/>
                  <w:szCs w:val="21"/>
                </w:rPr>
                <w:t>would consider this.</w:t>
              </w:r>
            </w:ins>
          </w:p>
          <w:p w14:paraId="520B0551" w14:textId="391959B1" w:rsidR="007A2DEE" w:rsidRPr="008A27F0" w:rsidRDefault="007A2DEE" w:rsidP="00F252E0">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FEDAE44" w:rsidR="00A644F2" w:rsidRPr="00A644F2" w:rsidRDefault="00F252E0">
            <w:pPr>
              <w:rPr>
                <w:rFonts w:ascii="Calibri" w:hAnsi="Calibri" w:cs="Calibri"/>
                <w:sz w:val="20"/>
                <w:szCs w:val="21"/>
              </w:rPr>
            </w:pPr>
            <w:r>
              <w:rPr>
                <w:rFonts w:ascii="Calibri" w:hAnsi="Calibri" w:cs="Calibri"/>
                <w:sz w:val="20"/>
                <w:szCs w:val="21"/>
              </w:rPr>
              <w:lastRenderedPageBreak/>
              <w:t>vivo</w:t>
            </w:r>
          </w:p>
        </w:tc>
        <w:tc>
          <w:tcPr>
            <w:tcW w:w="9877" w:type="dxa"/>
          </w:tcPr>
          <w:p w14:paraId="302B5DB5" w14:textId="3DC5A0FD" w:rsidR="00F252E0" w:rsidRDefault="00F252E0" w:rsidP="00F252E0">
            <w:pPr>
              <w:rPr>
                <w:rFonts w:ascii="Calibri" w:hAnsi="Calibri" w:cs="Calibri"/>
                <w:sz w:val="20"/>
                <w:szCs w:val="21"/>
              </w:rPr>
            </w:pPr>
            <w:r>
              <w:rPr>
                <w:rFonts w:ascii="Calibri" w:hAnsi="Calibri" w:cs="Calibri"/>
                <w:sz w:val="20"/>
                <w:szCs w:val="21"/>
              </w:rPr>
              <w:t xml:space="preserve">Regarding the MCSt </w:t>
            </w:r>
            <w:r>
              <w:rPr>
                <w:rFonts w:ascii="Calibri" w:hAnsi="Calibri" w:cs="Calibri"/>
                <w:sz w:val="20"/>
                <w:szCs w:val="21"/>
              </w:rPr>
              <w:t>1</w:t>
            </w:r>
            <w:r w:rsidRPr="007A2DEE">
              <w:rPr>
                <w:rFonts w:ascii="Calibri" w:hAnsi="Calibri" w:cs="Calibri"/>
                <w:sz w:val="20"/>
                <w:szCs w:val="21"/>
                <w:vertAlign w:val="superscript"/>
              </w:rPr>
              <w:t>st</w:t>
            </w:r>
            <w:r>
              <w:rPr>
                <w:rFonts w:ascii="Calibri" w:hAnsi="Calibri" w:cs="Calibri"/>
                <w:sz w:val="20"/>
                <w:szCs w:val="21"/>
              </w:rPr>
              <w:t xml:space="preserve"> correction, we have an understanding that for approach 2, the selected </w:t>
            </w:r>
            <w:r w:rsidRPr="00E471D9">
              <w:rPr>
                <w:rFonts w:ascii="Calibri" w:hAnsi="Calibri" w:cs="Calibri"/>
                <w:sz w:val="20"/>
                <w:szCs w:val="21"/>
              </w:rPr>
              <w:t>“</w:t>
            </w:r>
            <w:r>
              <w:rPr>
                <w:rFonts w:ascii="Calibri" w:hAnsi="Calibri" w:cs="Calibri"/>
                <w:sz w:val="20"/>
                <w:szCs w:val="21"/>
              </w:rPr>
              <w:t>the number of consecutive slots</w:t>
            </w:r>
            <w:r w:rsidRPr="00E471D9">
              <w:rPr>
                <w:rFonts w:ascii="Calibri" w:hAnsi="Calibri" w:cs="Calibri"/>
                <w:sz w:val="20"/>
                <w:szCs w:val="21"/>
              </w:rPr>
              <w:t>”</w:t>
            </w:r>
            <w:r>
              <w:rPr>
                <w:rFonts w:ascii="Calibri" w:hAnsi="Calibri" w:cs="Calibri"/>
                <w:sz w:val="20"/>
                <w:szCs w:val="21"/>
              </w:rPr>
              <w:t xml:space="preserve"> actually equals to [the selected </w:t>
            </w:r>
            <w:r w:rsidRPr="00E471D9">
              <w:rPr>
                <w:rFonts w:ascii="Calibri" w:hAnsi="Calibri" w:cs="Calibri"/>
                <w:sz w:val="20"/>
                <w:szCs w:val="21"/>
              </w:rPr>
              <w:t>“the number of HARQ retransmissions”</w:t>
            </w:r>
            <w:r>
              <w:rPr>
                <w:rFonts w:ascii="Calibri" w:hAnsi="Calibri" w:cs="Calibri"/>
                <w:sz w:val="20"/>
                <w:szCs w:val="21"/>
              </w:rPr>
              <w:t xml:space="preserve"> </w:t>
            </w:r>
            <w:r>
              <w:rPr>
                <w:rFonts w:ascii="Calibri" w:hAnsi="Calibri" w:cs="Calibri" w:hint="eastAsia"/>
                <w:sz w:val="20"/>
                <w:szCs w:val="21"/>
              </w:rPr>
              <w:t>+</w:t>
            </w:r>
            <w:r>
              <w:rPr>
                <w:rFonts w:ascii="Calibri" w:hAnsi="Calibri" w:cs="Calibri"/>
                <w:sz w:val="20"/>
                <w:szCs w:val="21"/>
              </w:rPr>
              <w:t>1], and thus agrees with CATT TP’s intention. However, RAN2 does not have an agreement on that, and not to add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also fine without disrupting the implementation. Therefore, we do not have a strong view on whether we should have the 1</w:t>
            </w:r>
            <w:r w:rsidRPr="007A2DEE">
              <w:rPr>
                <w:rFonts w:ascii="Calibri" w:hAnsi="Calibri" w:cs="Calibri"/>
                <w:sz w:val="20"/>
                <w:szCs w:val="21"/>
                <w:vertAlign w:val="superscript"/>
              </w:rPr>
              <w:t>st</w:t>
            </w:r>
            <w:r>
              <w:rPr>
                <w:rFonts w:ascii="Calibri" w:hAnsi="Calibri" w:cs="Calibri"/>
                <w:sz w:val="20"/>
                <w:szCs w:val="21"/>
              </w:rPr>
              <w:t xml:space="preserve"> correction or not. </w:t>
            </w:r>
          </w:p>
          <w:p w14:paraId="33982D74" w14:textId="7E9BA68A" w:rsidR="00A644F2" w:rsidRPr="00A644F2" w:rsidRDefault="00F252E0" w:rsidP="00F252E0">
            <w:pPr>
              <w:rPr>
                <w:rFonts w:ascii="Calibri" w:hAnsi="Calibri" w:cs="Calibri"/>
                <w:sz w:val="20"/>
                <w:szCs w:val="21"/>
              </w:rPr>
            </w:pPr>
            <w:r>
              <w:rPr>
                <w:rFonts w:ascii="Calibri" w:hAnsi="Calibri" w:cs="Calibri"/>
                <w:sz w:val="20"/>
                <w:szCs w:val="21"/>
              </w:rPr>
              <w:t>For the 2</w:t>
            </w:r>
            <w:r w:rsidRPr="007A2DEE">
              <w:rPr>
                <w:rFonts w:ascii="Calibri" w:hAnsi="Calibri" w:cs="Calibri"/>
                <w:sz w:val="20"/>
                <w:szCs w:val="21"/>
                <w:vertAlign w:val="superscript"/>
              </w:rPr>
              <w:t>nd</w:t>
            </w:r>
            <w:r>
              <w:rPr>
                <w:rFonts w:ascii="Calibri" w:hAnsi="Calibri" w:cs="Calibri"/>
                <w:sz w:val="20"/>
                <w:szCs w:val="21"/>
              </w:rPr>
              <w:t xml:space="preserve"> correction, we feel sympathy </w:t>
            </w:r>
            <w:bookmarkStart w:id="29" w:name="_GoBack"/>
            <w:bookmarkEnd w:id="29"/>
            <w:r>
              <w:rPr>
                <w:rFonts w:ascii="Calibri" w:hAnsi="Calibri" w:cs="Calibri"/>
                <w:sz w:val="20"/>
                <w:szCs w:val="21"/>
              </w:rPr>
              <w:t xml:space="preserve">having it right at the place where CATT proposed. Because the PHY layer provides candidate MCSt resource to the MAC layer for resource selection, which means the </w:t>
            </w:r>
            <w:r>
              <w:rPr>
                <w:rFonts w:ascii="Calibri" w:hAnsi="Calibri" w:cs="Calibri"/>
                <w:sz w:val="20"/>
                <w:szCs w:val="21"/>
              </w:rPr>
              <w:t>MAC</w:t>
            </w:r>
            <w:r>
              <w:rPr>
                <w:rFonts w:ascii="Calibri" w:hAnsi="Calibri" w:cs="Calibri"/>
                <w:sz w:val="20"/>
                <w:szCs w:val="21"/>
              </w:rPr>
              <w:t xml:space="preserve"> selects the re-tx resources along with the init-tx resource from the candidate MCSt resource all at once, rather than selecting them separately as the legacy way for licensed band operation</w:t>
            </w:r>
            <w:r>
              <w:rPr>
                <w:rFonts w:ascii="Calibri" w:hAnsi="Calibri" w:cs="Calibri"/>
                <w:sz w:val="20"/>
                <w:szCs w:val="21"/>
              </w:rPr>
              <w:t xml:space="preserve"> (T</w:t>
            </w:r>
            <w:r>
              <w:rPr>
                <w:rFonts w:ascii="Calibri" w:hAnsi="Calibri" w:cs="Calibri" w:hint="eastAsia"/>
                <w:sz w:val="20"/>
                <w:szCs w:val="21"/>
              </w:rPr>
              <w:t>he</w:t>
            </w:r>
            <w:r>
              <w:rPr>
                <w:rFonts w:ascii="Calibri" w:hAnsi="Calibri" w:cs="Calibri"/>
                <w:sz w:val="20"/>
                <w:szCs w:val="21"/>
              </w:rPr>
              <w:t xml:space="preserve"> UE firsts select init-tx resource and then enters re-tx resource selection loop)</w:t>
            </w:r>
            <w:r>
              <w:rPr>
                <w:rFonts w:ascii="Calibri" w:hAnsi="Calibri" w:cs="Calibri"/>
                <w:sz w:val="20"/>
                <w:szCs w:val="21"/>
              </w:rPr>
              <w:t>. Yet, maybe there’s some better wording. It still reads a bit weird to us.</w:t>
            </w: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2EA3" w14:textId="77777777" w:rsidR="00330663" w:rsidRDefault="00330663" w:rsidP="00792046">
      <w:r>
        <w:separator/>
      </w:r>
    </w:p>
  </w:endnote>
  <w:endnote w:type="continuationSeparator" w:id="0">
    <w:p w14:paraId="3D38CB8E" w14:textId="77777777" w:rsidR="00330663" w:rsidRDefault="00330663"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8E69B" w14:textId="77777777" w:rsidR="00330663" w:rsidRDefault="00330663" w:rsidP="00792046">
      <w:r>
        <w:separator/>
      </w:r>
    </w:p>
  </w:footnote>
  <w:footnote w:type="continuationSeparator" w:id="0">
    <w:p w14:paraId="5EC32264" w14:textId="77777777" w:rsidR="00330663" w:rsidRDefault="00330663" w:rsidP="007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50A24"/>
    <w:rsid w:val="001A261E"/>
    <w:rsid w:val="001D6B55"/>
    <w:rsid w:val="00234CB4"/>
    <w:rsid w:val="002B752C"/>
    <w:rsid w:val="002E2FAD"/>
    <w:rsid w:val="002F2FFF"/>
    <w:rsid w:val="002F371A"/>
    <w:rsid w:val="00302BF2"/>
    <w:rsid w:val="003114C3"/>
    <w:rsid w:val="00330663"/>
    <w:rsid w:val="003446C3"/>
    <w:rsid w:val="003524F5"/>
    <w:rsid w:val="0035478F"/>
    <w:rsid w:val="00384F9F"/>
    <w:rsid w:val="003A18AA"/>
    <w:rsid w:val="00500263"/>
    <w:rsid w:val="00505AF2"/>
    <w:rsid w:val="005408E7"/>
    <w:rsid w:val="0055167E"/>
    <w:rsid w:val="005D5C46"/>
    <w:rsid w:val="006A071D"/>
    <w:rsid w:val="00706F3D"/>
    <w:rsid w:val="00792046"/>
    <w:rsid w:val="00794E56"/>
    <w:rsid w:val="007A2DEE"/>
    <w:rsid w:val="007E3D9F"/>
    <w:rsid w:val="00877F3A"/>
    <w:rsid w:val="008A27F0"/>
    <w:rsid w:val="008D24FB"/>
    <w:rsid w:val="008E0798"/>
    <w:rsid w:val="008F3733"/>
    <w:rsid w:val="008F5F7E"/>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64CD8"/>
    <w:rsid w:val="00C84A5B"/>
    <w:rsid w:val="00D07906"/>
    <w:rsid w:val="00D14512"/>
    <w:rsid w:val="00D15D4B"/>
    <w:rsid w:val="00D175D5"/>
    <w:rsid w:val="00D17A74"/>
    <w:rsid w:val="00D54291"/>
    <w:rsid w:val="00D754B6"/>
    <w:rsid w:val="00D84F4C"/>
    <w:rsid w:val="00DB57E8"/>
    <w:rsid w:val="00DD2D3E"/>
    <w:rsid w:val="00E471D9"/>
    <w:rsid w:val="00E653D5"/>
    <w:rsid w:val="00E7106A"/>
    <w:rsid w:val="00E75ACE"/>
    <w:rsid w:val="00ED4330"/>
    <w:rsid w:val="00EE1442"/>
    <w:rsid w:val="00F252E0"/>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ABEF46B-CC62-4B08-A003-0E778B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046"/>
    <w:pPr>
      <w:tabs>
        <w:tab w:val="center" w:pos="4153"/>
        <w:tab w:val="right" w:pos="8306"/>
      </w:tabs>
      <w:snapToGrid w:val="0"/>
      <w:jc w:val="center"/>
    </w:pPr>
    <w:rPr>
      <w:sz w:val="18"/>
      <w:szCs w:val="18"/>
    </w:rPr>
  </w:style>
  <w:style w:type="character" w:customStyle="1" w:styleId="a5">
    <w:name w:val="页眉 字符"/>
    <w:basedOn w:val="a0"/>
    <w:link w:val="a4"/>
    <w:uiPriority w:val="99"/>
    <w:rsid w:val="00792046"/>
    <w:rPr>
      <w:sz w:val="18"/>
      <w:szCs w:val="18"/>
    </w:rPr>
  </w:style>
  <w:style w:type="paragraph" w:styleId="a6">
    <w:name w:val="footer"/>
    <w:basedOn w:val="a"/>
    <w:link w:val="a7"/>
    <w:uiPriority w:val="99"/>
    <w:unhideWhenUsed/>
    <w:rsid w:val="00792046"/>
    <w:pPr>
      <w:tabs>
        <w:tab w:val="center" w:pos="4153"/>
        <w:tab w:val="right" w:pos="8306"/>
      </w:tabs>
      <w:snapToGrid w:val="0"/>
      <w:jc w:val="left"/>
    </w:pPr>
    <w:rPr>
      <w:sz w:val="18"/>
      <w:szCs w:val="18"/>
    </w:rPr>
  </w:style>
  <w:style w:type="character" w:customStyle="1" w:styleId="a7">
    <w:name w:val="页脚 字符"/>
    <w:basedOn w:val="a0"/>
    <w:link w:val="a6"/>
    <w:uiPriority w:val="99"/>
    <w:rsid w:val="00792046"/>
    <w:rPr>
      <w:sz w:val="18"/>
      <w:szCs w:val="18"/>
    </w:rPr>
  </w:style>
  <w:style w:type="paragraph" w:styleId="a8">
    <w:name w:val="Balloon Text"/>
    <w:basedOn w:val="a"/>
    <w:link w:val="a9"/>
    <w:uiPriority w:val="99"/>
    <w:semiHidden/>
    <w:unhideWhenUsed/>
    <w:rsid w:val="003114C3"/>
    <w:rPr>
      <w:sz w:val="18"/>
      <w:szCs w:val="18"/>
    </w:rPr>
  </w:style>
  <w:style w:type="character" w:customStyle="1" w:styleId="a9">
    <w:name w:val="批注框文本 字符"/>
    <w:basedOn w:val="a0"/>
    <w:link w:val="a8"/>
    <w:uiPriority w:val="99"/>
    <w:semiHidden/>
    <w:rsid w:val="003114C3"/>
    <w:rPr>
      <w:sz w:val="18"/>
      <w:szCs w:val="18"/>
    </w:rPr>
  </w:style>
  <w:style w:type="paragraph" w:styleId="aa">
    <w:name w:val="List Paragraph"/>
    <w:basedOn w:val="a"/>
    <w:uiPriority w:val="34"/>
    <w:qFormat/>
    <w:rsid w:val="00DD2D3E"/>
    <w:pPr>
      <w:ind w:left="720"/>
      <w:contextualSpacing/>
    </w:pPr>
  </w:style>
  <w:style w:type="paragraph" w:styleId="ab">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2067</Words>
  <Characters>11782</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vivo (Jianhui)</cp:lastModifiedBy>
  <cp:revision>3</cp:revision>
  <dcterms:created xsi:type="dcterms:W3CDTF">2024-08-28T10:11:00Z</dcterms:created>
  <dcterms:modified xsi:type="dcterms:W3CDTF">2024-08-28T10:25:00Z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