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425"/>
        <w:gridCol w:w="9877"/>
        <w:gridCol w:w="2872"/>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 xml:space="preserve">if </w:t>
            </w:r>
            <w:proofErr w:type="spellStart"/>
            <w:r w:rsidRPr="00D17A74">
              <w:rPr>
                <w:rFonts w:ascii="Calibri" w:hAnsi="Calibri" w:cs="Calibri" w:hint="eastAsia"/>
                <w:b/>
                <w:bCs/>
                <w:sz w:val="20"/>
                <w:szCs w:val="21"/>
              </w:rPr>
              <w:t>MCSt</w:t>
            </w:r>
            <w:proofErr w:type="spellEnd"/>
            <w:r w:rsidRPr="00D17A74">
              <w:rPr>
                <w:rFonts w:ascii="Calibri" w:hAnsi="Calibri" w:cs="Calibri" w:hint="eastAsia"/>
                <w:b/>
                <w:bCs/>
                <w:sz w:val="20"/>
                <w:szCs w:val="21"/>
              </w:rPr>
              <w:t xml:space="preserve">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w:t>
            </w:r>
            <w:proofErr w:type="spellStart"/>
            <w:r w:rsidRPr="003524F5">
              <w:rPr>
                <w:rFonts w:ascii="Calibri" w:hAnsi="Calibri" w:cs="Calibri" w:hint="eastAsia"/>
                <w:sz w:val="20"/>
                <w:szCs w:val="21"/>
              </w:rPr>
              <w:t>MCSt</w:t>
            </w:r>
            <w:proofErr w:type="spellEnd"/>
            <w:r w:rsidRPr="003524F5">
              <w:rPr>
                <w:rFonts w:ascii="Calibri" w:hAnsi="Calibri" w:cs="Calibri" w:hint="eastAsia"/>
                <w:sz w:val="20"/>
                <w:szCs w:val="21"/>
              </w:rPr>
              <w:t xml:space="preserve">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 xml:space="preserve">UE is not expected to be (pre-)configured with both random selection and </w:t>
            </w:r>
            <w:proofErr w:type="spellStart"/>
            <w:r w:rsidRPr="00D17A74">
              <w:rPr>
                <w:rFonts w:ascii="Calibri" w:hAnsi="Calibri" w:cs="Calibri" w:hint="eastAsia"/>
                <w:sz w:val="20"/>
                <w:szCs w:val="21"/>
              </w:rPr>
              <w:t>sl</w:t>
            </w:r>
            <w:proofErr w:type="spellEnd"/>
            <w:r w:rsidRPr="00D17A74">
              <w:rPr>
                <w:rFonts w:ascii="Calibri" w:hAnsi="Calibri" w:cs="Calibri" w:hint="eastAsia"/>
                <w:sz w:val="20"/>
                <w:szCs w:val="21"/>
              </w:rPr>
              <w:t>-NRPSSCH-EUTRA-</w:t>
            </w:r>
            <w:proofErr w:type="spellStart"/>
            <w:r w:rsidRPr="00D17A74">
              <w:rPr>
                <w:rFonts w:ascii="Calibri" w:hAnsi="Calibri" w:cs="Calibri" w:hint="eastAsia"/>
                <w:sz w:val="20"/>
                <w:szCs w:val="21"/>
              </w:rPr>
              <w:t>ThresRSRP</w:t>
            </w:r>
            <w:proofErr w:type="spellEnd"/>
            <w:r w:rsidRPr="00D17A74">
              <w:rPr>
                <w:rFonts w:ascii="Calibri" w:hAnsi="Calibri" w:cs="Calibri" w:hint="eastAsia"/>
                <w:sz w:val="20"/>
                <w:szCs w:val="21"/>
              </w:rPr>
              <w:t>-List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t xml:space="preserve">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retransmissions are also allowed to be selected based on the above revision. However, if </w:t>
            </w:r>
            <w:r>
              <w:rPr>
                <w:rFonts w:ascii="Calibri" w:hAnsi="Calibri" w:cs="Calibri" w:hint="eastAsia"/>
                <w:sz w:val="20"/>
                <w:szCs w:val="21"/>
              </w:rPr>
              <w:lastRenderedPageBreak/>
              <w:t xml:space="preserve">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等线" w:hAnsi="Times New Roman" w:cs="Times New Roman"/>
                <w:kern w:val="0"/>
                <w:sz w:val="20"/>
                <w:szCs w:val="20"/>
                <w:lang w:val="en-GB"/>
              </w:rPr>
              <w:t>Dedicated SL-PRS resource pool</w:t>
            </w:r>
            <w:r w:rsidRPr="00176E40">
              <w:rPr>
                <w:rFonts w:ascii="Times New Roman" w:eastAsia="等线" w:hAnsi="Times New Roman" w:cs="Times New Roman" w:hint="eastAsia"/>
                <w:kern w:val="0"/>
                <w:sz w:val="20"/>
                <w:szCs w:val="20"/>
                <w:lang w:val="en-GB" w:eastAsia="en-US"/>
              </w:rPr>
              <w:t xml:space="preserve"> </w:t>
            </w:r>
            <w:r w:rsidRPr="00176E40">
              <w:rPr>
                <w:rFonts w:ascii="Times New Roman" w:eastAsia="等线"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Malgun Gothic"/>
                </w:rPr>
                <w:t xml:space="preserve">and the pool(s) in which all RB sets with </w:t>
              </w:r>
              <w:proofErr w:type="spellStart"/>
              <w:r w:rsidRPr="00D37AC6">
                <w:rPr>
                  <w:rFonts w:eastAsia="Malgun Gothic"/>
                </w:rPr>
                <w:t>Sidelink</w:t>
              </w:r>
              <w:proofErr w:type="spellEnd"/>
              <w:r w:rsidRPr="00D37AC6">
                <w:rPr>
                  <w:rFonts w:eastAsia="Malgun Gothic"/>
                </w:rPr>
                <w:t xml:space="preserve"> consistent LBT failure detected and not cancelled </w:t>
              </w:r>
              <w:r w:rsidRPr="00D37AC6">
                <w:t xml:space="preserve">and the resources of which the lowest sub-channel includes intra cell guard band PRBs if </w:t>
              </w:r>
              <w:proofErr w:type="spellStart"/>
              <w:r w:rsidRPr="00D37AC6">
                <w:rPr>
                  <w:i/>
                </w:rPr>
                <w:t>sl-</w:t>
              </w:r>
              <w:r w:rsidRPr="00D37AC6">
                <w:rPr>
                  <w:rFonts w:eastAsia="宋体"/>
                  <w:i/>
                  <w:iCs/>
                  <w:lang w:eastAsia="ko-KR"/>
                </w:rPr>
                <w:t>transmissionStructureForPSCCHandPSSCH</w:t>
              </w:r>
              <w:proofErr w:type="spellEnd"/>
              <w:r w:rsidRPr="00D37AC6">
                <w:rPr>
                  <w:rFonts w:eastAsia="宋体"/>
                  <w:lang w:eastAsia="ko-KR"/>
                </w:rPr>
                <w:t xml:space="preserve"> is set to '</w:t>
              </w:r>
              <w:proofErr w:type="spellStart"/>
              <w:r w:rsidRPr="00D37AC6">
                <w:rPr>
                  <w:rFonts w:eastAsia="宋体"/>
                  <w:lang w:eastAsia="ko-KR"/>
                </w:rPr>
                <w:t>contiguousRB</w:t>
              </w:r>
              <w:proofErr w:type="spellEnd"/>
              <w:r w:rsidRPr="00D37AC6">
                <w:rPr>
                  <w:rFonts w:eastAsia="宋体"/>
                  <w:lang w:eastAsia="ko-KR"/>
                </w:rPr>
                <w:t xml:space="preserve">' </w:t>
              </w:r>
              <w:r w:rsidRPr="00D37AC6">
                <w:rPr>
                  <w:rFonts w:eastAsia="Malgun Gothic"/>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hint="eastAsia"/>
                <w:sz w:val="20"/>
                <w:szCs w:val="21"/>
                <w:lang w:val="en-GB"/>
              </w:rPr>
            </w:pPr>
            <w:ins w:id="10" w:author="OPPO (Qianxi Lu)" w:date="2024-08-28T09:16:00Z">
              <w:r>
                <w:rPr>
                  <w:rFonts w:ascii="Calibri" w:hAnsi="Calibri" w:cs="Calibri" w:hint="eastAsia"/>
                  <w:sz w:val="20"/>
                  <w:szCs w:val="21"/>
                  <w:lang w:val="en-GB"/>
                </w:rPr>
                <w:t>So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t xml:space="preserve">[CATT/CICTCI]: Thanks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xml:space="preserve">. Indeed, there are some different </w:t>
            </w:r>
            <w:r>
              <w:rPr>
                <w:rFonts w:ascii="Calibri" w:hAnsi="Calibri" w:cs="Calibri" w:hint="eastAsia"/>
                <w:sz w:val="20"/>
                <w:szCs w:val="21"/>
                <w:lang w:val="en-GB"/>
              </w:rPr>
              <w:lastRenderedPageBreak/>
              <w:t>restrictions for the legacy retransmission part as high-lighted above, where</w:t>
            </w:r>
          </w:p>
          <w:p w14:paraId="7B166AF5"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transmissions since we only support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in a pool without PSFCH resources.</w:t>
            </w:r>
          </w:p>
          <w:p w14:paraId="219455BF" w14:textId="77777777" w:rsidR="008A27F0" w:rsidRPr="00497725"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w:t>
            </w:r>
            <w:proofErr w:type="spellStart"/>
            <w:r>
              <w:rPr>
                <w:rFonts w:ascii="Calibri" w:hAnsi="Calibri" w:cs="Calibri" w:hint="eastAsia"/>
                <w:sz w:val="20"/>
                <w:szCs w:val="21"/>
                <w:lang w:val="en-GB"/>
              </w:rPr>
              <w:t>MCSt</w:t>
            </w:r>
            <w:proofErr w:type="spellEnd"/>
            <w:r>
              <w:rPr>
                <w:rFonts w:ascii="Calibri" w:hAnsi="Calibri" w:cs="Calibri" w:hint="eastAsia"/>
                <w:sz w:val="20"/>
                <w:szCs w:val="21"/>
                <w:lang w:val="en-GB"/>
              </w:rPr>
              <w:t xml:space="preserve"> transmission and the UE behaviour is pretty clear. In contrast, if the second branch is also used to select HARQ retransmissions, we see more issues since it is more </w:t>
            </w:r>
            <w:r>
              <w:rPr>
                <w:rFonts w:ascii="Calibri" w:hAnsi="Calibri" w:cs="Calibri"/>
                <w:sz w:val="20"/>
                <w:szCs w:val="21"/>
                <w:lang w:val="en-GB"/>
              </w:rPr>
              <w:t>complicated</w:t>
            </w:r>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 xml:space="preserve">We believe OPPO and CATT both agree there might be HARQ retransmissions for </w:t>
            </w:r>
            <w:proofErr w:type="spellStart"/>
            <w:r>
              <w:rPr>
                <w:rFonts w:ascii="Calibri" w:hAnsi="Calibri" w:cs="Calibri"/>
                <w:sz w:val="20"/>
                <w:szCs w:val="21"/>
              </w:rPr>
              <w:t>MCSt</w:t>
            </w:r>
            <w:proofErr w:type="spellEnd"/>
            <w:r>
              <w:rPr>
                <w:rFonts w:ascii="Calibri" w:hAnsi="Calibri" w:cs="Calibri"/>
                <w:sz w:val="20"/>
                <w:szCs w:val="21"/>
              </w:rPr>
              <w:t xml:space="preserve">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xml:space="preserve">” actually leads to situation that </w:t>
            </w:r>
            <w:proofErr w:type="spellStart"/>
            <w:r>
              <w:rPr>
                <w:rFonts w:ascii="Calibri" w:hAnsi="Calibri" w:cs="Calibri"/>
                <w:sz w:val="20"/>
                <w:szCs w:val="21"/>
              </w:rPr>
              <w:t>MCSt</w:t>
            </w:r>
            <w:proofErr w:type="spellEnd"/>
            <w:r>
              <w:rPr>
                <w:rFonts w:ascii="Calibri" w:hAnsi="Calibri" w:cs="Calibri"/>
                <w:sz w:val="20"/>
                <w:szCs w:val="21"/>
              </w:rPr>
              <w:t xml:space="preserve">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 xml:space="preserve">and the number of selected transmission opportunities is less than the selected number of HARQ </w:t>
            </w:r>
            <w:r w:rsidRPr="00505AF2">
              <w:rPr>
                <w:rFonts w:ascii="Times New Roman" w:hAnsi="Times New Roman" w:cs="Times New Roman"/>
                <w:color w:val="0070C0"/>
                <w:sz w:val="20"/>
                <w:szCs w:val="21"/>
              </w:rPr>
              <w:lastRenderedPageBreak/>
              <w:t>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With above case, UE firstly selects the number of more than one transmission opportunities (</w:t>
            </w:r>
            <w:proofErr w:type="spellStart"/>
            <w:r>
              <w:rPr>
                <w:rFonts w:ascii="Calibri" w:hAnsi="Calibri" w:cs="Calibri"/>
                <w:sz w:val="20"/>
                <w:szCs w:val="21"/>
              </w:rPr>
              <w:t>n_MCSt</w:t>
            </w:r>
            <w:proofErr w:type="spellEnd"/>
            <w:r>
              <w:rPr>
                <w:rFonts w:ascii="Calibri" w:hAnsi="Calibri" w:cs="Calibri"/>
                <w:sz w:val="20"/>
                <w:szCs w:val="21"/>
              </w:rPr>
              <w:t xml:space="preserve">) and secondly selects remaining resources if </w:t>
            </w:r>
            <w:proofErr w:type="spellStart"/>
            <w:r w:rsidR="00D07906">
              <w:rPr>
                <w:rFonts w:ascii="Calibri" w:hAnsi="Calibri" w:cs="Calibri"/>
                <w:sz w:val="20"/>
                <w:szCs w:val="21"/>
              </w:rPr>
              <w:t>n_HARQ</w:t>
            </w:r>
            <w:proofErr w:type="spellEnd"/>
            <w:r w:rsidR="00D07906">
              <w:rPr>
                <w:rFonts w:ascii="Calibri" w:hAnsi="Calibri" w:cs="Calibri"/>
                <w:sz w:val="20"/>
                <w:szCs w:val="21"/>
              </w:rPr>
              <w:t>&gt;</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w:t>
            </w:r>
            <w:r w:rsidRPr="00505AF2">
              <w:rPr>
                <w:rFonts w:ascii="Calibri" w:hAnsi="Calibri" w:cs="Calibri"/>
                <w:sz w:val="20"/>
                <w:szCs w:val="21"/>
              </w:rPr>
              <w:t>That is, in a word, to allow to enter HARQ re</w:t>
            </w:r>
            <w:r w:rsidR="00D07906">
              <w:rPr>
                <w:rFonts w:ascii="Calibri" w:hAnsi="Calibri" w:cs="Calibri"/>
                <w:sz w:val="20"/>
                <w:szCs w:val="21"/>
              </w:rPr>
              <w:t xml:space="preserve">transmission loop for </w:t>
            </w:r>
            <w:proofErr w:type="spellStart"/>
            <w:r w:rsidR="00D07906">
              <w:rPr>
                <w:rFonts w:ascii="Calibri" w:hAnsi="Calibri" w:cs="Calibri"/>
                <w:sz w:val="20"/>
                <w:szCs w:val="21"/>
              </w:rPr>
              <w:t>MCSt</w:t>
            </w:r>
            <w:proofErr w:type="spellEnd"/>
            <w:r w:rsidR="00D07906">
              <w:rPr>
                <w:rFonts w:ascii="Calibri" w:hAnsi="Calibri" w:cs="Calibri"/>
                <w:sz w:val="20"/>
                <w:szCs w:val="21"/>
              </w:rPr>
              <w:t xml:space="preserve">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in the first loop (6&gt;), while whether the UE selects </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resources or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 xml:space="preserve">econdly selects remaining resources if </w:t>
              </w:r>
              <w:proofErr w:type="spellStart"/>
              <w:r w:rsidRPr="00920E0B">
                <w:rPr>
                  <w:rFonts w:ascii="Calibri" w:hAnsi="Calibri" w:cs="Calibri"/>
                  <w:b/>
                  <w:bCs/>
                  <w:sz w:val="20"/>
                  <w:szCs w:val="21"/>
                </w:rPr>
                <w:t>n_HARQ</w:t>
              </w:r>
              <w:proofErr w:type="spellEnd"/>
              <w:r w:rsidRPr="00920E0B">
                <w:rPr>
                  <w:rFonts w:ascii="Calibri" w:hAnsi="Calibri" w:cs="Calibri"/>
                  <w:b/>
                  <w:bCs/>
                  <w:sz w:val="20"/>
                  <w:szCs w:val="21"/>
                </w:rPr>
                <w:t>&gt;</w:t>
              </w:r>
              <w:proofErr w:type="spellStart"/>
              <w:r w:rsidRPr="00920E0B">
                <w:rPr>
                  <w:rFonts w:ascii="Calibri" w:hAnsi="Calibri" w:cs="Calibri"/>
                  <w:b/>
                  <w:bCs/>
                  <w:sz w:val="20"/>
                  <w:szCs w:val="21"/>
                </w:rPr>
                <w:t>n_MCSt</w:t>
              </w:r>
              <w:proofErr w:type="spellEnd"/>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xml:space="preserve">. Since if we go with the other approach, HARQ Re-Tx may still happen in case of </w:t>
              </w:r>
              <w:proofErr w:type="spellStart"/>
              <w:r>
                <w:rPr>
                  <w:rFonts w:ascii="Times New Roman" w:hAnsi="Times New Roman" w:cs="Times New Roman" w:hint="eastAsia"/>
                  <w:sz w:val="20"/>
                  <w:szCs w:val="21"/>
                </w:rPr>
                <w:t>n_HARQ</w:t>
              </w:r>
              <w:proofErr w:type="spellEnd"/>
              <w:r>
                <w:rPr>
                  <w:rFonts w:ascii="Times New Roman" w:hAnsi="Times New Roman" w:cs="Times New Roman" w:hint="eastAsia"/>
                  <w:sz w:val="20"/>
                  <w:szCs w:val="21"/>
                </w:rPr>
                <w:t xml:space="preserve"> (e.g., = 2) &lt; </w:t>
              </w:r>
              <w:proofErr w:type="spellStart"/>
              <w:r>
                <w:rPr>
                  <w:rFonts w:ascii="Times New Roman" w:hAnsi="Times New Roman" w:cs="Times New Roman" w:hint="eastAsia"/>
                  <w:sz w:val="20"/>
                  <w:szCs w:val="21"/>
                </w:rPr>
                <w:t>n_MCTs</w:t>
              </w:r>
              <w:proofErr w:type="spellEnd"/>
              <w:r>
                <w:rPr>
                  <w:rFonts w:ascii="Times New Roman" w:hAnsi="Times New Roman" w:cs="Times New Roman" w:hint="eastAsia"/>
                  <w:sz w:val="20"/>
                  <w:szCs w:val="21"/>
                </w:rPr>
                <w:t xml:space="preserve">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 xml:space="preserve">based on the number of </w:t>
              </w:r>
              <w:proofErr w:type="spellStart"/>
              <w:r w:rsidRPr="00920E0B">
                <w:rPr>
                  <w:rFonts w:ascii="Calibri" w:hAnsi="Calibri" w:cs="Calibri" w:hint="eastAsia"/>
                  <w:sz w:val="20"/>
                  <w:szCs w:val="21"/>
                  <w:highlight w:val="lightGray"/>
                </w:rPr>
                <w:t>MCSt</w:t>
              </w:r>
              <w:proofErr w:type="spellEnd"/>
              <w:r w:rsidRPr="00920E0B">
                <w:rPr>
                  <w:rFonts w:ascii="Calibri" w:hAnsi="Calibri" w:cs="Calibri" w:hint="eastAsia"/>
                  <w:sz w:val="20"/>
                  <w:szCs w:val="21"/>
                  <w:highlight w:val="lightGray"/>
                </w:rPr>
                <w:t xml:space="preserve">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lastRenderedPageBreak/>
              <w:t xml:space="preserve">Huawei, </w:t>
            </w:r>
            <w:proofErr w:type="spellStart"/>
            <w:r>
              <w:rPr>
                <w:rFonts w:ascii="Calibri" w:hAnsi="Calibri" w:cs="Calibri"/>
                <w:sz w:val="20"/>
                <w:szCs w:val="21"/>
              </w:rPr>
              <w:t>HiSilicon</w:t>
            </w:r>
            <w:proofErr w:type="spellEnd"/>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7"/>
              <w:numPr>
                <w:ilvl w:val="0"/>
                <w:numId w:val="1"/>
              </w:numPr>
              <w:rPr>
                <w:rFonts w:ascii="Calibri" w:hAnsi="Calibri" w:cs="Calibri"/>
                <w:sz w:val="20"/>
                <w:szCs w:val="21"/>
              </w:rPr>
            </w:pPr>
            <w:r>
              <w:rPr>
                <w:rFonts w:ascii="Calibri" w:hAnsi="Calibri" w:cs="Calibri"/>
                <w:sz w:val="20"/>
                <w:szCs w:val="21"/>
              </w:rPr>
              <w:t xml:space="preserve">Regarding the </w:t>
            </w:r>
            <w:proofErr w:type="spellStart"/>
            <w:r w:rsidRPr="00DD2D3E">
              <w:rPr>
                <w:rFonts w:ascii="Calibri" w:hAnsi="Calibri" w:cs="Calibri"/>
                <w:sz w:val="20"/>
                <w:szCs w:val="21"/>
              </w:rPr>
              <w:t>MCSt</w:t>
            </w:r>
            <w:proofErr w:type="spellEnd"/>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 xml:space="preserve">RAN2 has </w:t>
            </w:r>
            <w:r w:rsidRPr="00E471D9">
              <w:rPr>
                <w:rFonts w:ascii="Calibri" w:hAnsi="Calibri" w:cs="Calibri"/>
                <w:sz w:val="20"/>
                <w:szCs w:val="21"/>
              </w:rPr>
              <w:lastRenderedPageBreak/>
              <w:t>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 xml:space="preserve">As you know, the legacy resource selection procedure is separated into the initial transmission resource loop and HARQ retransmission resource loop. However, when reflecting the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the HARQ retransmission resource was selected from the initial transmission loop, breaking the logic of the legacy resource selection operation. Rapporteur has considered a TP to reflect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hint="eastAsia"/>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w:t>
              </w:r>
              <w:bookmarkStart w:id="22" w:name="_GoBack"/>
              <w:bookmarkEnd w:id="22"/>
              <w:r w:rsidR="00500263">
                <w:rPr>
                  <w:rFonts w:ascii="Calibri" w:hAnsi="Calibri" w:cs="Calibri" w:hint="eastAsia"/>
                  <w:sz w:val="20"/>
                  <w:szCs w:val="21"/>
                </w:rPr>
                <w:t>the limited time)</w:t>
              </w:r>
            </w:ins>
            <w:ins w:id="23" w:author="OPPO (Qianxi Lu)" w:date="2024-08-28T09:19:00Z">
              <w:r w:rsidR="00500263">
                <w:rPr>
                  <w:rFonts w:ascii="Calibri" w:hAnsi="Calibri" w:cs="Calibri" w:hint="eastAsia"/>
                  <w:sz w:val="20"/>
                  <w:szCs w:val="21"/>
                </w:rPr>
                <w:t>. We can list</w:t>
              </w:r>
            </w:ins>
            <w:ins w:id="24"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hint="eastAsia"/>
                <w:sz w:val="20"/>
                <w:szCs w:val="21"/>
              </w:rPr>
            </w:pPr>
          </w:p>
          <w:p w14:paraId="75CBAE2D" w14:textId="7777777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520B0551" w14:textId="6150A049" w:rsidR="008A27F0" w:rsidRPr="008A27F0" w:rsidRDefault="008A27F0" w:rsidP="00E7106A">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E399A" w14:textId="77777777" w:rsidR="00A23E7C" w:rsidRDefault="00A23E7C" w:rsidP="00792046">
      <w:r>
        <w:separator/>
      </w:r>
    </w:p>
  </w:endnote>
  <w:endnote w:type="continuationSeparator" w:id="0">
    <w:p w14:paraId="3442B0A8" w14:textId="77777777" w:rsidR="00A23E7C" w:rsidRDefault="00A23E7C"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9BEC2" w14:textId="77777777" w:rsidR="00A23E7C" w:rsidRDefault="00A23E7C" w:rsidP="00792046">
      <w:r>
        <w:separator/>
      </w:r>
    </w:p>
  </w:footnote>
  <w:footnote w:type="continuationSeparator" w:id="0">
    <w:p w14:paraId="37F6CFA3" w14:textId="77777777" w:rsidR="00A23E7C" w:rsidRDefault="00A23E7C" w:rsidP="00792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446C3"/>
    <w:rsid w:val="003524F5"/>
    <w:rsid w:val="0035478F"/>
    <w:rsid w:val="00500263"/>
    <w:rsid w:val="00505AF2"/>
    <w:rsid w:val="005408E7"/>
    <w:rsid w:val="0055167E"/>
    <w:rsid w:val="005D5C46"/>
    <w:rsid w:val="006A071D"/>
    <w:rsid w:val="00792046"/>
    <w:rsid w:val="00794E56"/>
    <w:rsid w:val="007E3D9F"/>
    <w:rsid w:val="00877F3A"/>
    <w:rsid w:val="008A27F0"/>
    <w:rsid w:val="008D24FB"/>
    <w:rsid w:val="008E0798"/>
    <w:rsid w:val="008F3733"/>
    <w:rsid w:val="008F5F7E"/>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64CD8"/>
    <w:rsid w:val="00C84A5B"/>
    <w:rsid w:val="00D07906"/>
    <w:rsid w:val="00D14512"/>
    <w:rsid w:val="00D175D5"/>
    <w:rsid w:val="00D17A74"/>
    <w:rsid w:val="00D54291"/>
    <w:rsid w:val="00D754B6"/>
    <w:rsid w:val="00D84F4C"/>
    <w:rsid w:val="00DB57E8"/>
    <w:rsid w:val="00DD2D3E"/>
    <w:rsid w:val="00E471D9"/>
    <w:rsid w:val="00E653D5"/>
    <w:rsid w:val="00E7106A"/>
    <w:rsid w:val="00E75ACE"/>
    <w:rsid w:val="00ED4330"/>
    <w:rsid w:val="00EE1442"/>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页眉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页脚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批注框文本 Char"/>
    <w:basedOn w:val="a0"/>
    <w:link w:val="a6"/>
    <w:uiPriority w:val="99"/>
    <w:semiHidden/>
    <w:rsid w:val="003114C3"/>
    <w:rPr>
      <w:sz w:val="18"/>
      <w:szCs w:val="18"/>
    </w:rPr>
  </w:style>
  <w:style w:type="paragraph" w:styleId="a7">
    <w:name w:val="List Paragraph"/>
    <w:basedOn w:val="a"/>
    <w:uiPriority w:val="34"/>
    <w:qFormat/>
    <w:rsid w:val="00DD2D3E"/>
    <w:pPr>
      <w:ind w:left="720"/>
      <w:contextualSpacing/>
    </w:pPr>
  </w:style>
  <w:style w:type="paragraph" w:styleId="a8">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页眉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页脚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批注框文本 Char"/>
    <w:basedOn w:val="a0"/>
    <w:link w:val="a6"/>
    <w:uiPriority w:val="99"/>
    <w:semiHidden/>
    <w:rsid w:val="003114C3"/>
    <w:rPr>
      <w:sz w:val="18"/>
      <w:szCs w:val="18"/>
    </w:rPr>
  </w:style>
  <w:style w:type="paragraph" w:styleId="a7">
    <w:name w:val="List Paragraph"/>
    <w:basedOn w:val="a"/>
    <w:uiPriority w:val="34"/>
    <w:qFormat/>
    <w:rsid w:val="00DD2D3E"/>
    <w:pPr>
      <w:ind w:left="720"/>
      <w:contextualSpacing/>
    </w:pPr>
  </w:style>
  <w:style w:type="paragraph" w:styleId="a8">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1815</Words>
  <Characters>10348</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CATT (Xiao)_v04</cp:lastModifiedBy>
  <cp:revision>3</cp:revision>
  <dcterms:created xsi:type="dcterms:W3CDTF">2024-08-28T01:20:00Z</dcterms:created>
  <dcterms:modified xsi:type="dcterms:W3CDTF">2024-08-28T02:22:00Z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