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commentRangeStart w:id="9"/>
      <w:ins w:id="10" w:author="Jussi-Pekka Koskinen (Nokia)" w:date="2024-05-27T15:26:00Z">
        <w:r w:rsidR="00965D0B" w:rsidRPr="00965D0B">
          <w:rPr>
            <w:rFonts w:ascii="Arial" w:hAnsi="Arial" w:cs="Arial"/>
            <w:lang w:eastAsia="zh-CN"/>
          </w:rPr>
          <w:t>there are no impacts to RAN2 specs for either Rel-17 or Rel-18</w:t>
        </w:r>
      </w:ins>
      <w:ins w:id="11" w:author="Jussi-Pekka Koskinen (Nokia)" w:date="2024-05-27T15:27:00Z">
        <w:r w:rsidR="00965D0B">
          <w:rPr>
            <w:rFonts w:ascii="Arial" w:hAnsi="Arial" w:cs="Arial"/>
            <w:lang w:eastAsia="zh-CN"/>
          </w:rPr>
          <w:t>.</w:t>
        </w:r>
      </w:ins>
      <w:commentRangeEnd w:id="0"/>
      <w:ins w:id="12"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commentRangeEnd w:id="9"/>
      <w:r w:rsidR="00B01B56">
        <w:rPr>
          <w:rStyle w:val="CommentReference"/>
        </w:rPr>
        <w:commentReference w:id="9"/>
      </w:r>
      <w:ins w:id="13" w:author="Jussi-Pekka Koskinen (Nokia)" w:date="2024-05-27T15:26:00Z">
        <w:del w:id="14"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5" w:author="Jussi-Pekka Koskinen (Nokia)" w:date="2024-05-27T15:29:00Z"/>
          <w:rFonts w:ascii="Arial" w:hAnsi="Arial" w:cs="Arial"/>
          <w:lang w:eastAsia="zh-CN"/>
        </w:rPr>
      </w:pPr>
      <w:commentRangeStart w:id="16"/>
      <w:ins w:id="17" w:author="Jussi-Pekka Koskinen (Nokia)" w:date="2024-05-27T15:29:00Z">
        <w:r>
          <w:rPr>
            <w:rFonts w:ascii="Arial" w:hAnsi="Arial" w:cs="Arial"/>
            <w:lang w:eastAsia="zh-CN"/>
          </w:rPr>
          <w:t>T</w:t>
        </w:r>
      </w:ins>
      <w:commentRangeEnd w:id="16"/>
      <w:r w:rsidR="00B65459">
        <w:rPr>
          <w:rStyle w:val="CommentReference"/>
        </w:rPr>
        <w:commentReference w:id="16"/>
      </w:r>
      <w:ins w:id="18" w:author="Jussi-Pekka Koskinen (Nokia)" w:date="2024-05-27T15:29:00Z">
        <w:r w:rsidRPr="00965D0B">
          <w:rPr>
            <w:rFonts w:ascii="Arial" w:hAnsi="Arial" w:cs="Arial"/>
            <w:lang w:eastAsia="zh-CN"/>
          </w:rPr>
          <w:t>he followi</w:t>
        </w:r>
        <w:commentRangeStart w:id="19"/>
        <w:commentRangeStart w:id="20"/>
        <w:commentRangeStart w:id="21"/>
        <w:commentRangeStart w:id="22"/>
        <w:commentRangeStart w:id="23"/>
        <w:commentRangeStart w:id="24"/>
        <w:commentRangeStart w:id="25"/>
        <w:r w:rsidRPr="00965D0B">
          <w:rPr>
            <w:rFonts w:ascii="Arial" w:hAnsi="Arial" w:cs="Arial"/>
            <w:lang w:eastAsia="zh-CN"/>
          </w:rPr>
          <w:t xml:space="preserve">ng is captured in </w:t>
        </w:r>
        <w:r>
          <w:rPr>
            <w:rFonts w:ascii="Arial" w:hAnsi="Arial" w:cs="Arial"/>
            <w:lang w:eastAsia="zh-CN"/>
          </w:rPr>
          <w:t>TS 38.300:</w:t>
        </w:r>
      </w:ins>
      <w:commentRangeEnd w:id="19"/>
      <w:r w:rsidR="00E86515">
        <w:rPr>
          <w:rStyle w:val="CommentReference"/>
        </w:rPr>
        <w:commentReference w:id="19"/>
      </w:r>
      <w:commentRangeEnd w:id="20"/>
      <w:r w:rsidR="00745231">
        <w:rPr>
          <w:rStyle w:val="CommentReference"/>
        </w:rPr>
        <w:commentReference w:id="20"/>
      </w:r>
      <w:commentRangeEnd w:id="21"/>
      <w:r w:rsidR="00286F04">
        <w:rPr>
          <w:rStyle w:val="CommentReference"/>
        </w:rPr>
        <w:commentReference w:id="21"/>
      </w:r>
      <w:commentRangeEnd w:id="22"/>
      <w:r w:rsidR="005445D6">
        <w:rPr>
          <w:rStyle w:val="CommentReference"/>
        </w:rPr>
        <w:commentReference w:id="22"/>
      </w:r>
      <w:commentRangeEnd w:id="23"/>
      <w:r w:rsidR="00F5764E">
        <w:rPr>
          <w:rStyle w:val="CommentReference"/>
        </w:rPr>
        <w:commentReference w:id="23"/>
      </w:r>
      <w:commentRangeEnd w:id="24"/>
      <w:r w:rsidR="00D260FC">
        <w:rPr>
          <w:rStyle w:val="CommentReference"/>
        </w:rPr>
        <w:commentReference w:id="24"/>
      </w:r>
      <w:commentRangeEnd w:id="25"/>
      <w:r w:rsidR="00B01B56">
        <w:rPr>
          <w:rStyle w:val="CommentReference"/>
        </w:rPr>
        <w:commentReference w:id="25"/>
      </w:r>
    </w:p>
    <w:tbl>
      <w:tblPr>
        <w:tblStyle w:val="TableGrid"/>
        <w:tblW w:w="0" w:type="auto"/>
        <w:tblLook w:val="04A0" w:firstRow="1" w:lastRow="0" w:firstColumn="1" w:lastColumn="0" w:noHBand="0" w:noVBand="1"/>
      </w:tblPr>
      <w:tblGrid>
        <w:gridCol w:w="9631"/>
      </w:tblGrid>
      <w:tr w:rsidR="00110312" w14:paraId="51BD04A1" w14:textId="77777777" w:rsidTr="00965D0B">
        <w:trPr>
          <w:ins w:id="26"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7" w:author="Jussi-Pekka Koskinen (Nokia)" w:date="2024-05-27T15:30:00Z"/>
                <w:rFonts w:eastAsia="Yu Mincho"/>
                <w:lang w:eastAsia="ja-JP"/>
              </w:rPr>
            </w:pPr>
            <w:ins w:id="28"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9" w:author="Jussi-Pekka Koskinen (Nokia)" w:date="2024-05-27T15:30:00Z"/>
                <w:rFonts w:ascii="Arial" w:hAnsi="Arial" w:cs="Arial"/>
                <w:lang w:eastAsia="zh-CN"/>
              </w:rPr>
            </w:pPr>
            <w:ins w:id="30"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31" w:author="Jussi-Pekka Koskinen (Nokia)" w:date="2024-05-27T15:29:00Z"/>
          <w:rFonts w:ascii="Arial" w:hAnsi="Arial" w:cs="Arial"/>
          <w:lang w:eastAsia="zh-CN"/>
        </w:rPr>
      </w:pPr>
    </w:p>
    <w:p w14:paraId="7F87DF50" w14:textId="77777777" w:rsidR="00965D0B" w:rsidRDefault="00965D0B" w:rsidP="00F75BBB">
      <w:pPr>
        <w:jc w:val="both"/>
        <w:rPr>
          <w:ins w:id="32"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3"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4"/>
      <w:commentRangeStart w:id="35"/>
      <w:commentRangeStart w:id="36"/>
      <w:ins w:id="37" w:author="Apple - Fangli" w:date="2024-05-27T15:07:00Z">
        <w:r w:rsidR="0059076C">
          <w:rPr>
            <w:rFonts w:ascii="Arial" w:hAnsi="Arial" w:cs="Arial"/>
            <w:lang w:eastAsia="zh-CN"/>
          </w:rPr>
          <w:t>but</w:t>
        </w:r>
      </w:ins>
      <w:commentRangeEnd w:id="34"/>
      <w:ins w:id="38" w:author="Apple - Fangli" w:date="2024-05-27T15:13:00Z">
        <w:r w:rsidR="00DF455C">
          <w:rPr>
            <w:rStyle w:val="CommentReference"/>
          </w:rPr>
          <w:commentReference w:id="34"/>
        </w:r>
      </w:ins>
      <w:commentRangeEnd w:id="35"/>
      <w:r w:rsidR="00364ECE">
        <w:rPr>
          <w:rStyle w:val="CommentReference"/>
        </w:rPr>
        <w:commentReference w:id="35"/>
      </w:r>
      <w:ins w:id="39" w:author="Apple - Fangli" w:date="2024-05-27T15:07:00Z">
        <w:r w:rsidR="0059076C">
          <w:rPr>
            <w:rFonts w:ascii="Arial" w:hAnsi="Arial" w:cs="Arial"/>
            <w:lang w:eastAsia="zh-CN"/>
          </w:rPr>
          <w:t xml:space="preserve"> not reset MAC </w:t>
        </w:r>
      </w:ins>
      <w:ins w:id="40" w:author="Apple - Fangli" w:date="2024-05-27T15:08:00Z">
        <w:r w:rsidR="0059076C">
          <w:rPr>
            <w:rFonts w:ascii="Arial" w:hAnsi="Arial" w:cs="Arial"/>
            <w:lang w:eastAsia="zh-CN"/>
          </w:rPr>
          <w:t xml:space="preserve"> </w:t>
        </w:r>
      </w:ins>
      <w:commentRangeEnd w:id="36"/>
      <w:r w:rsidR="00E5673C">
        <w:rPr>
          <w:rStyle w:val="CommentReference"/>
        </w:rPr>
        <w:commentReference w:id="36"/>
      </w:r>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 xml:space="preserve">In a previous email discussion [AT116bis-e][502] Q13, the summary by the rapporteur says “15 companies agreed to support a response of </w:t>
      </w:r>
      <w:proofErr w:type="spellStart"/>
      <w:r>
        <w:t>RRCSetup</w:t>
      </w:r>
      <w:proofErr w:type="spellEnd"/>
      <w:r>
        <w:t xml:space="preserve"> to non-SDT data arrival indication. 5 companies don’t see any point to support the </w:t>
      </w:r>
      <w:proofErr w:type="spellStart"/>
      <w:r>
        <w:t>RRCSetup</w:t>
      </w:r>
      <w:proofErr w:type="spellEnd"/>
      <w:r>
        <w:t xml:space="preserve"> as a response to the non-SDT data arrival indication because </w:t>
      </w:r>
      <w:proofErr w:type="spellStart"/>
      <w:r>
        <w:t>RRCSetup</w:t>
      </w:r>
      <w:proofErr w:type="spellEnd"/>
      <w:r>
        <w:t xml:space="preserve">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w:t>
      </w:r>
      <w:proofErr w:type="spellStart"/>
      <w:r>
        <w:t>RRCSetup</w:t>
      </w:r>
      <w:proofErr w:type="spellEnd"/>
      <w:r>
        <w:t xml:space="preserve"> as a response to non-SDT arrival, the current specification supports the use of </w:t>
      </w:r>
      <w:proofErr w:type="spellStart"/>
      <w:r>
        <w:t>RRCSetup</w:t>
      </w:r>
      <w:proofErr w:type="spellEnd"/>
      <w:r>
        <w:t xml:space="preserve"> for a response of </w:t>
      </w:r>
      <w:proofErr w:type="spellStart"/>
      <w:r>
        <w:t>RRCResumeRequest</w:t>
      </w:r>
      <w:proofErr w:type="spellEnd"/>
      <w:r>
        <w:t xml:space="preserve">. Hence, RAN2 agreed to reply no specification impact on </w:t>
      </w:r>
      <w:r w:rsidR="00364ECE">
        <w:t xml:space="preserve">the use of </w:t>
      </w:r>
      <w:proofErr w:type="spellStart"/>
      <w:r>
        <w:t>RRCSetup</w:t>
      </w:r>
      <w:proofErr w:type="spellEnd"/>
      <w:r>
        <w:t>.</w:t>
      </w:r>
    </w:p>
  </w:comment>
  <w:comment w:id="3" w:author="Intel (Sudeep)" w:date="2024-05-29T10:28:00Z" w:initials="SKP">
    <w:p w14:paraId="13ACFDD1" w14:textId="77777777" w:rsidR="00286F04" w:rsidRDefault="00286F04" w:rsidP="00286F04">
      <w:pPr>
        <w:pStyle w:val="CommentText"/>
      </w:pPr>
      <w:r>
        <w:rPr>
          <w:rStyle w:val="CommentReference"/>
        </w:rPr>
        <w:annotationRef/>
      </w:r>
      <w:proofErr w:type="spellStart"/>
      <w:r>
        <w:t>RRCSetup</w:t>
      </w:r>
      <w:proofErr w:type="spellEnd"/>
      <w:r>
        <w:t xml:space="preserve"> can be sent in response to </w:t>
      </w:r>
      <w:proofErr w:type="spellStart"/>
      <w:r>
        <w:t>ResumeRequest</w:t>
      </w:r>
      <w:proofErr w:type="spellEnd"/>
      <w:r>
        <w:t xml:space="preserve">/re-establishment.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w:t>
      </w:r>
      <w:proofErr w:type="spellStart"/>
      <w:r>
        <w:t>RRCConnected</w:t>
      </w:r>
      <w:proofErr w:type="spellEnd"/>
      <w:r>
        <w:t xml:space="preserve">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w:t>
      </w:r>
      <w:proofErr w:type="spellStart"/>
      <w:r>
        <w:t>RRCSetup</w:t>
      </w:r>
      <w:proofErr w:type="spellEnd"/>
      <w:r>
        <w:t xml:space="preserve">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proofErr w:type="spellStart"/>
      <w:r>
        <w:rPr>
          <w:i/>
          <w:iCs/>
        </w:rPr>
        <w:t>RRCSetup</w:t>
      </w:r>
      <w:proofErr w:type="spellEnd"/>
      <w:r>
        <w:t xml:space="preserve"> by the UE</w:t>
      </w:r>
    </w:p>
    <w:p w14:paraId="378625CD" w14:textId="77777777" w:rsidR="00D260FC" w:rsidRDefault="00D260FC" w:rsidP="00D260FC">
      <w:pPr>
        <w:pStyle w:val="CommentText"/>
      </w:pPr>
      <w:r>
        <w:t xml:space="preserve">The UE shall perform the following actions upon reception of the </w:t>
      </w:r>
      <w:proofErr w:type="spellStart"/>
      <w:r>
        <w:rPr>
          <w:i/>
          <w:iCs/>
        </w:rPr>
        <w:t>RRCSetup</w:t>
      </w:r>
      <w:proofErr w:type="spellEnd"/>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proofErr w:type="spellStart"/>
      <w:r>
        <w:rPr>
          <w:i/>
          <w:iCs/>
        </w:rPr>
        <w:t>RRCSetup</w:t>
      </w:r>
      <w:proofErr w:type="spellEnd"/>
      <w:r>
        <w:t xml:space="preserve"> is received in response to an </w:t>
      </w:r>
      <w:proofErr w:type="spellStart"/>
      <w:r>
        <w:rPr>
          <w:i/>
          <w:iCs/>
        </w:rPr>
        <w:t>RRCResumeRequest</w:t>
      </w:r>
      <w:proofErr w:type="spellEnd"/>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Agree with Nokia and LGE here, current specifications seems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 xml:space="preserve">It is better to have further discussion on the issue pointed by Intel. Before everything is clear on using </w:t>
      </w:r>
      <w:proofErr w:type="spellStart"/>
      <w:r>
        <w:t>RRCSetup</w:t>
      </w:r>
      <w:proofErr w:type="spellEnd"/>
      <w:r>
        <w:t xml:space="preserve"> to all SDT scenario in RAN2 spec, we not prefer to say no impacts on RAN2 spec.</w:t>
      </w:r>
    </w:p>
  </w:comment>
  <w:comment w:id="9" w:author="ZTE" w:date="2024-05-30T08:35:00Z" w:initials="Z">
    <w:p w14:paraId="280FDAB2" w14:textId="77777777" w:rsidR="00B01B56" w:rsidRDefault="00B01B56" w:rsidP="00B01B56">
      <w:pPr>
        <w:pStyle w:val="CommentText"/>
      </w:pPr>
      <w:r>
        <w:rPr>
          <w:rStyle w:val="CommentReference"/>
        </w:rPr>
        <w:annotationRef/>
      </w:r>
      <w:r>
        <w:t xml:space="preserve">Given all the discussion, we want to note that until now, there seems to be no use case for sending </w:t>
      </w:r>
      <w:proofErr w:type="spellStart"/>
      <w:r>
        <w:t>RRCSetup</w:t>
      </w:r>
      <w:proofErr w:type="spellEnd"/>
      <w:r>
        <w:t xml:space="preserve"> during SDT after UE context was successfully retrieved and for instance DL data has been exchanged. We wonder if UEs can support receiving this since neither a restriction nor a clear use case exists for this. May be UE vendors can clarify the behaviour for this. Sending </w:t>
      </w:r>
      <w:proofErr w:type="spellStart"/>
      <w:r>
        <w:t>RRCSetup</w:t>
      </w:r>
      <w:proofErr w:type="spellEnd"/>
      <w:r>
        <w:t xml:space="preserve"> in the middle of the session (</w:t>
      </w:r>
      <w:proofErr w:type="spellStart"/>
      <w:r>
        <w:t>e.g</w:t>
      </w:r>
      <w:proofErr w:type="spellEnd"/>
      <w:r>
        <w:t xml:space="preserve"> during connected mode) seems to make no sense and hence we want to make sure that UE vendors do support this before confirming that everything is fine given there is different interpretations of the current specs. </w:t>
      </w:r>
    </w:p>
    <w:p w14:paraId="1B5D87BA" w14:textId="0345A134" w:rsidR="00B01B56" w:rsidRDefault="00B01B56">
      <w:pPr>
        <w:pStyle w:val="CommentText"/>
      </w:pPr>
    </w:p>
  </w:comment>
  <w:comment w:id="16" w:author="LGE (Hanul)" w:date="2024-05-29T16:36:00Z" w:initials="(Hanul)">
    <w:p w14:paraId="687AA0D6" w14:textId="00542A23"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proofErr w:type="spellStart"/>
      <w:r>
        <w:rPr>
          <w:rFonts w:eastAsia="Malgun Gothic"/>
          <w:lang w:eastAsia="ko-KR"/>
        </w:rPr>
        <w:t>RRCSetup</w:t>
      </w:r>
      <w:proofErr w:type="spellEnd"/>
      <w:r>
        <w:rPr>
          <w:rFonts w:eastAsia="Malgun Gothic"/>
          <w:lang w:eastAsia="ko-KR"/>
        </w:rPr>
        <w:t xml:space="preserve"> as a response to </w:t>
      </w:r>
      <w:proofErr w:type="spellStart"/>
      <w:r>
        <w:rPr>
          <w:rFonts w:eastAsia="Malgun Gothic"/>
          <w:lang w:eastAsia="ko-KR"/>
        </w:rPr>
        <w:t>RRCResumeRequest</w:t>
      </w:r>
      <w:proofErr w:type="spellEnd"/>
      <w:r>
        <w:rPr>
          <w:rFonts w:eastAsia="Malgun Gothic"/>
          <w:lang w:eastAsia="ko-KR"/>
        </w:rPr>
        <w:t xml:space="preserve">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9" w:author="Intel (Sudeep)" w:date="2024-05-28T22:07:00Z" w:initials="SKP">
    <w:p w14:paraId="2109C94C" w14:textId="77777777" w:rsidR="00BD2682" w:rsidRDefault="00E86515" w:rsidP="00BD2682">
      <w:pPr>
        <w:pStyle w:val="CommentText"/>
      </w:pPr>
      <w:r>
        <w:rPr>
          <w:rStyle w:val="CommentReference"/>
        </w:rPr>
        <w:annotationRef/>
      </w:r>
      <w:r w:rsidR="00BD2682">
        <w:t xml:space="preserve">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w:t>
      </w:r>
      <w:proofErr w:type="spellStart"/>
      <w:r w:rsidR="00BD2682">
        <w:t>RRCReject</w:t>
      </w:r>
      <w:proofErr w:type="spellEnd"/>
      <w:r w:rsidR="00BD2682">
        <w:t xml:space="preserve"> is also listed here and it is clear that </w:t>
      </w:r>
      <w:proofErr w:type="spellStart"/>
      <w:r w:rsidR="00BD2682">
        <w:t>RRCReject</w:t>
      </w:r>
      <w:proofErr w:type="spellEnd"/>
      <w:r w:rsidR="00BD2682">
        <w:t xml:space="preserve"> cannot be sent during SDT session.</w:t>
      </w:r>
    </w:p>
  </w:comment>
  <w:comment w:id="20"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w:t>
      </w:r>
      <w:proofErr w:type="spellStart"/>
      <w:r w:rsidR="00B44EE0">
        <w:rPr>
          <w:rFonts w:eastAsia="Malgun Gothic"/>
          <w:lang w:eastAsia="ko-KR"/>
        </w:rPr>
        <w:t>RRCReject</w:t>
      </w:r>
      <w:proofErr w:type="spellEnd"/>
      <w:r w:rsidR="00B44EE0">
        <w:rPr>
          <w:rFonts w:eastAsia="Malgun Gothic"/>
          <w:lang w:eastAsia="ko-KR"/>
        </w:rPr>
        <w:t xml:space="preserve">,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 xml:space="preserve">the current RRC specification supports </w:t>
      </w:r>
      <w:proofErr w:type="spellStart"/>
      <w:r w:rsidR="004F127D" w:rsidRPr="006D7EE0">
        <w:rPr>
          <w:rFonts w:eastAsia="Malgun Gothic"/>
          <w:lang w:eastAsia="ko-KR"/>
        </w:rPr>
        <w:t>RRCReject</w:t>
      </w:r>
      <w:proofErr w:type="spellEnd"/>
      <w:r w:rsidR="004F127D" w:rsidRPr="006D7EE0">
        <w:rPr>
          <w:rFonts w:eastAsia="Malgun Gothic"/>
          <w:lang w:eastAsia="ko-KR"/>
        </w:rPr>
        <w:t xml:space="preserve"> as a response to </w:t>
      </w:r>
      <w:proofErr w:type="spellStart"/>
      <w:r w:rsidR="004F127D" w:rsidRPr="006D7EE0">
        <w:rPr>
          <w:rFonts w:eastAsia="Malgun Gothic"/>
          <w:lang w:eastAsia="ko-KR"/>
        </w:rPr>
        <w:t>RRCResumeRequest</w:t>
      </w:r>
      <w:proofErr w:type="spellEnd"/>
      <w:r w:rsidR="004F127D" w:rsidRPr="006D7EE0">
        <w:rPr>
          <w:rFonts w:eastAsia="Malgun Gothic"/>
          <w:lang w:eastAsia="ko-KR"/>
        </w:rPr>
        <w: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 xml:space="preserve">Network can respond with </w:t>
      </w:r>
      <w:proofErr w:type="spellStart"/>
      <w:r w:rsidRPr="00B65459">
        <w:rPr>
          <w:rFonts w:eastAsia="Malgun Gothic"/>
          <w:i/>
          <w:lang w:eastAsia="ko-KR"/>
        </w:rPr>
        <w:t>RRCSetup</w:t>
      </w:r>
      <w:proofErr w:type="spellEnd"/>
      <w:r w:rsidRPr="00B65459">
        <w:rPr>
          <w:rFonts w:eastAsia="Malgun Gothic"/>
          <w:i/>
          <w:lang w:eastAsia="ko-KR"/>
        </w:rPr>
        <w:t xml:space="preserve"> or </w:t>
      </w:r>
      <w:proofErr w:type="spellStart"/>
      <w:r w:rsidRPr="00B65459">
        <w:rPr>
          <w:rFonts w:eastAsia="Malgun Gothic"/>
          <w:i/>
          <w:lang w:eastAsia="ko-KR"/>
        </w:rPr>
        <w:t>RRCReject</w:t>
      </w:r>
      <w:proofErr w:type="spellEnd"/>
      <w:r w:rsidRPr="00B65459">
        <w:rPr>
          <w:rFonts w:eastAsia="Malgun Gothic"/>
          <w:i/>
          <w:lang w:eastAsia="ko-KR"/>
        </w:rPr>
        <w:t xml:space="preserve"> to </w:t>
      </w:r>
      <w:proofErr w:type="spellStart"/>
      <w:r w:rsidRPr="00B65459">
        <w:rPr>
          <w:rFonts w:eastAsia="Malgun Gothic"/>
          <w:i/>
          <w:lang w:eastAsia="ko-KR"/>
        </w:rPr>
        <w:t>RRCResumeRequest</w:t>
      </w:r>
      <w:proofErr w:type="spellEnd"/>
      <w:r w:rsidRPr="00B65459">
        <w:rPr>
          <w:rFonts w:eastAsia="Malgun Gothic"/>
          <w:i/>
          <w:lang w:eastAsia="ko-KR"/>
        </w:rPr>
        <w:t xml:space="preserve"> for SDT and the UE behaviour upon reception of the </w:t>
      </w:r>
      <w:proofErr w:type="spellStart"/>
      <w:r w:rsidRPr="00B65459">
        <w:rPr>
          <w:rFonts w:eastAsia="Malgun Gothic"/>
          <w:i/>
          <w:lang w:eastAsia="ko-KR"/>
        </w:rPr>
        <w:t>RRCSetup</w:t>
      </w:r>
      <w:proofErr w:type="spellEnd"/>
      <w:r w:rsidRPr="00B65459">
        <w:rPr>
          <w:rFonts w:eastAsia="Malgun Gothic"/>
          <w:i/>
          <w:lang w:eastAsia="ko-KR"/>
        </w:rPr>
        <w:t xml:space="preserve"> or </w:t>
      </w:r>
      <w:proofErr w:type="spellStart"/>
      <w:r w:rsidRPr="00B65459">
        <w:rPr>
          <w:rFonts w:eastAsia="Malgun Gothic"/>
          <w:i/>
          <w:lang w:eastAsia="ko-KR"/>
        </w:rPr>
        <w:t>RRCReject</w:t>
      </w:r>
      <w:proofErr w:type="spellEnd"/>
      <w:r w:rsidRPr="00B65459">
        <w:rPr>
          <w:rFonts w:eastAsia="Malgun Gothic"/>
          <w:i/>
          <w:lang w:eastAsia="ko-KR"/>
        </w:rPr>
        <w:t xml:space="preserve"> message is the same as legacy.   FFS if anything additional needs to be added for </w:t>
      </w:r>
      <w:proofErr w:type="spellStart"/>
      <w:r w:rsidRPr="00B65459">
        <w:rPr>
          <w:rFonts w:eastAsia="Malgun Gothic"/>
          <w:i/>
          <w:lang w:eastAsia="ko-KR"/>
        </w:rPr>
        <w:t>RRCReject</w:t>
      </w:r>
      <w:proofErr w:type="spellEnd"/>
      <w:r w:rsidRPr="00B65459">
        <w:rPr>
          <w:rFonts w:eastAsia="Malgun Gothic"/>
          <w:i/>
          <w:lang w:eastAsia="ko-KR"/>
        </w:rPr>
        <w:t xml:space="preserve"> (i.e. similar to EDT)</w:t>
      </w:r>
    </w:p>
  </w:comment>
  <w:comment w:id="21" w:author="Intel (Sudeep)" w:date="2024-05-29T10:30:00Z" w:initials="SKP">
    <w:p w14:paraId="7FF57179" w14:textId="77777777" w:rsidR="00286F04" w:rsidRDefault="00286F04" w:rsidP="00286F04">
      <w:pPr>
        <w:pStyle w:val="CommentText"/>
      </w:pPr>
      <w:r>
        <w:rPr>
          <w:rStyle w:val="CommentReference"/>
        </w:rPr>
        <w:annotationRef/>
      </w:r>
      <w:r>
        <w:t xml:space="preserve">As mentioned above, network can respond with </w:t>
      </w:r>
      <w:proofErr w:type="spellStart"/>
      <w:r>
        <w:t>RRCSetup</w:t>
      </w:r>
      <w:proofErr w:type="spellEnd"/>
      <w:r>
        <w:t xml:space="preserve"> in response to </w:t>
      </w:r>
      <w:proofErr w:type="spellStart"/>
      <w:r>
        <w:t>ResumeRequest</w:t>
      </w:r>
      <w:proofErr w:type="spellEnd"/>
      <w:r>
        <w:t>/re-establishment request.  But we have not discussed/specified whether it can be sent at any time during SDT session or in RRC Connected state.</w:t>
      </w:r>
    </w:p>
  </w:comment>
  <w:comment w:id="22"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proofErr w:type="spellStart"/>
      <w:r>
        <w:rPr>
          <w:i/>
          <w:iCs/>
        </w:rPr>
        <w:t>RRCSetup</w:t>
      </w:r>
      <w:proofErr w:type="spellEnd"/>
      <w:r>
        <w:t xml:space="preserve"> by the UE</w:t>
      </w:r>
    </w:p>
    <w:p w14:paraId="5B403264" w14:textId="77777777" w:rsidR="005445D6" w:rsidRDefault="005445D6" w:rsidP="005445D6">
      <w:pPr>
        <w:pStyle w:val="CommentText"/>
      </w:pPr>
      <w:r>
        <w:t xml:space="preserve">The UE shall perform the following actions upon reception of the </w:t>
      </w:r>
      <w:proofErr w:type="spellStart"/>
      <w:r>
        <w:rPr>
          <w:i/>
          <w:iCs/>
        </w:rPr>
        <w:t>RRCSetup</w:t>
      </w:r>
      <w:proofErr w:type="spellEnd"/>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proofErr w:type="spellStart"/>
      <w:r>
        <w:rPr>
          <w:i/>
          <w:iCs/>
        </w:rPr>
        <w:t>RRCSetup</w:t>
      </w:r>
      <w:proofErr w:type="spellEnd"/>
      <w:r>
        <w:t xml:space="preserve"> is received in response to an </w:t>
      </w:r>
      <w:proofErr w:type="spellStart"/>
      <w:r>
        <w:rPr>
          <w:i/>
          <w:iCs/>
        </w:rPr>
        <w:t>RRCResumeRequest</w:t>
      </w:r>
      <w:proofErr w:type="spellEnd"/>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proofErr w:type="spellStart"/>
      <w:r>
        <w:rPr>
          <w:i/>
          <w:iCs/>
        </w:rPr>
        <w:t>RRCSetupComplete</w:t>
      </w:r>
      <w:proofErr w:type="spellEnd"/>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3"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4"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25" w:author="ZTE" w:date="2024-05-30T08:35:00Z" w:initials="Z">
    <w:p w14:paraId="3037FE45" w14:textId="77777777" w:rsidR="00B01B56" w:rsidRDefault="00B01B56" w:rsidP="00B01B56">
      <w:pPr>
        <w:pStyle w:val="CommentText"/>
      </w:pPr>
      <w:r>
        <w:rPr>
          <w:rStyle w:val="CommentReference"/>
        </w:rPr>
        <w:annotationRef/>
      </w:r>
      <w:r>
        <w:rPr>
          <w:rStyle w:val="CommentReference"/>
        </w:rPr>
        <w:annotationRef/>
      </w:r>
      <w:r>
        <w:t xml:space="preserve">Seems there is different interpretation of the current spec. We want to make sure UE vendors support reception of </w:t>
      </w:r>
      <w:proofErr w:type="spellStart"/>
      <w:r>
        <w:t>RRCSetup</w:t>
      </w:r>
      <w:proofErr w:type="spellEnd"/>
      <w:r>
        <w:t xml:space="preserve"> after DL data was exchanged. </w:t>
      </w:r>
    </w:p>
    <w:p w14:paraId="446DD7EA" w14:textId="6F226525" w:rsidR="00B01B56" w:rsidRDefault="00B01B56">
      <w:pPr>
        <w:pStyle w:val="CommentText"/>
      </w:pPr>
    </w:p>
  </w:comment>
  <w:comment w:id="34"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w:t>
      </w:r>
      <w:proofErr w:type="spellStart"/>
      <w:r>
        <w:rPr>
          <w:color w:val="000000"/>
        </w:rPr>
        <w:t>RRCSetup</w:t>
      </w:r>
      <w:proofErr w:type="spellEnd"/>
      <w:r>
        <w:rPr>
          <w:color w:val="000000"/>
        </w:rPr>
        <w:t xml:space="preserve">. Therefore, if the </w:t>
      </w:r>
      <w:proofErr w:type="spellStart"/>
      <w:r>
        <w:rPr>
          <w:color w:val="000000"/>
        </w:rPr>
        <w:t>RRCSetup</w:t>
      </w:r>
      <w:proofErr w:type="spellEnd"/>
      <w:r>
        <w:rPr>
          <w:color w:val="000000"/>
        </w:rPr>
        <w:t xml:space="preserve"> is received during the ongoing SDT procedure, and some data transmission have already occurred, we need to reset MAC in order to avoid the impact by the current MAC context, including the variables (e.g. NDI, soft buffer) and timers. </w:t>
      </w:r>
    </w:p>
  </w:comment>
  <w:comment w:id="35" w:author="LGE (Hanul)" w:date="2024-05-29T15:10:00Z" w:initials="(Hanul)">
    <w:p w14:paraId="6F18D0EA" w14:textId="63098C67" w:rsidR="00364ECE" w:rsidRPr="00364ECE" w:rsidRDefault="00364ECE" w:rsidP="00364ECE">
      <w:pPr>
        <w:pStyle w:val="CommentText"/>
      </w:pPr>
      <w:r>
        <w:rPr>
          <w:rStyle w:val="CommentReference"/>
        </w:rPr>
        <w:annotationRef/>
      </w:r>
      <w:r w:rsidRPr="00364ECE">
        <w:t xml:space="preserve">Regarding </w:t>
      </w:r>
      <w:proofErr w:type="spellStart"/>
      <w:r w:rsidRPr="00364ECE">
        <w:t>RRCSetup</w:t>
      </w:r>
      <w:proofErr w:type="spellEnd"/>
      <w:r w:rsidRPr="00364ECE">
        <w:t>, RAN2 did not make any agreement on MAC reset, i.e. whether to include behaviour of MAC reset. Thus, we think it would be better to remove this.</w:t>
      </w:r>
    </w:p>
  </w:comment>
  <w:comment w:id="36" w:author="rapp" w:date="2024-05-30T10:55:00Z" w:initials="r">
    <w:p w14:paraId="15B26BB5" w14:textId="77777777" w:rsidR="00E5673C" w:rsidRDefault="00E5673C">
      <w:pPr>
        <w:pStyle w:val="CommentText"/>
      </w:pPr>
      <w:r>
        <w:rPr>
          <w:rStyle w:val="CommentReference"/>
        </w:rPr>
        <w:annotationRef/>
      </w:r>
      <w:r>
        <w:t xml:space="preserve">This seems to be a valid issue actually… Thanks Apple for highlighting this. So, in this case, we do need to reset MAC (as we do in case of </w:t>
      </w:r>
      <w:proofErr w:type="spellStart"/>
      <w:r>
        <w:t>RRCReestablsihment</w:t>
      </w:r>
      <w:proofErr w:type="spellEnd"/>
      <w:r>
        <w:t xml:space="preserve"> when we trigger the reestablishment request – as the response could be </w:t>
      </w:r>
      <w:proofErr w:type="spellStart"/>
      <w:r>
        <w:t>RRCSetup</w:t>
      </w:r>
      <w:proofErr w:type="spellEnd"/>
      <w:r>
        <w:t xml:space="preserve"> also in this case). Given that we don’t reset MAC today, it seems that current stage-3 specs actually do not support the network to send </w:t>
      </w:r>
      <w:proofErr w:type="spellStart"/>
      <w:r>
        <w:t>RRCSetup</w:t>
      </w:r>
      <w:proofErr w:type="spellEnd"/>
      <w:r>
        <w:t xml:space="preserve"> after exchanging some DL data…?? May be we overlooked this during the online discussion?? </w:t>
      </w:r>
    </w:p>
    <w:p w14:paraId="592E6DE6" w14:textId="2CE1758F" w:rsidR="00E5673C" w:rsidRDefault="00E5673C">
      <w:pPr>
        <w:pStyle w:val="CommentText"/>
      </w:pPr>
      <w:r>
        <w:t xml:space="preserve">Can companies double check and confirm this understanding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1B5D87BA"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446DD7EA" w15:paraIdParent="2109C94C" w15:done="0"/>
  <w15:commentEx w15:paraId="720A5BAF" w15:done="0"/>
  <w15:commentEx w15:paraId="6F18D0EA" w15:paraIdParent="720A5BAF" w15:done="0"/>
  <w15:commentEx w15:paraId="592E6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85E23FD" w16cex:dateUtc="2024-05-30T07:35: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301352E7" w16cex:dateUtc="2024-05-30T07:35:00Z"/>
  <w16cex:commentExtensible w16cex:durableId="708A0D77" w16cex:dateUtc="2024-05-27T07:13:00Z"/>
  <w16cex:commentExtensible w16cex:durableId="19699591" w16cex:dateUtc="2024-05-3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1B5D87BA" w16cid:durableId="285E23FD"/>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446DD7EA" w16cid:durableId="301352E7"/>
  <w16cid:commentId w16cid:paraId="720A5BAF" w16cid:durableId="708A0D77"/>
  <w16cid:commentId w16cid:paraId="6F18D0EA" w16cid:durableId="1E6073B5"/>
  <w16cid:commentId w16cid:paraId="592E6DE6" w16cid:durableId="19699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142A" w14:textId="77777777" w:rsidR="00877C80" w:rsidRDefault="00877C80">
      <w:pPr>
        <w:spacing w:after="0"/>
      </w:pPr>
      <w:r>
        <w:separator/>
      </w:r>
    </w:p>
  </w:endnote>
  <w:endnote w:type="continuationSeparator" w:id="0">
    <w:p w14:paraId="20C8F612" w14:textId="77777777" w:rsidR="00877C80" w:rsidRDefault="00877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FBB5" w14:textId="77777777" w:rsidR="00FF54C5" w:rsidRDefault="00FF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5DFC" w14:textId="77777777" w:rsidR="00FF54C5" w:rsidRDefault="00FF5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5BC7" w14:textId="77777777" w:rsidR="00FF54C5" w:rsidRDefault="00FF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1B15" w14:textId="77777777" w:rsidR="00877C80" w:rsidRDefault="00877C80">
      <w:pPr>
        <w:spacing w:after="0"/>
      </w:pPr>
      <w:r>
        <w:separator/>
      </w:r>
    </w:p>
  </w:footnote>
  <w:footnote w:type="continuationSeparator" w:id="0">
    <w:p w14:paraId="794441C9" w14:textId="77777777" w:rsidR="00877C80" w:rsidRDefault="00877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2E79" w14:textId="77777777" w:rsidR="00FF54C5" w:rsidRDefault="00FF5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48F3" w14:textId="77777777" w:rsidR="00FF54C5" w:rsidRDefault="00FF5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ZTE">
    <w15:presenceInfo w15:providerId="None" w15:userId="ZTE"/>
  </w15:person>
  <w15:person w15:author="Apple - Fangli">
    <w15:presenceInfo w15:providerId="None" w15:userId="Apple - Fangl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4</TotalTime>
  <Pages>2</Pages>
  <Words>379</Words>
  <Characters>2165</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rapp</cp:lastModifiedBy>
  <cp:revision>3</cp:revision>
  <dcterms:created xsi:type="dcterms:W3CDTF">2024-05-30T09:54:00Z</dcterms:created>
  <dcterms:modified xsi:type="dcterms:W3CDTF">2024-05-30T09:58:00Z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