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lang w:val="en-US"/>
        </w:rPr>
      </w:pPr>
      <w:r>
        <w:rPr>
          <w:lang w:val="en-US"/>
        </w:rPr>
        <w:t xml:space="preserve">3GPP TSG-RAN WG2 Meeting #126                              </w:t>
      </w:r>
      <w:bookmarkStart w:id="0" w:name="OLE_LINK102"/>
      <w:r>
        <w:rPr>
          <w:lang w:val="en-US"/>
        </w:rPr>
        <w:t>R2-24</w:t>
      </w:r>
      <w:bookmarkEnd w:id="0"/>
      <w:r>
        <w:rPr>
          <w:lang w:val="en-US"/>
        </w:rPr>
        <w:t>xxxxx</w:t>
      </w:r>
    </w:p>
    <w:p>
      <w:pPr>
        <w:pStyle w:val="9"/>
        <w:rPr>
          <w:lang w:val="en-US"/>
        </w:rPr>
      </w:pPr>
      <w:bookmarkStart w:id="1" w:name="OLE_LINK28"/>
      <w:r>
        <w:rPr>
          <w:lang w:val="en-US"/>
        </w:rPr>
        <w:t>Fukuoka, Japan, May 20</w:t>
      </w:r>
      <w:r>
        <w:rPr>
          <w:vertAlign w:val="superscript"/>
          <w:lang w:val="en-US"/>
        </w:rPr>
        <w:t>th</w:t>
      </w:r>
      <w:r>
        <w:rPr>
          <w:lang w:val="en-US"/>
        </w:rPr>
        <w:t xml:space="preserve"> -24</w:t>
      </w:r>
      <w:r>
        <w:rPr>
          <w:vertAlign w:val="superscript"/>
          <w:lang w:val="en-US"/>
        </w:rPr>
        <w:t>th</w:t>
      </w:r>
      <w:r>
        <w:rPr>
          <w:lang w:val="en-US"/>
        </w:rPr>
        <w:t>, 2024</w:t>
      </w:r>
      <w:bookmarkEnd w:id="1"/>
    </w:p>
    <w:p>
      <w:pPr>
        <w:rPr>
          <w:lang w:val="en-GB"/>
        </w:rPr>
      </w:pPr>
    </w:p>
    <w:p>
      <w:pPr>
        <w:pStyle w:val="22"/>
      </w:pPr>
      <w:bookmarkStart w:id="2" w:name="OLE_LINK266"/>
      <w:r>
        <w:t>Agenda Item:</w:t>
      </w:r>
      <w:r>
        <w:tab/>
      </w:r>
      <w:r>
        <w:t>8.1.4</w:t>
      </w:r>
    </w:p>
    <w:p>
      <w:pPr>
        <w:pStyle w:val="22"/>
      </w:pPr>
      <w:r>
        <w:t>Source:</w:t>
      </w:r>
      <w:r>
        <w:tab/>
      </w:r>
      <w:r>
        <w:t>Mediatek Inc.</w:t>
      </w:r>
    </w:p>
    <w:p>
      <w:pPr>
        <w:pStyle w:val="22"/>
      </w:pPr>
      <w:r>
        <w:t>Title:</w:t>
      </w:r>
      <w:r>
        <w:tab/>
      </w:r>
      <w:bookmarkStart w:id="3" w:name="OLE_LINK341"/>
      <w:bookmarkStart w:id="4" w:name="OLE_LINK327"/>
      <w:r>
        <w:t xml:space="preserve">Report of </w:t>
      </w:r>
      <w:bookmarkEnd w:id="3"/>
      <w:bookmarkStart w:id="5" w:name="OLE_LINK79"/>
      <w:r>
        <w:t xml:space="preserve">[POST125bis][020][AI/ML PHY] UE side data collection </w:t>
      </w:r>
      <w:bookmarkEnd w:id="5"/>
      <w:r>
        <w:t xml:space="preserve"> </w:t>
      </w:r>
      <w:bookmarkEnd w:id="4"/>
    </w:p>
    <w:p>
      <w:pPr>
        <w:pStyle w:val="22"/>
      </w:pPr>
      <w:r>
        <w:t>Document for:</w:t>
      </w:r>
      <w:r>
        <w:tab/>
      </w:r>
      <w:r>
        <w:t>Discussion, Decision</w:t>
      </w:r>
    </w:p>
    <w:p>
      <w:pPr>
        <w:pStyle w:val="2"/>
        <w:numPr>
          <w:ilvl w:val="0"/>
          <w:numId w:val="3"/>
        </w:numPr>
      </w:pPr>
      <w:bookmarkStart w:id="6" w:name="_Ref131412611"/>
      <w:r>
        <w:t>Introduction</w:t>
      </w:r>
      <w:bookmarkEnd w:id="6"/>
    </w:p>
    <w:p>
      <w:pPr>
        <w:rPr>
          <w:lang w:eastAsia="ko-KR"/>
        </w:rPr>
      </w:pPr>
      <w:bookmarkStart w:id="7" w:name="OLE_LINK80"/>
      <w:r>
        <w:rPr>
          <w:lang w:eastAsia="ko-KR"/>
        </w:rPr>
        <w:t xml:space="preserve">This contribution is aimed at reporting the discussion and results of the following </w:t>
      </w:r>
      <w:r>
        <w:rPr>
          <w:rFonts w:eastAsia="宋体"/>
        </w:rPr>
        <w:t>post email</w:t>
      </w:r>
      <w:r>
        <w:rPr>
          <w:lang w:eastAsia="ko-KR"/>
        </w:rPr>
        <w:t xml:space="preserve"> discussion:</w:t>
      </w:r>
    </w:p>
    <w:bookmarkEnd w:id="7"/>
    <w:p>
      <w:pPr>
        <w:pStyle w:val="36"/>
      </w:pPr>
      <w:r>
        <w:t>[POST125bis][020][AI/ML PHY] UE side data collection (Mediatek)</w:t>
      </w:r>
    </w:p>
    <w:p>
      <w:pPr>
        <w:pStyle w:val="37"/>
      </w:pPr>
      <w:r>
        <w:tab/>
      </w:r>
      <w:r>
        <w:t xml:space="preserve">Intended outcome: Discuss new table capturing solution details and discussion fon control and visibility, privacy.  </w:t>
      </w:r>
    </w:p>
    <w:p>
      <w:pPr>
        <w:pStyle w:val="37"/>
        <w:rPr>
          <w:sz w:val="22"/>
          <w:szCs w:val="22"/>
        </w:rPr>
      </w:pPr>
      <w:r>
        <w:rPr>
          <w:sz w:val="22"/>
          <w:szCs w:val="22"/>
        </w:rPr>
        <w:tab/>
      </w:r>
      <w:r>
        <w:rPr>
          <w:sz w:val="22"/>
          <w:szCs w:val="22"/>
        </w:rPr>
        <w:t>Deadline:  two weeks (</w:t>
      </w:r>
      <w:r>
        <w:t xml:space="preserve">Deadline </w:t>
      </w:r>
      <w:r>
        <w:rPr>
          <w:highlight w:val="yellow"/>
        </w:rPr>
        <w:t>May 3rd, 10:00 UTC</w:t>
      </w:r>
      <w:r>
        <w:rPr>
          <w:sz w:val="22"/>
          <w:szCs w:val="22"/>
        </w:rPr>
        <w:t>)</w:t>
      </w:r>
    </w:p>
    <w:p>
      <w:r>
        <w:t>Companies providing input to this email discussion are requested to leave contact information below.</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2389"/>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Company</w:t>
            </w:r>
          </w:p>
        </w:tc>
        <w:tc>
          <w:tcPr>
            <w:tcW w:w="2389" w:type="dxa"/>
            <w:tcBorders>
              <w:top w:val="single" w:color="auto" w:sz="4" w:space="0"/>
              <w:left w:val="single" w:color="auto" w:sz="4" w:space="0"/>
              <w:bottom w:val="single" w:color="auto" w:sz="4" w:space="0"/>
              <w:right w:val="single" w:color="auto" w:sz="4" w:space="0"/>
            </w:tcBorders>
          </w:tcPr>
          <w:p>
            <w:r>
              <w:t>Name</w:t>
            </w:r>
          </w:p>
        </w:tc>
        <w:tc>
          <w:tcPr>
            <w:tcW w:w="4466" w:type="dxa"/>
            <w:tcBorders>
              <w:top w:val="single" w:color="auto" w:sz="4" w:space="0"/>
              <w:left w:val="single" w:color="auto" w:sz="4" w:space="0"/>
              <w:bottom w:val="single" w:color="auto" w:sz="4" w:space="0"/>
              <w:right w:val="single" w:color="auto" w:sz="4" w:space="0"/>
            </w:tcBorders>
          </w:tcPr>
          <w:p>
            <w: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NEC</w:t>
            </w:r>
          </w:p>
        </w:tc>
        <w:tc>
          <w:tcPr>
            <w:tcW w:w="2389" w:type="dxa"/>
            <w:tcBorders>
              <w:top w:val="single" w:color="auto" w:sz="4" w:space="0"/>
              <w:left w:val="single" w:color="auto" w:sz="4" w:space="0"/>
              <w:bottom w:val="single" w:color="auto" w:sz="4" w:space="0"/>
              <w:right w:val="single" w:color="auto" w:sz="4" w:space="0"/>
            </w:tcBorders>
          </w:tcPr>
          <w:p>
            <w:r>
              <w:t>Xuelong Wang</w:t>
            </w:r>
          </w:p>
        </w:tc>
        <w:tc>
          <w:tcPr>
            <w:tcW w:w="4466" w:type="dxa"/>
            <w:tcBorders>
              <w:top w:val="single" w:color="auto" w:sz="4" w:space="0"/>
              <w:left w:val="single" w:color="auto" w:sz="4" w:space="0"/>
              <w:bottom w:val="single" w:color="auto" w:sz="4" w:space="0"/>
              <w:right w:val="single" w:color="auto" w:sz="4" w:space="0"/>
            </w:tcBorders>
          </w:tcPr>
          <w:p>
            <w:r>
              <w:t>xuelong.wang@emea.nec.com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Apple</w:t>
            </w:r>
          </w:p>
        </w:tc>
        <w:tc>
          <w:tcPr>
            <w:tcW w:w="2389" w:type="dxa"/>
            <w:tcBorders>
              <w:top w:val="single" w:color="auto" w:sz="4" w:space="0"/>
              <w:left w:val="single" w:color="auto" w:sz="4" w:space="0"/>
              <w:bottom w:val="single" w:color="auto" w:sz="4" w:space="0"/>
              <w:right w:val="single" w:color="auto" w:sz="4" w:space="0"/>
            </w:tcBorders>
          </w:tcPr>
          <w:p>
            <w:r>
              <w:t>Peng Cheng</w:t>
            </w:r>
          </w:p>
        </w:tc>
        <w:tc>
          <w:tcPr>
            <w:tcW w:w="4466" w:type="dxa"/>
            <w:tcBorders>
              <w:top w:val="single" w:color="auto" w:sz="4" w:space="0"/>
              <w:left w:val="single" w:color="auto" w:sz="4" w:space="0"/>
              <w:bottom w:val="single" w:color="auto" w:sz="4" w:space="0"/>
              <w:right w:val="single" w:color="auto" w:sz="4" w:space="0"/>
            </w:tcBorders>
          </w:tcPr>
          <w:p>
            <w: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BT</w:t>
            </w:r>
          </w:p>
        </w:tc>
        <w:tc>
          <w:tcPr>
            <w:tcW w:w="2389" w:type="dxa"/>
            <w:tcBorders>
              <w:top w:val="single" w:color="auto" w:sz="4" w:space="0"/>
              <w:left w:val="single" w:color="auto" w:sz="4" w:space="0"/>
              <w:bottom w:val="single" w:color="auto" w:sz="4" w:space="0"/>
              <w:right w:val="single" w:color="auto" w:sz="4" w:space="0"/>
            </w:tcBorders>
          </w:tcPr>
          <w:p>
            <w:r>
              <w:t>Salva Diaz</w:t>
            </w:r>
          </w:p>
        </w:tc>
        <w:tc>
          <w:tcPr>
            <w:tcW w:w="4466" w:type="dxa"/>
            <w:tcBorders>
              <w:top w:val="single" w:color="auto" w:sz="4" w:space="0"/>
              <w:left w:val="single" w:color="auto" w:sz="4" w:space="0"/>
              <w:bottom w:val="single" w:color="auto" w:sz="4" w:space="0"/>
              <w:right w:val="single" w:color="auto" w:sz="4" w:space="0"/>
            </w:tcBorders>
          </w:tcPr>
          <w:p>
            <w:r>
              <w:t>salva.diazsendra@bt.com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Nokia</w:t>
            </w:r>
          </w:p>
        </w:tc>
        <w:tc>
          <w:tcPr>
            <w:tcW w:w="2389" w:type="dxa"/>
            <w:tcBorders>
              <w:top w:val="single" w:color="auto" w:sz="4" w:space="0"/>
              <w:left w:val="single" w:color="auto" w:sz="4" w:space="0"/>
              <w:bottom w:val="single" w:color="auto" w:sz="4" w:space="0"/>
              <w:right w:val="single" w:color="auto" w:sz="4" w:space="0"/>
            </w:tcBorders>
          </w:tcPr>
          <w:p>
            <w:r>
              <w:t>Jerediah Fevold</w:t>
            </w:r>
          </w:p>
        </w:tc>
        <w:tc>
          <w:tcPr>
            <w:tcW w:w="4466" w:type="dxa"/>
            <w:tcBorders>
              <w:top w:val="single" w:color="auto" w:sz="4" w:space="0"/>
              <w:left w:val="single" w:color="auto" w:sz="4" w:space="0"/>
              <w:bottom w:val="single" w:color="auto" w:sz="4" w:space="0"/>
              <w:right w:val="single" w:color="auto" w:sz="4" w:space="0"/>
            </w:tcBorders>
          </w:tcPr>
          <w:p>
            <w:r>
              <w:t>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Ericsson</w:t>
            </w:r>
          </w:p>
        </w:tc>
        <w:tc>
          <w:tcPr>
            <w:tcW w:w="2389" w:type="dxa"/>
            <w:tcBorders>
              <w:top w:val="single" w:color="auto" w:sz="4" w:space="0"/>
              <w:left w:val="single" w:color="auto" w:sz="4" w:space="0"/>
              <w:bottom w:val="single" w:color="auto" w:sz="4" w:space="0"/>
              <w:right w:val="single" w:color="auto" w:sz="4" w:space="0"/>
            </w:tcBorders>
          </w:tcPr>
          <w:p>
            <w:r>
              <w:t>Marco Belleschi</w:t>
            </w:r>
          </w:p>
        </w:tc>
        <w:tc>
          <w:tcPr>
            <w:tcW w:w="4466" w:type="dxa"/>
            <w:tcBorders>
              <w:top w:val="single" w:color="auto" w:sz="4" w:space="0"/>
              <w:left w:val="single" w:color="auto" w:sz="4" w:space="0"/>
              <w:bottom w:val="single" w:color="auto" w:sz="4" w:space="0"/>
              <w:right w:val="single" w:color="auto" w:sz="4" w:space="0"/>
            </w:tcBorders>
          </w:tcPr>
          <w:p>
            <w: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2389" w:type="dxa"/>
            <w:tcBorders>
              <w:top w:val="single" w:color="auto" w:sz="4" w:space="0"/>
              <w:left w:val="single" w:color="auto" w:sz="4" w:space="0"/>
              <w:bottom w:val="single" w:color="auto" w:sz="4" w:space="0"/>
              <w:right w:val="single" w:color="auto" w:sz="4" w:space="0"/>
            </w:tcBorders>
          </w:tcPr>
          <w:p>
            <w:r>
              <w:rPr>
                <w:rFonts w:hint="eastAsia"/>
              </w:rPr>
              <w:t>J</w:t>
            </w:r>
            <w:r>
              <w:t>un Chen</w:t>
            </w:r>
          </w:p>
        </w:tc>
        <w:tc>
          <w:tcPr>
            <w:tcW w:w="4466" w:type="dxa"/>
            <w:tcBorders>
              <w:top w:val="single" w:color="auto" w:sz="4" w:space="0"/>
              <w:left w:val="single" w:color="auto" w:sz="4" w:space="0"/>
              <w:bottom w:val="single" w:color="auto" w:sz="4" w:space="0"/>
              <w:right w:val="single" w:color="auto" w:sz="4" w:space="0"/>
            </w:tcBorders>
          </w:tcPr>
          <w:p>
            <w:r>
              <w:rPr>
                <w:rFonts w:hint="eastAsia"/>
              </w:rPr>
              <w:t>j</w:t>
            </w:r>
            <w:r>
              <w:t>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bookmarkStart w:id="8" w:name="OLE_LINK14"/>
            <w:r>
              <w:rPr>
                <w:rFonts w:hint="eastAsia"/>
              </w:rPr>
              <w:t>O</w:t>
            </w:r>
            <w:r>
              <w:t>PPO</w:t>
            </w:r>
          </w:p>
        </w:tc>
        <w:tc>
          <w:tcPr>
            <w:tcW w:w="2389" w:type="dxa"/>
            <w:tcBorders>
              <w:top w:val="single" w:color="auto" w:sz="4" w:space="0"/>
              <w:left w:val="single" w:color="auto" w:sz="4" w:space="0"/>
              <w:bottom w:val="single" w:color="auto" w:sz="4" w:space="0"/>
              <w:right w:val="single" w:color="auto" w:sz="4" w:space="0"/>
            </w:tcBorders>
          </w:tcPr>
          <w:p>
            <w:r>
              <w:rPr>
                <w:rFonts w:hint="eastAsia"/>
              </w:rPr>
              <w:t>Ji</w:t>
            </w:r>
            <w:r>
              <w:t>angsheng Fan</w:t>
            </w:r>
          </w:p>
        </w:tc>
        <w:tc>
          <w:tcPr>
            <w:tcW w:w="4466" w:type="dxa"/>
            <w:tcBorders>
              <w:top w:val="single" w:color="auto" w:sz="4" w:space="0"/>
              <w:left w:val="single" w:color="auto" w:sz="4" w:space="0"/>
              <w:bottom w:val="single" w:color="auto" w:sz="4" w:space="0"/>
              <w:right w:val="single" w:color="auto" w:sz="4" w:space="0"/>
            </w:tcBorders>
          </w:tcPr>
          <w:p>
            <w:r>
              <w:rPr>
                <w:rFonts w:hint="eastAsia"/>
              </w:rPr>
              <w:t>f</w:t>
            </w:r>
            <w: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Mediatek</w:t>
            </w:r>
          </w:p>
        </w:tc>
        <w:tc>
          <w:tcPr>
            <w:tcW w:w="2389" w:type="dxa"/>
            <w:tcBorders>
              <w:top w:val="single" w:color="auto" w:sz="4" w:space="0"/>
              <w:left w:val="single" w:color="auto" w:sz="4" w:space="0"/>
              <w:bottom w:val="single" w:color="auto" w:sz="4" w:space="0"/>
              <w:right w:val="single" w:color="auto" w:sz="4" w:space="0"/>
            </w:tcBorders>
          </w:tcPr>
          <w:p>
            <w:r>
              <w:t>Yuanyuan Zhang</w:t>
            </w:r>
          </w:p>
        </w:tc>
        <w:tc>
          <w:tcPr>
            <w:tcW w:w="4466" w:type="dxa"/>
            <w:tcBorders>
              <w:top w:val="single" w:color="auto" w:sz="4" w:space="0"/>
              <w:left w:val="single" w:color="auto" w:sz="4" w:space="0"/>
              <w:bottom w:val="single" w:color="auto" w:sz="4" w:space="0"/>
              <w:right w:val="single" w:color="auto" w:sz="4" w:space="0"/>
            </w:tcBorders>
          </w:tcPr>
          <w:p>
            <w: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vivo</w:t>
            </w:r>
          </w:p>
        </w:tc>
        <w:tc>
          <w:tcPr>
            <w:tcW w:w="2389" w:type="dxa"/>
            <w:tcBorders>
              <w:top w:val="single" w:color="auto" w:sz="4" w:space="0"/>
              <w:left w:val="single" w:color="auto" w:sz="4" w:space="0"/>
              <w:bottom w:val="single" w:color="auto" w:sz="4" w:space="0"/>
              <w:right w:val="single" w:color="auto" w:sz="4" w:space="0"/>
            </w:tcBorders>
          </w:tcPr>
          <w:p>
            <w:r>
              <w:t>Boubacar Kimba</w:t>
            </w:r>
          </w:p>
        </w:tc>
        <w:tc>
          <w:tcPr>
            <w:tcW w:w="4466" w:type="dxa"/>
            <w:tcBorders>
              <w:top w:val="single" w:color="auto" w:sz="4" w:space="0"/>
              <w:left w:val="single" w:color="auto" w:sz="4" w:space="0"/>
              <w:bottom w:val="single" w:color="auto" w:sz="4" w:space="0"/>
              <w:right w:val="single" w:color="auto" w:sz="4" w:space="0"/>
            </w:tcBorders>
          </w:tcPr>
          <w:p>
            <w: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CATT</w:t>
            </w:r>
          </w:p>
        </w:tc>
        <w:tc>
          <w:tcPr>
            <w:tcW w:w="2389" w:type="dxa"/>
            <w:tcBorders>
              <w:top w:val="single" w:color="auto" w:sz="4" w:space="0"/>
              <w:left w:val="single" w:color="auto" w:sz="4" w:space="0"/>
              <w:bottom w:val="single" w:color="auto" w:sz="4" w:space="0"/>
              <w:right w:val="single" w:color="auto" w:sz="4" w:space="0"/>
            </w:tcBorders>
          </w:tcPr>
          <w:p>
            <w:r>
              <w:rPr>
                <w:rFonts w:hint="eastAsia"/>
              </w:rPr>
              <w:t>Tangxun</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fldChar w:fldCharType="begin"/>
            </w:r>
            <w:r>
              <w:instrText xml:space="preserve"> HYPERLINK "mailto:tangxun@catt.cn" </w:instrText>
            </w:r>
            <w:r>
              <w:fldChar w:fldCharType="separate"/>
            </w:r>
            <w:r>
              <w:rPr>
                <w:rFonts w:hint="eastAsia" w:ascii="Arial" w:hAnsi="Arial" w:cs="Arial"/>
              </w:rPr>
              <w:t>tangxun@catt.cn</w:t>
            </w:r>
            <w:r>
              <w:rPr>
                <w:rFonts w:hint="eastAsia" w:ascii="Arial" w:hAnsi="Arial" w:cs="Ari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2389" w:type="dxa"/>
            <w:tcBorders>
              <w:top w:val="single" w:color="auto" w:sz="4" w:space="0"/>
              <w:left w:val="single" w:color="auto" w:sz="4" w:space="0"/>
              <w:bottom w:val="single" w:color="auto" w:sz="4" w:space="0"/>
              <w:right w:val="single" w:color="auto" w:sz="4" w:space="0"/>
            </w:tcBorders>
          </w:tcPr>
          <w:p>
            <w:r>
              <w:rPr>
                <w:rFonts w:hint="eastAsia"/>
              </w:rPr>
              <w:t>X</w:t>
            </w:r>
            <w:r>
              <w:t>iaoyu Chen</w:t>
            </w:r>
          </w:p>
        </w:tc>
        <w:tc>
          <w:tcPr>
            <w:tcW w:w="4466" w:type="dxa"/>
            <w:tcBorders>
              <w:top w:val="single" w:color="auto" w:sz="4" w:space="0"/>
              <w:left w:val="single" w:color="auto" w:sz="4" w:space="0"/>
              <w:bottom w:val="single" w:color="auto" w:sz="4" w:space="0"/>
              <w:right w:val="single" w:color="auto" w:sz="4" w:space="0"/>
            </w:tcBorders>
          </w:tcPr>
          <w:p>
            <w:r>
              <w:t>xiaoyu.chen@unisoc.com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2389" w:type="dxa"/>
            <w:tcBorders>
              <w:top w:val="single" w:color="auto" w:sz="4" w:space="0"/>
              <w:left w:val="single" w:color="auto" w:sz="4" w:space="0"/>
              <w:bottom w:val="single" w:color="auto" w:sz="4" w:space="0"/>
              <w:right w:val="single" w:color="auto" w:sz="4" w:space="0"/>
            </w:tcBorders>
          </w:tcPr>
          <w:p>
            <w:r>
              <w:rPr>
                <w:rFonts w:hint="eastAsia"/>
              </w:rPr>
              <w:t>F</w:t>
            </w:r>
            <w:r>
              <w:t>ei Dong</w:t>
            </w:r>
          </w:p>
        </w:tc>
        <w:tc>
          <w:tcPr>
            <w:tcW w:w="4466" w:type="dxa"/>
            <w:tcBorders>
              <w:top w:val="single" w:color="auto" w:sz="4" w:space="0"/>
              <w:left w:val="single" w:color="auto" w:sz="4" w:space="0"/>
              <w:bottom w:val="single" w:color="auto" w:sz="4" w:space="0"/>
              <w:right w:val="single" w:color="auto" w:sz="4" w:space="0"/>
            </w:tcBorders>
          </w:tcPr>
          <w:p>
            <w: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2389" w:type="dxa"/>
            <w:tcBorders>
              <w:top w:val="single" w:color="auto" w:sz="4" w:space="0"/>
              <w:left w:val="single" w:color="auto" w:sz="4" w:space="0"/>
              <w:bottom w:val="single" w:color="auto" w:sz="4" w:space="0"/>
              <w:right w:val="single" w:color="auto" w:sz="4" w:space="0"/>
            </w:tcBorders>
          </w:tcPr>
          <w:p>
            <w:r>
              <w:rPr>
                <w:rFonts w:hint="eastAsia"/>
              </w:rPr>
              <w:t>Shuai Gao</w:t>
            </w:r>
          </w:p>
        </w:tc>
        <w:tc>
          <w:tcPr>
            <w:tcW w:w="4466" w:type="dxa"/>
            <w:tcBorders>
              <w:top w:val="single" w:color="auto" w:sz="4" w:space="0"/>
              <w:left w:val="single" w:color="auto" w:sz="4" w:space="0"/>
              <w:bottom w:val="single" w:color="auto" w:sz="4" w:space="0"/>
              <w:right w:val="single" w:color="auto" w:sz="4" w:space="0"/>
            </w:tcBorders>
          </w:tcPr>
          <w:p>
            <w:r>
              <w:rPr>
                <w:rFonts w:hint="eastAsia"/>
              </w:rPr>
              <w:t>gaos30@chinaunicom.cn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2389" w:type="dxa"/>
            <w:tcBorders>
              <w:top w:val="single" w:color="auto" w:sz="4" w:space="0"/>
              <w:left w:val="single" w:color="auto" w:sz="4" w:space="0"/>
              <w:bottom w:val="single" w:color="auto" w:sz="4" w:space="0"/>
              <w:right w:val="single" w:color="auto" w:sz="4" w:space="0"/>
            </w:tcBorders>
          </w:tcPr>
          <w:p>
            <w:r>
              <w:rPr>
                <w:rFonts w:hint="eastAsia"/>
              </w:rPr>
              <w:t>Y</w:t>
            </w:r>
            <w:r>
              <w:t>ujian Zhang</w:t>
            </w:r>
          </w:p>
        </w:tc>
        <w:tc>
          <w:tcPr>
            <w:tcW w:w="4466" w:type="dxa"/>
            <w:tcBorders>
              <w:top w:val="single" w:color="auto" w:sz="4" w:space="0"/>
              <w:left w:val="single" w:color="auto" w:sz="4" w:space="0"/>
              <w:bottom w:val="single" w:color="auto" w:sz="4" w:space="0"/>
              <w:right w:val="single" w:color="auto" w:sz="4" w:space="0"/>
            </w:tcBorders>
          </w:tcPr>
          <w:p>
            <w:r>
              <w:rPr>
                <w:rFonts w:hint="eastAsia"/>
              </w:rPr>
              <w:t>z</w:t>
            </w:r>
            <w:r>
              <w:t>hangyujian@xiaomi.com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Samsung</w:t>
            </w:r>
          </w:p>
        </w:tc>
        <w:tc>
          <w:tcPr>
            <w:tcW w:w="2389" w:type="dxa"/>
            <w:tcBorders>
              <w:top w:val="single" w:color="auto" w:sz="4" w:space="0"/>
              <w:left w:val="single" w:color="auto" w:sz="4" w:space="0"/>
              <w:bottom w:val="single" w:color="auto" w:sz="4" w:space="0"/>
              <w:right w:val="single" w:color="auto" w:sz="4" w:space="0"/>
            </w:tcBorders>
          </w:tcPr>
          <w:p>
            <w:r>
              <w:t>Chadi Khirallah</w:t>
            </w:r>
          </w:p>
        </w:tc>
        <w:tc>
          <w:tcPr>
            <w:tcW w:w="4466" w:type="dxa"/>
            <w:tcBorders>
              <w:top w:val="single" w:color="auto" w:sz="4" w:space="0"/>
              <w:left w:val="single" w:color="auto" w:sz="4" w:space="0"/>
              <w:bottom w:val="single" w:color="auto" w:sz="4" w:space="0"/>
              <w:right w:val="single" w:color="auto" w:sz="4" w:space="0"/>
            </w:tcBorders>
          </w:tcPr>
          <w:p>
            <w:r>
              <w:t>c.khirallah@samsung.com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2389" w:type="dxa"/>
            <w:tcBorders>
              <w:top w:val="single" w:color="auto" w:sz="4" w:space="0"/>
              <w:left w:val="single" w:color="auto" w:sz="4" w:space="0"/>
              <w:bottom w:val="single" w:color="auto" w:sz="4" w:space="0"/>
              <w:right w:val="single" w:color="auto" w:sz="4" w:space="0"/>
            </w:tcBorders>
          </w:tcPr>
          <w:p>
            <w:r>
              <w:rPr>
                <w:rFonts w:hint="eastAsia"/>
              </w:rPr>
              <w:t>C</w:t>
            </w:r>
            <w:r>
              <w:t>ongchi Zhang</w:t>
            </w:r>
          </w:p>
        </w:tc>
        <w:tc>
          <w:tcPr>
            <w:tcW w:w="4466" w:type="dxa"/>
            <w:tcBorders>
              <w:top w:val="single" w:color="auto" w:sz="4" w:space="0"/>
              <w:left w:val="single" w:color="auto" w:sz="4" w:space="0"/>
              <w:bottom w:val="single" w:color="auto" w:sz="4" w:space="0"/>
              <w:right w:val="single" w:color="auto" w:sz="4" w:space="0"/>
            </w:tcBorders>
          </w:tcPr>
          <w:p>
            <w:pPr>
              <w:rPr>
                <w:rFonts w:ascii="Arial" w:hAnsi="Arial" w:cs="Arial"/>
              </w:rPr>
            </w:pPr>
            <w:r>
              <w:fldChar w:fldCharType="begin"/>
            </w:r>
            <w:r>
              <w:instrText xml:space="preserve"> HYPERLINK "mailto:Zhangcc16@lenovo.com" </w:instrText>
            </w:r>
            <w:r>
              <w:fldChar w:fldCharType="separate"/>
            </w:r>
            <w:r>
              <w:rPr>
                <w:rStyle w:val="17"/>
                <w:rFonts w:ascii="Arial" w:hAnsi="Arial" w:cs="Arial"/>
                <w:u w:val="none"/>
              </w:rPr>
              <w:t>Zhangcc16@lenovo.com</w:t>
            </w:r>
            <w:r>
              <w:rPr>
                <w:rStyle w:val="17"/>
                <w:rFonts w:ascii="Arial" w:hAnsi="Arial" w:cs="Arial"/>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Qualcomm</w:t>
            </w:r>
          </w:p>
        </w:tc>
        <w:tc>
          <w:tcPr>
            <w:tcW w:w="2389" w:type="dxa"/>
            <w:tcBorders>
              <w:top w:val="single" w:color="auto" w:sz="4" w:space="0"/>
              <w:left w:val="single" w:color="auto" w:sz="4" w:space="0"/>
              <w:bottom w:val="single" w:color="auto" w:sz="4" w:space="0"/>
              <w:right w:val="single" w:color="auto" w:sz="4" w:space="0"/>
            </w:tcBorders>
          </w:tcPr>
          <w:p>
            <w:r>
              <w:t>Rajeev Kumar</w:t>
            </w:r>
          </w:p>
        </w:tc>
        <w:tc>
          <w:tcPr>
            <w:tcW w:w="4466" w:type="dxa"/>
            <w:tcBorders>
              <w:top w:val="single" w:color="auto" w:sz="4" w:space="0"/>
              <w:left w:val="single" w:color="auto" w:sz="4" w:space="0"/>
              <w:bottom w:val="single" w:color="auto" w:sz="4" w:space="0"/>
              <w:right w:val="single" w:color="auto" w:sz="4" w:space="0"/>
            </w:tcBorders>
          </w:tcPr>
          <w:p>
            <w: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Sharp</w:t>
            </w:r>
          </w:p>
        </w:tc>
        <w:tc>
          <w:tcPr>
            <w:tcW w:w="2389" w:type="dxa"/>
            <w:tcBorders>
              <w:top w:val="single" w:color="auto" w:sz="4" w:space="0"/>
              <w:left w:val="single" w:color="auto" w:sz="4" w:space="0"/>
              <w:bottom w:val="single" w:color="auto" w:sz="4" w:space="0"/>
              <w:right w:val="single" w:color="auto" w:sz="4" w:space="0"/>
            </w:tcBorders>
          </w:tcPr>
          <w:p>
            <w:r>
              <w:t>Rudraksh Shrivastava</w:t>
            </w:r>
          </w:p>
        </w:tc>
        <w:tc>
          <w:tcPr>
            <w:tcW w:w="4466" w:type="dxa"/>
            <w:tcBorders>
              <w:top w:val="single" w:color="auto" w:sz="4" w:space="0"/>
              <w:left w:val="single" w:color="auto" w:sz="4" w:space="0"/>
              <w:bottom w:val="single" w:color="auto" w:sz="4" w:space="0"/>
              <w:right w:val="single" w:color="auto" w:sz="4" w:space="0"/>
            </w:tcBorders>
          </w:tcPr>
          <w:p>
            <w:r>
              <w:t>shrivastavar@sharplabs.com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CMCC</w:t>
            </w:r>
          </w:p>
        </w:tc>
        <w:tc>
          <w:tcPr>
            <w:tcW w:w="2389" w:type="dxa"/>
            <w:tcBorders>
              <w:top w:val="single" w:color="auto" w:sz="4" w:space="0"/>
              <w:left w:val="single" w:color="auto" w:sz="4" w:space="0"/>
              <w:bottom w:val="single" w:color="auto" w:sz="4" w:space="0"/>
              <w:right w:val="single" w:color="auto" w:sz="4" w:space="0"/>
            </w:tcBorders>
          </w:tcPr>
          <w:p>
            <w:r>
              <w:rPr>
                <w:rFonts w:hint="eastAsia"/>
              </w:rPr>
              <w:t>Ningyu Chen</w:t>
            </w:r>
          </w:p>
        </w:tc>
        <w:tc>
          <w:tcPr>
            <w:tcW w:w="4466" w:type="dxa"/>
            <w:tcBorders>
              <w:top w:val="single" w:color="auto" w:sz="4" w:space="0"/>
              <w:left w:val="single" w:color="auto" w:sz="4" w:space="0"/>
              <w:bottom w:val="single" w:color="auto" w:sz="4" w:space="0"/>
              <w:right w:val="single" w:color="auto" w:sz="4" w:space="0"/>
            </w:tcBorders>
          </w:tcPr>
          <w:p>
            <w:r>
              <w:rPr>
                <w:rFonts w:hint="eastAsia"/>
              </w:rPr>
              <w:t>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Intel</w:t>
            </w:r>
          </w:p>
        </w:tc>
        <w:tc>
          <w:tcPr>
            <w:tcW w:w="2389" w:type="dxa"/>
            <w:tcBorders>
              <w:top w:val="single" w:color="auto" w:sz="4" w:space="0"/>
              <w:left w:val="single" w:color="auto" w:sz="4" w:space="0"/>
              <w:bottom w:val="single" w:color="auto" w:sz="4" w:space="0"/>
              <w:right w:val="single" w:color="auto" w:sz="4" w:space="0"/>
            </w:tcBorders>
          </w:tcPr>
          <w:p>
            <w:r>
              <w:t>Ziyi Li</w:t>
            </w:r>
          </w:p>
        </w:tc>
        <w:tc>
          <w:tcPr>
            <w:tcW w:w="4466" w:type="dxa"/>
            <w:tcBorders>
              <w:top w:val="single" w:color="auto" w:sz="4" w:space="0"/>
              <w:left w:val="single" w:color="auto" w:sz="4" w:space="0"/>
              <w:bottom w:val="single" w:color="auto" w:sz="4" w:space="0"/>
              <w:right w:val="single" w:color="auto" w:sz="4" w:space="0"/>
            </w:tcBorders>
          </w:tcPr>
          <w:p>
            <w: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2389" w:type="dxa"/>
            <w:tcBorders>
              <w:top w:val="single" w:color="auto" w:sz="4" w:space="0"/>
              <w:left w:val="single" w:color="auto" w:sz="4" w:space="0"/>
              <w:bottom w:val="single" w:color="auto" w:sz="4" w:space="0"/>
              <w:right w:val="single" w:color="auto" w:sz="4" w:space="0"/>
            </w:tcBorders>
          </w:tcPr>
          <w:p>
            <w:r>
              <w:rPr>
                <w:rFonts w:hint="eastAsia"/>
              </w:rPr>
              <w:t>Tingting Geng</w:t>
            </w:r>
          </w:p>
        </w:tc>
        <w:tc>
          <w:tcPr>
            <w:tcW w:w="4466"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"mailto:gengtingting@fujitsu.com" </w:instrText>
            </w:r>
            <w:r>
              <w:fldChar w:fldCharType="separate"/>
            </w:r>
            <w:r>
              <w:rPr>
                <w:rStyle w:val="17"/>
                <w:rFonts w:hint="eastAsia" w:ascii="Arial" w:hAnsi="Arial" w:cs="Arial"/>
              </w:rPr>
              <w:t>gengtingting@fujitsu.com</w:t>
            </w:r>
            <w:r>
              <w:rPr>
                <w:rStyle w:val="17"/>
                <w:rFonts w:hint="eastAsia" w:ascii="Arial" w:hAnsi="Arial" w:cs="Aria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Interdigital</w:t>
            </w:r>
          </w:p>
        </w:tc>
        <w:tc>
          <w:tcPr>
            <w:tcW w:w="2389" w:type="dxa"/>
            <w:tcBorders>
              <w:top w:val="single" w:color="auto" w:sz="4" w:space="0"/>
              <w:left w:val="single" w:color="auto" w:sz="4" w:space="0"/>
              <w:bottom w:val="single" w:color="auto" w:sz="4" w:space="0"/>
              <w:right w:val="single" w:color="auto" w:sz="4" w:space="0"/>
            </w:tcBorders>
          </w:tcPr>
          <w:p>
            <w:r>
              <w:t>Oumer Teyeb</w:t>
            </w:r>
          </w:p>
        </w:tc>
        <w:tc>
          <w:tcPr>
            <w:tcW w:w="4466" w:type="dxa"/>
            <w:tcBorders>
              <w:top w:val="single" w:color="auto" w:sz="4" w:space="0"/>
              <w:left w:val="single" w:color="auto" w:sz="4" w:space="0"/>
              <w:bottom w:val="single" w:color="auto" w:sz="4" w:space="0"/>
              <w:right w:val="single" w:color="auto" w:sz="4" w:space="0"/>
            </w:tcBorders>
          </w:tcPr>
          <w:p>
            <w:r>
              <w:t>Oumer.teyeb@interdigital.com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Futurewei</w:t>
            </w:r>
          </w:p>
        </w:tc>
        <w:tc>
          <w:tcPr>
            <w:tcW w:w="2389" w:type="dxa"/>
            <w:tcBorders>
              <w:top w:val="single" w:color="auto" w:sz="4" w:space="0"/>
              <w:left w:val="single" w:color="auto" w:sz="4" w:space="0"/>
              <w:bottom w:val="single" w:color="auto" w:sz="4" w:space="0"/>
              <w:right w:val="single" w:color="auto" w:sz="4" w:space="0"/>
            </w:tcBorders>
          </w:tcPr>
          <w:p>
            <w:r>
              <w:t>Chunhui (Allan) Zhu</w:t>
            </w:r>
          </w:p>
        </w:tc>
        <w:tc>
          <w:tcPr>
            <w:tcW w:w="4466" w:type="dxa"/>
            <w:tcBorders>
              <w:top w:val="single" w:color="auto" w:sz="4" w:space="0"/>
              <w:left w:val="single" w:color="auto" w:sz="4" w:space="0"/>
              <w:bottom w:val="single" w:color="auto" w:sz="4" w:space="0"/>
              <w:right w:val="single" w:color="auto" w:sz="4" w:space="0"/>
            </w:tcBorders>
          </w:tcPr>
          <w:p>
            <w: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r>
              <w:t>DISH Network</w:t>
            </w:r>
          </w:p>
        </w:tc>
        <w:tc>
          <w:tcPr>
            <w:tcW w:w="2389" w:type="dxa"/>
            <w:tcBorders>
              <w:top w:val="single" w:color="auto" w:sz="4" w:space="0"/>
              <w:left w:val="single" w:color="auto" w:sz="4" w:space="0"/>
              <w:bottom w:val="single" w:color="auto" w:sz="4" w:space="0"/>
              <w:right w:val="single" w:color="auto" w:sz="4" w:space="0"/>
            </w:tcBorders>
          </w:tcPr>
          <w:p>
            <w:r>
              <w:t>Wuri Hapsari</w:t>
            </w:r>
          </w:p>
        </w:tc>
        <w:tc>
          <w:tcPr>
            <w:tcW w:w="4466" w:type="dxa"/>
            <w:tcBorders>
              <w:top w:val="single" w:color="auto" w:sz="4" w:space="0"/>
              <w:left w:val="single" w:color="auto" w:sz="4" w:space="0"/>
              <w:bottom w:val="single" w:color="auto" w:sz="4" w:space="0"/>
              <w:right w:val="single" w:color="auto" w:sz="4" w:space="0"/>
            </w:tcBorders>
          </w:tcPr>
          <w:p>
            <w:r>
              <w:fldChar w:fldCharType="begin"/>
            </w:r>
            <w:r>
              <w:instrText xml:space="preserve"> HYPERLINK "mailto:wuri.hapsari@dish.com" </w:instrText>
            </w:r>
            <w:r>
              <w:fldChar w:fldCharType="separate"/>
            </w:r>
            <w:r>
              <w:rPr>
                <w:rStyle w:val="17"/>
              </w:rPr>
              <w:t>wuri.hapsari@dish.com</w:t>
            </w:r>
            <w:r>
              <w:rPr>
                <w:rStyle w:val="17"/>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2389" w:type="dxa"/>
            <w:tcBorders>
              <w:top w:val="single" w:color="auto" w:sz="4" w:space="0"/>
              <w:left w:val="single" w:color="auto" w:sz="4" w:space="0"/>
              <w:bottom w:val="single" w:color="auto" w:sz="4" w:space="0"/>
              <w:right w:val="single" w:color="auto" w:sz="4" w:space="0"/>
            </w:tcBorders>
          </w:tcPr>
          <w:p>
            <w:r>
              <w:t>Mitsutaka Hata</w:t>
            </w:r>
          </w:p>
        </w:tc>
        <w:tc>
          <w:tcPr>
            <w:tcW w:w="4466" w:type="dxa"/>
            <w:tcBorders>
              <w:top w:val="single" w:color="auto" w:sz="4" w:space="0"/>
              <w:left w:val="single" w:color="auto" w:sz="4" w:space="0"/>
              <w:bottom w:val="single" w:color="auto" w:sz="4" w:space="0"/>
              <w:right w:val="single" w:color="auto" w:sz="4" w:space="0"/>
            </w:tcBorders>
          </w:tcPr>
          <w:p>
            <w:r>
              <w:t>mitsutaka.hata.gt@kyocera.jp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TT DOCOMO</w:t>
            </w:r>
          </w:p>
        </w:tc>
        <w:tc>
          <w:tcPr>
            <w:tcW w:w="2389"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K</w:t>
            </w:r>
            <w:r>
              <w:rPr>
                <w:rFonts w:eastAsia="Yu Mincho"/>
                <w:lang w:eastAsia="ja-JP"/>
              </w:rPr>
              <w:t>oki Yamashita</w:t>
            </w:r>
          </w:p>
        </w:tc>
        <w:tc>
          <w:tcPr>
            <w:tcW w:w="4466"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Kouki.yamashita.dz@nttdocomo.com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2389"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Vishwanath (Vishwa) Ramamurthi</w:t>
            </w:r>
          </w:p>
        </w:tc>
        <w:tc>
          <w:tcPr>
            <w:tcW w:w="4466"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vishwanath.ramamurthi@verizonwireless.com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2389"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John Humbert</w:t>
            </w:r>
          </w:p>
        </w:tc>
        <w:tc>
          <w:tcPr>
            <w:tcW w:w="4466"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John.J.Humbert@gmail.com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TCL</w:t>
            </w:r>
          </w:p>
        </w:tc>
        <w:tc>
          <w:tcPr>
            <w:tcW w:w="2389"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Zhe Chen</w:t>
            </w:r>
          </w:p>
        </w:tc>
        <w:tc>
          <w:tcPr>
            <w:tcW w:w="4466"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zhe21.chen@tcl.com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c>
          <w:tcPr>
            <w:tcW w:w="2389"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c>
          <w:tcPr>
            <w:tcW w:w="4466"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bl>
    <w:p>
      <w:pPr>
        <w:pStyle w:val="2"/>
      </w:pPr>
      <w:r>
        <w:t>2</w:t>
      </w:r>
      <w:r>
        <w:tab/>
      </w:r>
      <w:r>
        <w:t>Discussion</w:t>
      </w:r>
    </w:p>
    <w:bookmarkEnd w:id="8"/>
    <w:p>
      <w:pPr>
        <w:pStyle w:val="6"/>
      </w:pPr>
      <w:bookmarkStart w:id="9" w:name="_Ref178064866"/>
      <w:r>
        <w:t>The following proposals were identified during the Rel-18 SI on AI/ML for NR Air Interface</w:t>
      </w:r>
      <w:r>
        <w:rPr>
          <w:rFonts w:hint="eastAsia"/>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4"/>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Pr>
          <w:p>
            <w:pPr>
              <w:pStyle w:val="26"/>
              <w:numPr>
                <w:ilvl w:val="0"/>
                <w:numId w:val="4"/>
              </w:numPr>
              <w:ind w:firstLineChars="0"/>
            </w:pPr>
            <w:r>
              <w:t>UE collects and directly transfers training data to the Over-The-Top (OTT) server;</w:t>
            </w:r>
          </w:p>
          <w:p>
            <w:pPr>
              <w:rPr>
                <w:lang w:val="sv-SE"/>
              </w:rPr>
            </w:pPr>
            <w:bookmarkStart w:id="10" w:name="OLE_LINK352"/>
            <w:r>
              <w:rPr>
                <w:lang w:val="sv-SE"/>
              </w:rPr>
              <w:t>1a) OTT (3GPP transparent)</w:t>
            </w:r>
          </w:p>
          <w:bookmarkEnd w:id="10"/>
          <w:p>
            <w:pPr>
              <w:rPr>
                <w:lang w:val="sv-SE"/>
              </w:rPr>
            </w:pPr>
            <w:bookmarkStart w:id="11" w:name="OLE_LINK353"/>
            <w:r>
              <w:rPr>
                <w:lang w:val="sv-SE"/>
              </w:rPr>
              <w:t>1b) OTT (non-3GPP transparent)</w:t>
            </w:r>
          </w:p>
          <w:bookmarkEnd w:id="11"/>
          <w:p>
            <w:pPr>
              <w:pStyle w:val="26"/>
              <w:numPr>
                <w:ilvl w:val="0"/>
                <w:numId w:val="4"/>
              </w:numPr>
              <w:ind w:firstLineChars="0"/>
            </w:pPr>
            <w:r>
              <w:t>UE collects training data and transfers it to Core Network. Core Network transfers the training data to the OTT server.</w:t>
            </w:r>
          </w:p>
          <w:p>
            <w:pPr>
              <w:pStyle w:val="26"/>
              <w:numPr>
                <w:ilvl w:val="0"/>
                <w:numId w:val="4"/>
              </w:numPr>
              <w:ind w:firstLineChars="0"/>
            </w:pPr>
            <w:r>
              <w:t>UE collects training data and transfers it to OAM. OAM transfers the needed data to the OTT server.</w:t>
            </w:r>
          </w:p>
          <w:p>
            <w:r>
              <w:t>RAN2 did not study or analyse these proposals and did not agree to requirements or recommendations.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trPr>
        <w:tc>
          <w:tcPr>
            <w:tcW w:w="4508" w:type="dxa"/>
            <w:tcBorders>
              <w:top w:val="single" w:color="auto" w:sz="4" w:space="0"/>
              <w:left w:val="single" w:color="auto" w:sz="4" w:space="0"/>
              <w:bottom w:val="single" w:color="auto" w:sz="4" w:space="0"/>
              <w:right w:val="single" w:color="auto" w:sz="4" w:space="0"/>
            </w:tcBorders>
          </w:tcPr>
          <w:p>
            <w:pPr>
              <w:pStyle w:val="25"/>
            </w:pPr>
            <w:bookmarkStart w:id="12" w:name="OLE_LINK324"/>
            <w:r>
              <w:object>
                <v:shape id="_x0000_i1025" o:spt="75" type="#_x0000_t75" style="height:167.8pt;width:222.9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rPr>
                <w:lang w:val="en-GB"/>
              </w:rPr>
            </w:pPr>
            <w:r>
              <w:t xml:space="preserve">1a) </w:t>
            </w:r>
          </w:p>
        </w:tc>
        <w:tc>
          <w:tcPr>
            <w:tcW w:w="4508" w:type="dxa"/>
            <w:tcBorders>
              <w:top w:val="single" w:color="auto" w:sz="4" w:space="0"/>
              <w:left w:val="single" w:color="auto" w:sz="4" w:space="0"/>
              <w:bottom w:val="single" w:color="auto" w:sz="4" w:space="0"/>
              <w:right w:val="single" w:color="auto" w:sz="4" w:space="0"/>
            </w:tcBorders>
          </w:tcPr>
          <w:p>
            <w:pPr>
              <w:pStyle w:val="25"/>
            </w:pPr>
            <w:r>
              <w:object>
                <v:shape id="_x0000_i1026" o:spt="75" type="#_x0000_t75" style="height:174.05pt;width:209.1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rPr>
                <w:rStyle w:val="23"/>
                <w:rFonts w:eastAsia="宋体" w:cs="Times New Roman"/>
                <w:b/>
                <w:bCs/>
                <w:i/>
              </w:rPr>
            </w:pPr>
            <w:r>
              <w: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4508" w:type="dxa"/>
            <w:tcBorders>
              <w:top w:val="single" w:color="auto" w:sz="4" w:space="0"/>
              <w:left w:val="single" w:color="auto" w:sz="4" w:space="0"/>
              <w:bottom w:val="single" w:color="auto" w:sz="4" w:space="0"/>
              <w:right w:val="single" w:color="auto" w:sz="4" w:space="0"/>
            </w:tcBorders>
          </w:tcPr>
          <w:p>
            <w:pPr>
              <w:pStyle w:val="25"/>
            </w:pPr>
            <w:r>
              <w:object>
                <v:shape id="_x0000_i1027" o:spt="75" type="#_x0000_t75" style="height:150.9pt;width:222.9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7" r:id="rId8">
                  <o:LockedField>false</o:LockedField>
                </o:OLEObject>
              </w:object>
            </w:r>
          </w:p>
          <w:p/>
          <w:p>
            <w:pPr>
              <w:rPr>
                <w:rStyle w:val="23"/>
                <w:b/>
                <w:bCs/>
                <w:i/>
                <w:lang w:val="en-GB"/>
              </w:rPr>
            </w:pPr>
            <w:r>
              <w:t xml:space="preserve">2. </w:t>
            </w:r>
            <w:bookmarkStart w:id="13" w:name="OLE_LINK83"/>
            <w:r>
              <w:t>Data collection via CN</w:t>
            </w:r>
            <w:bookmarkEnd w:id="13"/>
          </w:p>
        </w:tc>
        <w:tc>
          <w:tcPr>
            <w:tcW w:w="4508" w:type="dxa"/>
            <w:tcBorders>
              <w:top w:val="single" w:color="auto" w:sz="4" w:space="0"/>
              <w:left w:val="single" w:color="auto" w:sz="4" w:space="0"/>
              <w:bottom w:val="single" w:color="auto" w:sz="4" w:space="0"/>
              <w:right w:val="single" w:color="auto" w:sz="4" w:space="0"/>
            </w:tcBorders>
          </w:tcPr>
          <w:p>
            <w:pPr>
              <w:pStyle w:val="25"/>
              <w:rPr>
                <w:rStyle w:val="23"/>
                <w:rFonts w:ascii="Times New Roman" w:hAnsi="Times New Roman" w:cs="Times New Roman" w:eastAsiaTheme="minorEastAsia"/>
                <w:i w:val="0"/>
                <w:sz w:val="20"/>
                <w:szCs w:val="20"/>
              </w:rPr>
            </w:pPr>
            <w:r>
              <w:object>
                <v:shape id="_x0000_i1028" o:spt="75" type="#_x0000_t75" style="height:160.9pt;width:209.1pt;" o:ole="t" filled="f" o:preferrelative="t" stroked="f" coordsize="21600,21600">
                  <v:path/>
                  <v:fill on="f" focussize="0,0"/>
                  <v:stroke on="f" joinstyle="miter"/>
                  <v:imagedata r:id="rId11" o:title=""/>
                  <o:lock v:ext="edit" aspectratio="t"/>
                  <w10:wrap type="none"/>
                  <w10:anchorlock/>
                </v:shape>
                <o:OLEObject Type="Embed" ProgID="Visio.Drawing.15" ShapeID="_x0000_i1028" DrawAspect="Content" ObjectID="_1468075728" r:id="rId10">
                  <o:LockedField>false</o:LockedField>
                </o:OLEObject>
              </w:object>
            </w:r>
            <w:r>
              <w:rPr>
                <w:rFonts w:ascii="Times New Roman" w:hAnsi="Times New Roman" w:cs="Times New Roman" w:eastAsiaTheme="minorEastAsia"/>
              </w:rPr>
              <w:t>3. Data collection via OAM</w:t>
            </w:r>
          </w:p>
        </w:tc>
      </w:tr>
      <w:bookmarkEnd w:id="2"/>
      <w:bookmarkEnd w:id="9"/>
    </w:tbl>
    <w:p>
      <w:pPr>
        <w:pStyle w:val="6"/>
      </w:pPr>
      <w:r>
        <w:t xml:space="preserve">According to the consensus made during the online discussion in RAN2#125bis meeting, </w:t>
      </w:r>
    </w:p>
    <w:p>
      <w:pPr>
        <w:pStyle w:val="6"/>
      </w:pPr>
      <w:r>
        <w:t>=&gt;</w:t>
      </w:r>
      <w:r>
        <w:tab/>
      </w:r>
      <w:r>
        <w:t xml:space="preserve">need to better define what is control of data collection in MNO and visibility of data content in MNO.  </w:t>
      </w:r>
    </w:p>
    <w:p>
      <w:pPr>
        <w:pStyle w:val="6"/>
      </w:pPr>
      <w:r>
        <w:t>=&gt;</w:t>
      </w:r>
      <w:r>
        <w:tab/>
      </w:r>
      <w:r>
        <w:t xml:space="preserve">understanding is that </w:t>
      </w:r>
      <w:bookmarkStart w:id="14" w:name="OLE_LINK95"/>
      <w:r>
        <w:t>OTT is outside of MNO</w:t>
      </w:r>
      <w:bookmarkEnd w:id="14"/>
    </w:p>
    <w:p>
      <w:pPr>
        <w:pStyle w:val="6"/>
      </w:pPr>
      <w:r>
        <w:t>We will clarify these methods in the following aspects:</w:t>
      </w:r>
    </w:p>
    <w:p>
      <w:pPr>
        <w:pStyle w:val="6"/>
        <w:numPr>
          <w:ilvl w:val="0"/>
          <w:numId w:val="5"/>
        </w:numPr>
      </w:pPr>
      <w:r>
        <w:t>Inside/outside MNO’s network</w:t>
      </w:r>
    </w:p>
    <w:p>
      <w:pPr>
        <w:pStyle w:val="6"/>
        <w:numPr>
          <w:ilvl w:val="0"/>
          <w:numId w:val="5"/>
        </w:numPr>
      </w:pPr>
      <w:r>
        <w:t>Termination Entity</w:t>
      </w:r>
    </w:p>
    <w:p>
      <w:pPr>
        <w:pStyle w:val="6"/>
        <w:numPr>
          <w:ilvl w:val="0"/>
          <w:numId w:val="5"/>
        </w:numPr>
      </w:pPr>
      <w:bookmarkStart w:id="15" w:name="OLE_LINK122"/>
      <w:r>
        <w:t>Controllability of data collection in MNO</w:t>
      </w:r>
    </w:p>
    <w:bookmarkEnd w:id="15"/>
    <w:p>
      <w:pPr>
        <w:pStyle w:val="6"/>
        <w:numPr>
          <w:ilvl w:val="0"/>
          <w:numId w:val="5"/>
        </w:numPr>
      </w:pPr>
      <w:bookmarkStart w:id="16" w:name="OLE_LINK139"/>
      <w:r>
        <w:t>Visibility of data content in MNO</w:t>
      </w:r>
    </w:p>
    <w:bookmarkEnd w:id="16"/>
    <w:p>
      <w:pPr>
        <w:pStyle w:val="6"/>
        <w:numPr>
          <w:ilvl w:val="0"/>
          <w:numId w:val="5"/>
        </w:numPr>
      </w:pPr>
      <w:r>
        <w:t>Protocol layer for data transfer</w:t>
      </w:r>
    </w:p>
    <w:p>
      <w:pPr>
        <w:pStyle w:val="6"/>
        <w:numPr>
          <w:ilvl w:val="0"/>
          <w:numId w:val="5"/>
        </w:numPr>
      </w:pPr>
      <w:r>
        <w:t>Privacy concerns</w:t>
      </w:r>
    </w:p>
    <w:bookmarkEnd w:id="12"/>
    <w:p>
      <w:pPr>
        <w:pStyle w:val="3"/>
        <w:rPr>
          <w:rFonts w:eastAsiaTheme="minorEastAsia"/>
          <w:lang w:eastAsia="zh-TW"/>
        </w:rPr>
      </w:pPr>
      <w:bookmarkStart w:id="17" w:name="OLE_LINK163"/>
      <w:bookmarkStart w:id="18" w:name="OLE_LINK280"/>
      <w:r>
        <w:rPr>
          <w:rFonts w:eastAsiaTheme="minorEastAsia"/>
          <w:lang w:eastAsia="zh-TW"/>
        </w:rPr>
        <w:t>2.1 Terminology</w:t>
      </w:r>
    </w:p>
    <w:bookmarkEnd w:id="17"/>
    <w:p>
      <w:pPr>
        <w:pStyle w:val="6"/>
      </w:pPr>
      <w:bookmarkStart w:id="19" w:name="OLE_LINK100"/>
      <w:r>
        <w:t xml:space="preserve">According to the common understanding made in RAN2 that OTT is outside of </w:t>
      </w:r>
      <w:bookmarkEnd w:id="19"/>
      <w:r>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bookmarkEnd w:id="20"/>
    <w:p>
      <w:pPr>
        <w:pStyle w:val="6"/>
      </w:pPr>
      <w:bookmarkStart w:id="21" w:name="OLE_LINK105"/>
      <w:r>
        <w:t xml:space="preserve">Q1: </w:t>
      </w:r>
      <w:bookmarkStart w:id="22" w:name="OLE_LINK107"/>
      <w:r>
        <w:t>Do companies agree to replace the term ‘OTT server’ with ‘server for UE-side data collection’ in the definitions/descriptions of different solutions?</w:t>
      </w:r>
    </w:p>
    <w:bookmarkEnd w:id="21"/>
    <w:bookmarkEnd w:id="2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23" w:name="OLE_LINK10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for solution 1b/2/3 with comments:</w:t>
            </w:r>
          </w:p>
          <w:p>
            <w:r>
              <w:t xml:space="preserve">As this is new terminology created by RAN2, we are still confused with whether it is: </w:t>
            </w:r>
          </w:p>
          <w:p>
            <w:pPr>
              <w:pStyle w:val="26"/>
              <w:numPr>
                <w:ilvl w:val="0"/>
                <w:numId w:val="6"/>
              </w:numPr>
              <w:ind w:firstLineChars="0"/>
            </w:pPr>
            <w:r>
              <w:t xml:space="preserve">a server owned by UE vendor, or </w:t>
            </w:r>
          </w:p>
          <w:p>
            <w:pPr>
              <w:pStyle w:val="26"/>
              <w:numPr>
                <w:ilvl w:val="0"/>
                <w:numId w:val="6"/>
              </w:numPr>
              <w:ind w:firstLineChars="0"/>
            </w:pPr>
            <w:r>
              <w:t xml:space="preserve">a server owned by MNO, or </w:t>
            </w:r>
          </w:p>
          <w:p>
            <w:pPr>
              <w:pStyle w:val="26"/>
              <w:numPr>
                <w:ilvl w:val="0"/>
                <w:numId w:val="6"/>
              </w:numPr>
              <w:ind w:firstLineChars="0"/>
            </w:pPr>
            <w:r>
              <w:t xml:space="preserve">a neutral server </w:t>
            </w:r>
          </w:p>
          <w:p>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r>
              <w:rPr>
                <w:lang w:eastAsia="ja-JP"/>
              </w:rPr>
              <w:drawing>
                <wp:inline distT="0" distB="0" distL="0" distR="0">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12"/>
                          <a:stretch>
                            <a:fillRect/>
                          </a:stretch>
                        </pic:blipFill>
                        <pic:spPr>
                          <a:xfrm>
                            <a:off x="0" y="0"/>
                            <a:ext cx="3939678" cy="792650"/>
                          </a:xfrm>
                          <a:prstGeom prst="rect">
                            <a:avLst/>
                          </a:prstGeom>
                        </pic:spPr>
                      </pic:pic>
                    </a:graphicData>
                  </a:graphic>
                </wp:inline>
              </w:drawing>
            </w:r>
          </w:p>
          <w:p>
            <w:r>
              <w:t xml:space="preserve">Thus, similarly, we think it is one important aspect RAN2 should discuss. Meanwhile, it is also part of “solution details” which are explicitly included as scope of this email discussion. </w:t>
            </w:r>
          </w:p>
          <w:p>
            <w:r>
              <w:t>[Rapp1] This definition is very general and doesn’t imply any ownership of the server. The ownership is intended to be clarified whether it’s inside or 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Yes, but maybe to be even clearer, we could use the term “server for training data collection for UE-side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r>
              <w:t xml:space="preserve">[Rapp1] Yes, with the change of the terminology, the general description of solution 1a, 1b, 2, and 3 needs to be updated accordingly. </w:t>
            </w:r>
          </w:p>
          <w:p>
            <w:r>
              <w:t>OK with Nokia clarification as well “server for training data collection for UE-side models outside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Huawei,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r>
              <w:t>If this "</w:t>
            </w:r>
            <w:r>
              <w:rPr>
                <w:bCs/>
              </w:rPr>
              <w:t>server for UE-side data collection</w:t>
            </w:r>
            <w:r>
              <w:t>" is inside MNO, the server still needs to transfer the collected data to UE server outside MNO (for training purpose).</w:t>
            </w:r>
          </w:p>
          <w:p>
            <w:r>
              <w:t xml:space="preserve">[Rapp1] </w:t>
            </w:r>
            <w:bookmarkStart w:id="24" w:name="OLE_LINK38"/>
            <w:r>
              <w:t xml:space="preserve">As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r>
              <w:rPr>
                <w:rFonts w:hint="eastAsia"/>
                <w:b/>
                <w:color w:val="0000FF"/>
              </w:rPr>
              <w:t>[</w:t>
            </w:r>
            <w:r>
              <w:rPr>
                <w:b/>
                <w:color w:val="0000FF"/>
              </w:rPr>
              <w:t>Huawei2, HiSilicon]</w:t>
            </w:r>
            <w:r>
              <w:rPr>
                <w:color w:val="0000FF"/>
              </w:rPr>
              <w:t xml:space="preserve"> </w:t>
            </w:r>
            <w:r>
              <w:t xml:space="preserve">We think the whole question should be about the ownership 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r>
              <w:rPr>
                <w:rFonts w:hint="eastAsia"/>
              </w:rPr>
              <w:t>T</w:t>
            </w:r>
            <w:r>
              <w:t>hen we need to look into the typical cases for UE server inside MNO.</w:t>
            </w:r>
          </w:p>
          <w:p>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F</w:t>
            </w:r>
            <w:r>
              <w:t>or solution 1a, we still can use OTT server, while for the other three solutions, i.e. 1b, 2,3, we can use ‘server for UE-sided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for solutions 1b,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for solution 1b,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No</w:t>
            </w:r>
          </w:p>
          <w:p>
            <w:r>
              <w:t>The use of two different terminologies for 'OTT server' and 'server for UE-side data collection' is confusing, considering the following reasons:</w:t>
            </w:r>
          </w:p>
          <w:p>
            <w:pPr>
              <w:pStyle w:val="26"/>
              <w:numPr>
                <w:ilvl w:val="0"/>
                <w:numId w:val="7"/>
              </w:numPr>
              <w:ind w:firstLineChars="0"/>
            </w:pPr>
            <w:r>
              <w:t xml:space="preserve">The term "server" is used for UE-side model training and is managed by the UE-side vendor in all options/solutions. </w:t>
            </w:r>
          </w:p>
          <w:p>
            <w:pPr>
              <w:pStyle w:val="26"/>
              <w:numPr>
                <w:ilvl w:val="0"/>
                <w:numId w:val="7"/>
              </w:numPr>
              <w:ind w:firstLineChars="0"/>
            </w:pPr>
            <w:r>
              <w:t xml:space="preserve">The term is “OTT” is important to indicate that model transfer/delivery is transparent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cs="Times New Roman"/>
                <w:sz w:val="20"/>
                <w:szCs w:val="20"/>
              </w:rPr>
            </w:pPr>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pPr>
              <w:rPr>
                <w:rFonts w:cs="Times New Roman"/>
                <w:sz w:val="20"/>
                <w:szCs w:val="20"/>
              </w:rPr>
            </w:pPr>
            <w:r>
              <w:rPr>
                <w:rFonts w:hint="eastAsia"/>
              </w:rPr>
              <w:t>Y</w:t>
            </w:r>
            <w:r>
              <w:t>es for solution 1b/2/3, and agree with Nokia to emphasize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w:t>
            </w:r>
          </w:p>
          <w:p>
            <w:r>
              <w:t>In RAN2#125bis, the RAN2 chair note explicitly mentioned that the OTT server cannot be inside the MNO network. However, in solutions 1b, 2, and 3, the server 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rapp., the solution 1a can be modified as </w:t>
            </w:r>
          </w:p>
          <w:p>
            <w:pPr>
              <w:pStyle w:val="26"/>
              <w:numPr>
                <w:ilvl w:val="0"/>
                <w:numId w:val="8"/>
              </w:numPr>
              <w:ind w:firstLineChars="0"/>
              <w:rPr>
                <w:rFonts w:cs="Times New Roman"/>
                <w:sz w:val="20"/>
                <w:szCs w:val="20"/>
              </w:rPr>
            </w:pPr>
            <w:r>
              <w:t xml:space="preserve">Server for UE-side data collection (outside MNO network) (e.g., OTT server). </w:t>
            </w:r>
          </w:p>
          <w:p>
            <w:r>
              <w:t xml:space="preserve">For 1b, 2, and 3, the OTT server can be replaced with </w:t>
            </w:r>
          </w:p>
          <w:p>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In general, we agree with Nokia on using the term “server for training data collection for UE-side models”, since the main goal of this data collection is to support model training. </w:t>
            </w:r>
          </w:p>
          <w:p>
            <w:r>
              <w:t>Regarding to Apple’s comment, though we share the sympathy that the ownership of the server could be further clarified (e.g. owned by UE vendor, owned by MNO, owned by 3</w:t>
            </w:r>
            <w:r>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Pr>
                <w:vertAlign w:val="superscript"/>
              </w:rPr>
              <w:t>rd</w:t>
            </w:r>
            <w:r>
              <w:t xml:space="preserve"> party or UE-vendor.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pPr>
              <w:pStyle w:val="26"/>
              <w:numPr>
                <w:ilvl w:val="0"/>
                <w:numId w:val="9"/>
              </w:numPr>
              <w:ind w:firstLineChars="0"/>
            </w:pPr>
            <w:r>
              <w:t xml:space="preserve">UE collects and directly transfers training data to the </w:t>
            </w:r>
            <w:r>
              <w:rPr>
                <w:strike/>
                <w:color w:val="C00000"/>
              </w:rPr>
              <w:t>Over-The-Top (OTT)</w:t>
            </w:r>
            <w:r>
              <w:t xml:space="preserve"> </w:t>
            </w:r>
            <w:r>
              <w:rPr>
                <w:color w:val="C00000"/>
                <w:u w:val="single"/>
              </w:rPr>
              <w:t xml:space="preserve">corresponding </w:t>
            </w:r>
            <w:r>
              <w:t>server</w:t>
            </w:r>
            <w:r>
              <w:rPr>
                <w:color w:val="C00000"/>
                <w:u w:val="single"/>
              </w:rPr>
              <w:t>s</w:t>
            </w:r>
            <w:r>
              <w:t>;</w:t>
            </w:r>
          </w:p>
          <w:p>
            <w:pPr>
              <w:rPr>
                <w:lang w:val="sv-SE"/>
              </w:rPr>
            </w:pPr>
            <w:r>
              <w:rPr>
                <w:lang w:val="sv-SE"/>
              </w:rPr>
              <w:t>1a) OTT (3GPP transparent)</w:t>
            </w:r>
          </w:p>
          <w:p>
            <w:pPr>
              <w:rPr>
                <w:rFonts w:cs="Times New Roman"/>
                <w:sz w:val="20"/>
                <w:szCs w:val="20"/>
                <w:lang w:val="sv-SE"/>
              </w:rPr>
            </w:pPr>
            <w:r>
              <w:rPr>
                <w:rFonts w:cs="Times New Roman"/>
                <w:sz w:val="20"/>
                <w:szCs w:val="20"/>
                <w:lang w:val="sv-SE"/>
              </w:rPr>
              <w:t xml:space="preserve">1b) </w:t>
            </w:r>
            <w:r>
              <w:rPr>
                <w:rFonts w:cs="Times New Roman"/>
                <w:strike/>
                <w:sz w:val="20"/>
                <w:szCs w:val="20"/>
                <w:lang w:val="sv-SE"/>
              </w:rPr>
              <w:t>OTT</w:t>
            </w:r>
            <w:r>
              <w:rPr>
                <w:rFonts w:cs="Times New Roman"/>
                <w:sz w:val="20"/>
                <w:szCs w:val="20"/>
                <w:lang w:val="sv-SE"/>
              </w:rPr>
              <w:t xml:space="preserve"> </w:t>
            </w:r>
            <w:r>
              <w:t>server for UE-side data collection</w:t>
            </w:r>
            <w:r>
              <w:rPr>
                <w:rFonts w:cs="Times New Roman"/>
                <w:sz w:val="20"/>
                <w:szCs w:val="20"/>
                <w:lang w:val="sv-SE"/>
              </w:rPr>
              <w:t xml:space="preserve"> (non-3GPP transparent)</w:t>
            </w:r>
          </w:p>
          <w:p>
            <w:r>
              <w:t>However, as we discussed in the questions below, we prefer to remove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Yes. The differentiation of terminology for 1a and other alternative solution is necessary to understand the difference of each solution.</w:t>
            </w:r>
          </w:p>
          <w:p>
            <w:pPr>
              <w:pStyle w:val="26"/>
              <w:numPr>
                <w:ilvl w:val="0"/>
                <w:numId w:val="10"/>
              </w:numPr>
              <w:ind w:firstLineChars="0"/>
            </w:pPr>
            <w:r>
              <w:t>“OTT server” refers to server for UE-sided model training for solution 1a, which is clearly outside the MNO network, the data transfer to it is done transparently to the MNO network, and is outside MNO control and policy.</w:t>
            </w:r>
          </w:p>
          <w:p>
            <w:pPr>
              <w:pStyle w:val="26"/>
              <w:numPr>
                <w:ilvl w:val="0"/>
                <w:numId w:val="10"/>
              </w:numPr>
              <w:ind w:firstLineChars="0"/>
            </w:pPr>
            <w:r>
              <w:t xml:space="preserve">“Server for UE side training data collection” terminology for solution 1b, 2, 3 is fine, it can be hosted inside or outside MNO network, but the main point is that the server (and the data) is controllable and visible by the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Kyocera</w:t>
            </w:r>
          </w:p>
        </w:tc>
        <w:tc>
          <w:tcPr>
            <w:tcW w:w="7178" w:type="dxa"/>
            <w:tcBorders>
              <w:top w:val="single" w:color="auto" w:sz="4" w:space="0"/>
              <w:left w:val="single" w:color="auto" w:sz="4" w:space="0"/>
              <w:bottom w:val="single" w:color="auto" w:sz="4" w:space="0"/>
              <w:right w:val="single" w:color="auto" w:sz="4" w:space="0"/>
            </w:tcBorders>
          </w:tcPr>
          <w:p>
            <w:r>
              <w:t>We share the same view as Nokia, since data from data collection can be used as Training Data, Monitoring Data, and Inference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 for solutions 1b,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r>
              <w:rPr>
                <w:rFonts w:eastAsia="Yu Mincho"/>
                <w:lang w:eastAsia="ja-JP"/>
              </w:rPr>
              <w:t xml:space="preserve">Yes for solutions 2 and 3. Nokia proposed terminology is clearer - </w:t>
            </w:r>
            <w:r>
              <w:t xml:space="preserve">“server for training data collection for UE-side models”. </w:t>
            </w:r>
          </w:p>
          <w:p>
            <w:pPr>
              <w:rPr>
                <w:rFonts w:eastAsia="Yu Mincho"/>
                <w:lang w:eastAsia="ja-JP"/>
              </w:rPr>
            </w:pPr>
            <w:r>
              <w:t xml:space="preserve">No for Solution 1b, since it is not clear how Solution 1b is different from 1a in this regard.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T-Mobile would prefer to use the term RAN-NWDAF, this is a logical function similar to what SA-2 defined. In today’s cloud networks the physical location of the data doesn’t matter what matters is what level of MNO control over the data and the visibility of the data of the MNO.  MNO control and Visibility are the terms that RAN adopted during the online RAN#125bis discussion.  OTT in this is data that the MNO neither controls nor has visibility. As such no 3GPP specification work is needed.  </w:t>
            </w:r>
          </w:p>
          <w:p>
            <w:pPr>
              <w:rPr>
                <w:rFonts w:eastAsia="Yu Mincho"/>
                <w:lang w:eastAsia="ja-JP"/>
              </w:rPr>
            </w:pPr>
          </w:p>
          <w:p>
            <w:pPr>
              <w:rPr>
                <w:rFonts w:eastAsia="Yu Mincho"/>
                <w:lang w:eastAsia="ja-JP"/>
              </w:rPr>
            </w:pPr>
            <w:r>
              <w:rPr>
                <w:rFonts w:eastAsia="Yu Mincho"/>
                <w:lang w:eastAsia="ja-JP"/>
              </w:rPr>
              <w:t xml:space="preserve">We also agree with Huawei that model training and data collection are two separate logical functions that may or may not reside in the same physical 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color w:val="000000" w:themeColor="text1"/>
                <w:sz w:val="21"/>
                <w:szCs w:val="22"/>
                <w:lang w:val="en-US" w:eastAsia="ja-JP" w:bidi="ar-SA"/>
                <w14:textFill>
                  <w14:solidFill>
                    <w14:schemeClr w14:val="tx1"/>
                  </w14:solidFill>
                </w14:textFill>
              </w:rPr>
            </w:pPr>
            <w:r>
              <w:rPr>
                <w:rFonts w:hint="eastAsia" w:eastAsia="Yu Mincho"/>
                <w:lang w:eastAsia="ja-JP"/>
              </w:rPr>
              <w:t>Y</w:t>
            </w:r>
            <w:r>
              <w:rPr>
                <w:rFonts w:eastAsia="Yu Mincho"/>
                <w:lang w:eastAsia="ja-JP"/>
              </w:rPr>
              <w:t>es for solutions 1b, 2, and 3.</w:t>
            </w:r>
          </w:p>
        </w:tc>
      </w:tr>
      <w:bookmarkEnd w:id="23"/>
    </w:tbl>
    <w:p>
      <w:pPr>
        <w:pStyle w:val="3"/>
        <w:rPr>
          <w:rFonts w:eastAsiaTheme="minorEastAsia"/>
          <w:lang w:eastAsia="zh-TW"/>
        </w:rPr>
      </w:pPr>
      <w:r>
        <w:rPr>
          <w:rFonts w:eastAsiaTheme="minorEastAsia"/>
          <w:lang w:eastAsia="zh-TW"/>
        </w:rPr>
        <w:t>2.2 Inside/outside MNO’s network</w:t>
      </w:r>
    </w:p>
    <w:p>
      <w:pPr>
        <w:pStyle w:val="6"/>
        <w:rPr>
          <w:ins w:id="0" w:author="作者" w:date=""/>
        </w:rPr>
      </w:pPr>
      <w:bookmarkStart w:id="26"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pPr>
        <w:pStyle w:val="6"/>
        <w:rPr>
          <w:ins w:id="1" w:author="作者" w:date=""/>
        </w:rPr>
      </w:pPr>
      <w:ins w:id="2" w:author="作者">
        <w:r>
          <w:rPr>
            <w:rFonts w:ascii="Arial" w:hAnsi="Arial" w:cs="Times New Roman"/>
            <w:color w:val="000000" w:themeColor="text1"/>
            <w:shd w:val="clear" w:color="auto" w:fill="auto"/>
            <w:rPrChange w:id="3" w:author="作者" w:date="">
              <w:rPr>
                <w:rFonts w:ascii="Segoe UI" w:hAnsi="Segoe UI" w:cs="Segoe UI"/>
                <w:color w:val="D1D5DB"/>
                <w:shd w:val="clear" w:color="auto" w:fill="444654"/>
              </w:rPr>
            </w:rPrChange>
            <w14:textFill>
              <w14:solidFill>
                <w14:schemeClr w14:val="tx1"/>
              </w14:solidFill>
            </w14:textFill>
          </w:rPr>
          <w:t xml:space="preserve">Reflecting on the feedback received, there's a need to clarify the </w:t>
        </w:r>
      </w:ins>
      <w:ins w:id="5" w:author="作者">
        <w:r>
          <w:rPr/>
          <w:t xml:space="preserve">intention and meaning on </w:t>
        </w:r>
      </w:ins>
      <w:ins w:id="6" w:author="作者">
        <w:r>
          <w:rPr>
            <w:rFonts w:ascii="Arial" w:hAnsi="Arial" w:cs="Times New Roman"/>
            <w:color w:val="000000" w:themeColor="text1"/>
            <w:shd w:val="clear" w:color="auto" w:fill="auto"/>
            <w:rPrChange w:id="7" w:author="作者" w:date="">
              <w:rPr>
                <w:rFonts w:ascii="Segoe UI" w:hAnsi="Segoe UI" w:cs="Segoe UI"/>
                <w:color w:val="D1D5DB"/>
                <w:shd w:val="clear" w:color="auto" w:fill="444654"/>
              </w:rPr>
            </w:rPrChange>
            <w14:textFill>
              <w14:solidFill>
                <w14:schemeClr w14:val="tx1"/>
              </w14:solidFill>
            </w14:textFill>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ins>
      <w:ins w:id="9" w:author="作者">
        <w:r>
          <w:rPr/>
          <w:t>inside</w:t>
        </w:r>
      </w:ins>
      <w:ins w:id="10" w:author="作者">
        <w:r>
          <w:rPr>
            <w:rFonts w:ascii="Arial" w:hAnsi="Arial" w:cs="Times New Roman"/>
            <w:color w:val="000000" w:themeColor="text1"/>
            <w:shd w:val="clear" w:color="auto" w:fill="auto"/>
            <w:rPrChange w:id="11" w:author="作者" w:date="">
              <w:rPr>
                <w:rFonts w:ascii="Segoe UI" w:hAnsi="Segoe UI" w:cs="Segoe UI"/>
                <w:color w:val="D1D5DB"/>
                <w:shd w:val="clear" w:color="auto" w:fill="444654"/>
              </w:rPr>
            </w:rPrChange>
            <w14:textFill>
              <w14:solidFill>
                <w14:schemeClr w14:val="tx1"/>
              </w14:solidFill>
            </w14:textFill>
          </w:rPr>
          <w:t xml:space="preserve"> the MNO's network, it is considered to be owned by the MNO. Conversely, if it is located outside the MNO's network, ownership falls to the UE vendor or another external party, but not the MNO.</w:t>
        </w:r>
      </w:ins>
      <w:ins w:id="13" w:author="作者">
        <w:r>
          <w:rPr/>
          <w:t xml:space="preserve"> So, I add one more question to align companies’ understanding. </w:t>
        </w:r>
      </w:ins>
    </w:p>
    <w:p>
      <w:pPr>
        <w:pStyle w:val="6"/>
        <w:rPr>
          <w:ins w:id="14" w:author="作者" w:date=""/>
        </w:rPr>
      </w:pPr>
      <w:ins w:id="15" w:author="作者">
        <w:r>
          <w:rPr/>
          <w:t xml:space="preserve">Q2.0: </w:t>
        </w:r>
      </w:ins>
      <w:ins w:id="16" w:author="作者">
        <w:r>
          <w:rPr>
            <w:rFonts w:ascii="Arial" w:hAnsi="Arial" w:cs="Times New Roman"/>
            <w:color w:val="000000" w:themeColor="text1"/>
            <w:shd w:val="clear" w:color="auto" w:fill="auto"/>
            <w:rPrChange w:id="17" w:author="作者" w:date="">
              <w:rPr>
                <w:rFonts w:ascii="Segoe UI" w:hAnsi="Segoe UI" w:cs="Segoe UI"/>
                <w:color w:val="D1D5DB"/>
                <w:shd w:val="clear" w:color="auto" w:fill="444654"/>
              </w:rPr>
            </w:rPrChange>
            <w14:textFill>
              <w14:solidFill>
                <w14:schemeClr w14:val="tx1"/>
              </w14:solidFill>
            </w14:textFill>
          </w:rPr>
          <w:t xml:space="preserve">Do companies agree that a server </w:t>
        </w:r>
      </w:ins>
      <w:ins w:id="19" w:author="作者">
        <w:r>
          <w:rPr/>
          <w:t>located</w:t>
        </w:r>
      </w:ins>
      <w:ins w:id="20" w:author="作者">
        <w:r>
          <w:rPr>
            <w:rFonts w:ascii="Arial" w:hAnsi="Arial" w:cs="Times New Roman"/>
            <w:color w:val="000000" w:themeColor="text1"/>
            <w:shd w:val="clear" w:color="auto" w:fill="auto"/>
            <w:rPrChange w:id="21" w:author="作者" w:date="">
              <w:rPr>
                <w:rFonts w:ascii="Segoe UI" w:hAnsi="Segoe UI" w:cs="Segoe UI"/>
                <w:color w:val="D1D5DB"/>
                <w:shd w:val="clear" w:color="auto" w:fill="444654"/>
              </w:rPr>
            </w:rPrChange>
            <w14:textFill>
              <w14:solidFill>
                <w14:schemeClr w14:val="tx1"/>
              </w14:solidFill>
            </w14:textFill>
          </w:rPr>
          <w:t xml:space="preserve"> within the MNO's network is deemed to be MNO-owned, whereas one located outside is not under MNO ownership?</w:t>
        </w:r>
      </w:ins>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Change w:id="23">
          <w:tblGrid>
            <w:gridCol w:w="1838"/>
            <w:gridCol w:w="71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作者" w:date=""/>
        </w:trPr>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ins w:id="25" w:author="作者" w:date=""/>
              </w:rPr>
            </w:pPr>
            <w:ins w:id="26" w:author="作者">
              <w:r>
                <w:rPr/>
                <w:t>Company</w:t>
              </w:r>
            </w:ins>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pPr>
              <w:rPr>
                <w:ins w:id="27" w:author="作者" w:date=""/>
              </w:rPr>
            </w:pPr>
            <w:ins w:id="28" w:author="作者">
              <w:r>
                <w:rPr/>
                <w:t>Yes/No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 w:author="作者" w:date="">
            <w:tblPrEx>
              <w:tblCellMar>
                <w:top w:w="0" w:type="dxa"/>
                <w:left w:w="108" w:type="dxa"/>
                <w:bottom w:w="0" w:type="dxa"/>
                <w:right w:w="108" w:type="dxa"/>
              </w:tblCellMar>
            </w:tblPrEx>
          </w:tblPrExChange>
        </w:tblPrEx>
        <w:trPr>
          <w:ins w:id="29" w:author="作者" w:date=""/>
        </w:trPr>
        <w:tc>
          <w:tcPr>
            <w:tcW w:w="1838" w:type="dxa"/>
            <w:tcBorders>
              <w:top w:val="single" w:color="auto" w:sz="4" w:space="0"/>
              <w:left w:val="single" w:color="auto" w:sz="4" w:space="0"/>
              <w:bottom w:val="single" w:color="auto" w:sz="4" w:space="0"/>
              <w:right w:val="single" w:color="auto" w:sz="4" w:space="0"/>
            </w:tcBorders>
            <w:tcPrChange w:id="31" w:author="作者" w:date="">
              <w:tcPr>
                <w:tcW w:w="1838" w:type="dxa"/>
                <w:tcBorders>
                  <w:top w:val="single" w:color="auto" w:sz="4" w:space="0"/>
                  <w:left w:val="single" w:color="auto" w:sz="4" w:space="0"/>
                  <w:bottom w:val="single" w:color="auto" w:sz="4" w:space="0"/>
                  <w:right w:val="single" w:color="auto" w:sz="4" w:space="0"/>
                </w:tcBorders>
              </w:tcPr>
            </w:tcPrChange>
          </w:tcPr>
          <w:p>
            <w:pPr>
              <w:rPr>
                <w:ins w:id="32" w:author="作者" w:date=""/>
              </w:rPr>
            </w:pPr>
            <w:ins w:id="33" w:author="作者">
              <w:r>
                <w:rPr/>
                <w:t>Mediatek</w:t>
              </w:r>
            </w:ins>
          </w:p>
        </w:tc>
        <w:tc>
          <w:tcPr>
            <w:tcW w:w="7178" w:type="dxa"/>
            <w:tcBorders>
              <w:top w:val="single" w:color="auto" w:sz="4" w:space="0"/>
              <w:left w:val="single" w:color="auto" w:sz="4" w:space="0"/>
              <w:bottom w:val="single" w:color="auto" w:sz="4" w:space="0"/>
              <w:right w:val="single" w:color="auto" w:sz="4" w:space="0"/>
            </w:tcBorders>
            <w:tcPrChange w:id="34" w:author="作者" w:date="">
              <w:tcPr>
                <w:tcW w:w="7178" w:type="dxa"/>
                <w:tcBorders>
                  <w:top w:val="single" w:color="auto" w:sz="4" w:space="0"/>
                  <w:left w:val="single" w:color="auto" w:sz="4" w:space="0"/>
                  <w:bottom w:val="single" w:color="auto" w:sz="4" w:space="0"/>
                  <w:right w:val="single" w:color="auto" w:sz="4" w:space="0"/>
                </w:tcBorders>
              </w:tcPr>
            </w:tcPrChange>
          </w:tcPr>
          <w:p>
            <w:pPr>
              <w:rPr>
                <w:ins w:id="35" w:author="作者" w:date=""/>
              </w:rPr>
            </w:pPr>
            <w:ins w:id="36" w:author="作者">
              <w:r>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 w:author="作者" w:date="">
            <w:tblPrEx>
              <w:tblCellMar>
                <w:top w:w="0" w:type="dxa"/>
                <w:left w:w="108" w:type="dxa"/>
                <w:bottom w:w="0" w:type="dxa"/>
                <w:right w:w="108" w:type="dxa"/>
              </w:tblCellMar>
            </w:tblPrEx>
          </w:tblPrExChange>
        </w:tblPrEx>
        <w:trPr>
          <w:ins w:id="37" w:author="作者" w:date=""/>
        </w:trPr>
        <w:tc>
          <w:tcPr>
            <w:tcW w:w="1838" w:type="dxa"/>
            <w:tcBorders>
              <w:top w:val="single" w:color="auto" w:sz="4" w:space="0"/>
              <w:left w:val="single" w:color="auto" w:sz="4" w:space="0"/>
              <w:bottom w:val="single" w:color="auto" w:sz="4" w:space="0"/>
              <w:right w:val="single" w:color="auto" w:sz="4" w:space="0"/>
            </w:tcBorders>
            <w:tcPrChange w:id="39" w:author="作者" w:date="">
              <w:tcPr>
                <w:tcW w:w="1838" w:type="dxa"/>
                <w:tcBorders>
                  <w:top w:val="single" w:color="auto" w:sz="4" w:space="0"/>
                  <w:left w:val="single" w:color="auto" w:sz="4" w:space="0"/>
                  <w:bottom w:val="single" w:color="auto" w:sz="4" w:space="0"/>
                  <w:right w:val="single" w:color="auto" w:sz="4" w:space="0"/>
                </w:tcBorders>
              </w:tcPr>
            </w:tcPrChange>
          </w:tcPr>
          <w:p>
            <w:pPr>
              <w:rPr>
                <w:ins w:id="40" w:author="作者" w:date=""/>
              </w:rPr>
            </w:pPr>
            <w:r>
              <w:t>vivo</w:t>
            </w:r>
          </w:p>
        </w:tc>
        <w:tc>
          <w:tcPr>
            <w:tcW w:w="7178" w:type="dxa"/>
            <w:tcBorders>
              <w:top w:val="single" w:color="auto" w:sz="4" w:space="0"/>
              <w:left w:val="single" w:color="auto" w:sz="4" w:space="0"/>
              <w:bottom w:val="single" w:color="auto" w:sz="4" w:space="0"/>
              <w:right w:val="single" w:color="auto" w:sz="4" w:space="0"/>
            </w:tcBorders>
            <w:tcPrChange w:id="41" w:author="作者" w:date="">
              <w:tcPr>
                <w:tcW w:w="7178" w:type="dxa"/>
                <w:tcBorders>
                  <w:top w:val="single" w:color="auto" w:sz="4" w:space="0"/>
                  <w:left w:val="single" w:color="auto" w:sz="4" w:space="0"/>
                  <w:bottom w:val="single" w:color="auto" w:sz="4" w:space="0"/>
                  <w:right w:val="single" w:color="auto" w:sz="4" w:space="0"/>
                </w:tcBorders>
              </w:tcPr>
            </w:tcPrChange>
          </w:tcPr>
          <w:p>
            <w:pPr>
              <w:rPr>
                <w:ins w:id="42" w:author="作者" w:date=""/>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 w:author="作者" w:date="">
            <w:tblPrEx>
              <w:tblCellMar>
                <w:top w:w="0" w:type="dxa"/>
                <w:left w:w="108" w:type="dxa"/>
                <w:bottom w:w="0" w:type="dxa"/>
                <w:right w:w="108" w:type="dxa"/>
              </w:tblCellMar>
            </w:tblPrEx>
          </w:tblPrExChange>
        </w:tblPrEx>
        <w:trPr>
          <w:ins w:id="43" w:author="作者" w:date=""/>
        </w:trPr>
        <w:tc>
          <w:tcPr>
            <w:tcW w:w="1838" w:type="dxa"/>
            <w:tcBorders>
              <w:top w:val="single" w:color="auto" w:sz="4" w:space="0"/>
              <w:left w:val="single" w:color="auto" w:sz="4" w:space="0"/>
              <w:bottom w:val="single" w:color="auto" w:sz="4" w:space="0"/>
              <w:right w:val="single" w:color="auto" w:sz="4" w:space="0"/>
            </w:tcBorders>
            <w:tcPrChange w:id="45" w:author="作者" w:date="">
              <w:tcPr>
                <w:tcW w:w="1838" w:type="dxa"/>
                <w:tcBorders>
                  <w:top w:val="single" w:color="auto" w:sz="4" w:space="0"/>
                  <w:left w:val="single" w:color="auto" w:sz="4" w:space="0"/>
                  <w:bottom w:val="single" w:color="auto" w:sz="4" w:space="0"/>
                  <w:right w:val="single" w:color="auto" w:sz="4" w:space="0"/>
                </w:tcBorders>
              </w:tcPr>
            </w:tcPrChange>
          </w:tcPr>
          <w:p>
            <w:pPr>
              <w:rPr>
                <w:ins w:id="46" w:author="作者" w:date=""/>
              </w:rPr>
            </w:pPr>
            <w:r>
              <w:rPr>
                <w:rFonts w:hint="eastAsia"/>
              </w:rPr>
              <w:t>CATT</w:t>
            </w:r>
          </w:p>
        </w:tc>
        <w:tc>
          <w:tcPr>
            <w:tcW w:w="7178" w:type="dxa"/>
            <w:tcBorders>
              <w:top w:val="single" w:color="auto" w:sz="4" w:space="0"/>
              <w:left w:val="single" w:color="auto" w:sz="4" w:space="0"/>
              <w:bottom w:val="single" w:color="auto" w:sz="4" w:space="0"/>
              <w:right w:val="single" w:color="auto" w:sz="4" w:space="0"/>
            </w:tcBorders>
            <w:tcPrChange w:id="47" w:author="作者" w:date="">
              <w:tcPr>
                <w:tcW w:w="7178" w:type="dxa"/>
                <w:tcBorders>
                  <w:top w:val="single" w:color="auto" w:sz="4" w:space="0"/>
                  <w:left w:val="single" w:color="auto" w:sz="4" w:space="0"/>
                  <w:bottom w:val="single" w:color="auto" w:sz="4" w:space="0"/>
                  <w:right w:val="single" w:color="auto" w:sz="4" w:space="0"/>
                </w:tcBorders>
              </w:tcPr>
            </w:tcPrChange>
          </w:tcPr>
          <w:p>
            <w:pPr>
              <w:rPr>
                <w:ins w:id="48" w:author="作者" w:date=""/>
              </w:rPr>
            </w:pPr>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 w:author="作者" w:date="">
            <w:tblPrEx>
              <w:tblCellMar>
                <w:top w:w="0" w:type="dxa"/>
                <w:left w:w="108" w:type="dxa"/>
                <w:bottom w:w="0" w:type="dxa"/>
                <w:right w:w="108" w:type="dxa"/>
              </w:tblCellMar>
            </w:tblPrEx>
          </w:tblPrExChange>
        </w:tblPrEx>
        <w:trPr>
          <w:ins w:id="49" w:author="作者" w:date=""/>
        </w:trPr>
        <w:tc>
          <w:tcPr>
            <w:tcW w:w="1838" w:type="dxa"/>
            <w:tcBorders>
              <w:top w:val="single" w:color="auto" w:sz="4" w:space="0"/>
              <w:left w:val="single" w:color="auto" w:sz="4" w:space="0"/>
              <w:bottom w:val="single" w:color="auto" w:sz="4" w:space="0"/>
              <w:right w:val="single" w:color="auto" w:sz="4" w:space="0"/>
            </w:tcBorders>
            <w:tcPrChange w:id="51" w:author="作者" w:date="">
              <w:tcPr>
                <w:tcW w:w="1838" w:type="dxa"/>
                <w:tcBorders>
                  <w:top w:val="single" w:color="auto" w:sz="4" w:space="0"/>
                  <w:left w:val="single" w:color="auto" w:sz="4" w:space="0"/>
                  <w:bottom w:val="single" w:color="auto" w:sz="4" w:space="0"/>
                  <w:right w:val="single" w:color="auto" w:sz="4" w:space="0"/>
                </w:tcBorders>
              </w:tcPr>
            </w:tcPrChange>
          </w:tcPr>
          <w:p>
            <w:pPr>
              <w:rPr>
                <w:ins w:id="52" w:author="作者" w:date=""/>
              </w:rPr>
            </w:pPr>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Change w:id="53" w:author="作者" w:date="">
              <w:tcPr>
                <w:tcW w:w="7178" w:type="dxa"/>
                <w:tcBorders>
                  <w:top w:val="single" w:color="auto" w:sz="4" w:space="0"/>
                  <w:left w:val="single" w:color="auto" w:sz="4" w:space="0"/>
                  <w:bottom w:val="single" w:color="auto" w:sz="4" w:space="0"/>
                  <w:right w:val="single" w:color="auto" w:sz="4" w:space="0"/>
                </w:tcBorders>
              </w:tcPr>
            </w:tcPrChange>
          </w:tcPr>
          <w:p>
            <w:r>
              <w:t>[Huawei2, HiSilicon]</w:t>
            </w:r>
          </w:p>
          <w:p>
            <w:r>
              <w:t>Yes, it is also our understanding that the server inside MNO should be seen as a MNO-owned server, and in this case, we think the collected data is also owned by the MNO. But companies may have different understanding on this aspect.</w:t>
            </w:r>
          </w:p>
          <w:p>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r>
              <w:t>(2) For your case "</w:t>
            </w:r>
            <w:r>
              <w:rPr>
                <w:color w:val="FF0000"/>
              </w:rPr>
              <w:t>the MNO buying a server from the UE vendor and setting it up within their own network</w:t>
            </w:r>
            <w:r>
              <w:t>", we would like to understand what does it mean, and why does the MNO need to buy a server from the UE vendor.</w:t>
            </w:r>
          </w:p>
          <w:p>
            <w:pPr>
              <w:rPr>
                <w:ins w:id="54" w:author="作者" w:da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 w:author="作者" w:date="">
            <w:tblPrEx>
              <w:tblCellMar>
                <w:top w:w="0" w:type="dxa"/>
                <w:left w:w="108" w:type="dxa"/>
                <w:bottom w:w="0" w:type="dxa"/>
                <w:right w:w="108" w:type="dxa"/>
              </w:tblCellMar>
            </w:tblPrEx>
          </w:tblPrExChange>
        </w:tblPrEx>
        <w:trPr>
          <w:ins w:id="55" w:author="作者" w:date=""/>
        </w:trPr>
        <w:tc>
          <w:tcPr>
            <w:tcW w:w="1838" w:type="dxa"/>
            <w:tcBorders>
              <w:top w:val="single" w:color="auto" w:sz="4" w:space="0"/>
              <w:left w:val="single" w:color="auto" w:sz="4" w:space="0"/>
              <w:bottom w:val="single" w:color="auto" w:sz="4" w:space="0"/>
              <w:right w:val="single" w:color="auto" w:sz="4" w:space="0"/>
            </w:tcBorders>
            <w:tcPrChange w:id="57" w:author="作者" w:date="">
              <w:tcPr>
                <w:tcW w:w="1838" w:type="dxa"/>
                <w:tcBorders>
                  <w:top w:val="single" w:color="auto" w:sz="4" w:space="0"/>
                  <w:left w:val="single" w:color="auto" w:sz="4" w:space="0"/>
                  <w:bottom w:val="single" w:color="auto" w:sz="4" w:space="0"/>
                  <w:right w:val="single" w:color="auto" w:sz="4" w:space="0"/>
                </w:tcBorders>
              </w:tcPr>
            </w:tcPrChange>
          </w:tcPr>
          <w:p>
            <w:pPr>
              <w:rPr>
                <w:ins w:id="58" w:author="作者" w:date=""/>
              </w:rPr>
            </w:pPr>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Change w:id="59" w:author="作者" w:date="">
              <w:tcPr>
                <w:tcW w:w="7178" w:type="dxa"/>
                <w:tcBorders>
                  <w:top w:val="single" w:color="auto" w:sz="4" w:space="0"/>
                  <w:left w:val="single" w:color="auto" w:sz="4" w:space="0"/>
                  <w:bottom w:val="single" w:color="auto" w:sz="4" w:space="0"/>
                  <w:right w:val="single" w:color="auto" w:sz="4" w:space="0"/>
                </w:tcBorders>
              </w:tcPr>
            </w:tcPrChange>
          </w:tcPr>
          <w:p>
            <w:pPr>
              <w:rPr>
                <w:ins w:id="60" w:author="作者" w:date=""/>
              </w:rPr>
            </w:pPr>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 w:author="作者" w:date="">
            <w:tblPrEx>
              <w:tblCellMar>
                <w:top w:w="0" w:type="dxa"/>
                <w:left w:w="108" w:type="dxa"/>
                <w:bottom w:w="0" w:type="dxa"/>
                <w:right w:w="108" w:type="dxa"/>
              </w:tblCellMar>
            </w:tblPrEx>
          </w:tblPrExChange>
        </w:tblPrEx>
        <w:trPr>
          <w:ins w:id="61" w:author="作者" w:date=""/>
        </w:trPr>
        <w:tc>
          <w:tcPr>
            <w:tcW w:w="1838" w:type="dxa"/>
            <w:tcBorders>
              <w:top w:val="single" w:color="auto" w:sz="4" w:space="0"/>
              <w:left w:val="single" w:color="auto" w:sz="4" w:space="0"/>
              <w:bottom w:val="single" w:color="auto" w:sz="4" w:space="0"/>
              <w:right w:val="single" w:color="auto" w:sz="4" w:space="0"/>
            </w:tcBorders>
            <w:tcPrChange w:id="63" w:author="作者" w:date="">
              <w:tcPr>
                <w:tcW w:w="1838" w:type="dxa"/>
                <w:tcBorders>
                  <w:top w:val="single" w:color="auto" w:sz="4" w:space="0"/>
                  <w:left w:val="single" w:color="auto" w:sz="4" w:space="0"/>
                  <w:bottom w:val="single" w:color="auto" w:sz="4" w:space="0"/>
                  <w:right w:val="single" w:color="auto" w:sz="4" w:space="0"/>
                </w:tcBorders>
              </w:tcPr>
            </w:tcPrChange>
          </w:tcPr>
          <w:p>
            <w:pPr>
              <w:rPr>
                <w:ins w:id="64" w:author="作者" w:date=""/>
              </w:rPr>
            </w:pPr>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Change w:id="65" w:author="作者" w:date="">
              <w:tcPr>
                <w:tcW w:w="7178" w:type="dxa"/>
                <w:tcBorders>
                  <w:top w:val="single" w:color="auto" w:sz="4" w:space="0"/>
                  <w:left w:val="single" w:color="auto" w:sz="4" w:space="0"/>
                  <w:bottom w:val="single" w:color="auto" w:sz="4" w:space="0"/>
                  <w:right w:val="single" w:color="auto" w:sz="4" w:space="0"/>
                </w:tcBorders>
              </w:tcPr>
            </w:tcPrChange>
          </w:tcPr>
          <w:p>
            <w:pPr>
              <w:rPr>
                <w:ins w:id="66" w:author="作者" w:date=""/>
              </w:rPr>
            </w:pPr>
            <w:r>
              <w:rPr>
                <w:rFonts w:hint="eastAsia"/>
              </w:rPr>
              <w:t>T</w:t>
            </w:r>
            <w:r>
              <w:t xml:space="preserve">he ownership shall be MNO , We also have some sympathies with HW, it need to be clarified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Apple </w:t>
            </w:r>
          </w:p>
        </w:tc>
        <w:tc>
          <w:tcPr>
            <w:tcW w:w="7178" w:type="dxa"/>
            <w:tcBorders>
              <w:top w:val="single" w:color="auto" w:sz="4" w:space="0"/>
              <w:left w:val="single" w:color="auto" w:sz="4" w:space="0"/>
              <w:bottom w:val="single" w:color="auto" w:sz="4" w:space="0"/>
              <w:right w:val="single" w:color="auto" w:sz="4" w:space="0"/>
            </w:tcBorders>
          </w:tcPr>
          <w:p>
            <w:r>
              <w:t>Yes for first part with comments:</w:t>
            </w:r>
          </w:p>
          <w:p>
            <w:r>
              <w:t>We agree that “</w:t>
            </w:r>
            <w:ins w:id="67" w:author="作者">
              <w:r>
                <w:rPr>
                  <w:rFonts w:asciiTheme="minorHAnsi" w:hAnsiTheme="minorHAnsi" w:cstheme="minorBidi"/>
                  <w:color w:val="auto"/>
                  <w:shd w:val="clear" w:color="auto" w:fill="auto"/>
                  <w:rPrChange w:id="68" w:author="作者" w:date="">
                    <w:rPr>
                      <w:rFonts w:ascii="Segoe UI" w:hAnsi="Segoe UI" w:cs="Segoe UI"/>
                      <w:color w:val="D1D5DB"/>
                      <w:shd w:val="clear" w:color="auto" w:fill="444654"/>
                    </w:rPr>
                  </w:rPrChange>
                </w:rPr>
                <w:t xml:space="preserve">a server </w:t>
              </w:r>
            </w:ins>
            <w:ins w:id="70" w:author="作者">
              <w:r>
                <w:rPr/>
                <w:t>located</w:t>
              </w:r>
            </w:ins>
            <w:ins w:id="71" w:author="作者">
              <w:r>
                <w:rPr>
                  <w:rFonts w:asciiTheme="minorHAnsi" w:hAnsiTheme="minorHAnsi" w:cstheme="minorBidi"/>
                  <w:color w:val="auto"/>
                  <w:shd w:val="clear" w:color="auto" w:fill="auto"/>
                  <w:rPrChange w:id="72" w:author="作者" w:date="">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pPr>
              <w:pStyle w:val="26"/>
              <w:numPr>
                <w:ilvl w:val="0"/>
                <w:numId w:val="11"/>
              </w:numPr>
              <w:ind w:firstLineChars="0"/>
            </w:pPr>
            <w:r>
              <w:t xml:space="preserve">The case "the UE vendor renting server space from the MNO" </w:t>
            </w:r>
          </w:p>
          <w:p>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pPr>
              <w:pStyle w:val="26"/>
              <w:numPr>
                <w:ilvl w:val="0"/>
                <w:numId w:val="11"/>
              </w:numPr>
              <w:ind w:firstLineChars="0"/>
            </w:pPr>
            <w:r>
              <w:t xml:space="preserve"> The case "the MNO buying a server from the UE vendor and setting it up within their own network " </w:t>
            </w:r>
          </w:p>
          <w:p>
            <w:r>
              <w:t>In this case, we think if UE privacy exposure, it should be MNO to take the responsibility of exposure.</w:t>
            </w:r>
          </w:p>
          <w:p/>
          <w:p>
            <w:pPr>
              <w:rPr>
                <w:b/>
                <w:sz w:val="20"/>
                <w:szCs w:val="20"/>
              </w:rPr>
            </w:pPr>
            <w:r>
              <w:t>On 2</w:t>
            </w:r>
            <w:r>
              <w:rPr>
                <w:vertAlign w:val="superscript"/>
              </w:rPr>
              <w:t>nd</w:t>
            </w:r>
            <w:r>
              <w:t xml:space="preserve"> half: “</w:t>
            </w:r>
            <w:ins w:id="74" w:author="作者">
              <w:r>
                <w:rPr>
                  <w:rFonts w:asciiTheme="minorHAnsi" w:hAnsiTheme="minorHAnsi" w:cstheme="minorBidi"/>
                  <w:color w:val="auto"/>
                  <w:shd w:val="clear" w:color="auto" w:fill="auto"/>
                  <w:rPrChange w:id="75" w:author="作者" w:date="">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pPr>
              <w:rPr>
                <w:b/>
              </w:rPr>
            </w:pPr>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pPr>
              <w:pStyle w:val="26"/>
              <w:numPr>
                <w:ilvl w:val="0"/>
                <w:numId w:val="12"/>
              </w:numPr>
              <w:ind w:firstLineChars="0"/>
            </w:pPr>
            <w:r>
              <w:rPr>
                <w:b/>
              </w:rPr>
              <w:t>Interpretation#1</w:t>
            </w:r>
            <w:r>
              <w:t>: MNO owns and/or manages the server and has access to its content</w:t>
            </w:r>
          </w:p>
          <w:p>
            <w:pPr>
              <w:pStyle w:val="26"/>
              <w:numPr>
                <w:ilvl w:val="0"/>
                <w:numId w:val="12"/>
              </w:numPr>
              <w:ind w:firstLineChars="0"/>
            </w:pPr>
            <w:r>
              <w:rPr>
                <w:b/>
              </w:rPr>
              <w:t>Interpretation#2:</w:t>
            </w:r>
            <w:r>
              <w:t xml:space="preserve"> MNO owns and/or manages the server but does not have access to its content</w:t>
            </w:r>
          </w:p>
          <w:p>
            <w:pPr>
              <w:pStyle w:val="26"/>
              <w:numPr>
                <w:ilvl w:val="0"/>
                <w:numId w:val="12"/>
              </w:numPr>
              <w:ind w:firstLineChars="0"/>
              <w:rPr>
                <w:b/>
              </w:rPr>
            </w:pPr>
            <w:r>
              <w:rPr>
                <w:b/>
              </w:rPr>
              <w:t>Interpretation#3:</w:t>
            </w:r>
            <w:r>
              <w:t xml:space="preserve"> MNO just know the IP address and can transfer the data [efficiently] with some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Definition of MNO-owned network entities are well-defined terminology in SA2 WG. Further, we agree with Samsung’s interpretations and believe that there is precedence for all three interpretations in SA2. </w:t>
            </w:r>
          </w:p>
          <w:p/>
          <w:p>
            <w:r>
              <w:t>Furthermore, we are wondering about the scope of the discussion.</w:t>
            </w:r>
          </w:p>
          <w:p>
            <w:r>
              <w:t xml:space="preserve">If the scope is about controllability: </w:t>
            </w:r>
          </w:p>
          <w:p>
            <w:r>
              <w:t>For solutions 1b, 2, and 3, irrespective of whether the server is within/outside the MNO network, the data collection procedure is controlled by the MNO.</w:t>
            </w:r>
          </w:p>
          <w:p>
            <w:r>
              <w:t xml:space="preserve">If the scope is about visibility: </w:t>
            </w:r>
          </w:p>
          <w:p>
            <w:r>
              <w:t>For solution 1b, there can exist no, partial, or full visibility, irrespective of whether the server is within/outside MNO. The degree of visibility depends on the SLA between the vendor and MNO.</w:t>
            </w:r>
          </w:p>
          <w:p>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pPr>
              <w:rPr>
                <w:b/>
              </w:rPr>
            </w:pPr>
            <w:r>
              <w:rPr>
                <w:rFonts w:hint="eastAsia"/>
              </w:rPr>
              <w:t>Yes. We share the similar view with Apple on the first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Not sure. In our understanding, even a server owned by 3</w:t>
            </w:r>
            <w:r>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Pr>
                <w:vertAlign w:val="superscript"/>
              </w:rPr>
              <w:t>rd</w:t>
            </w:r>
            <w:r>
              <w:t xml:space="preserve"> party.</w:t>
            </w:r>
          </w:p>
          <w:p>
            <w:r>
              <w:t>Therefore, we suggest to clarify the terminology as below:</w:t>
            </w:r>
          </w:p>
          <w:p>
            <w:pPr>
              <w:rPr>
                <w:bCs/>
              </w:rPr>
            </w:pPr>
            <w:r>
              <w:t>MNO owned the responsibility for data collection (e.g. to adhering the privacy laws, regulations, etc) to the server within MNO network or the server using MNO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Not sure (maybe not).</w:t>
            </w:r>
          </w:p>
          <w:p>
            <w:r>
              <w:rPr>
                <w:sz w:val="20"/>
                <w:szCs w:val="20"/>
              </w:rPr>
              <w:t xml:space="preserve">We think the key here is the definition of “ownership”. In the case </w:t>
            </w:r>
            <w:r>
              <w:t>"</w:t>
            </w:r>
            <w:r>
              <w:rPr>
                <w:color w:val="FF0000"/>
              </w:rPr>
              <w:t>the UE vendor renting server space from the MNO</w:t>
            </w:r>
            <w:r>
              <w:t>", our understanding aligns with Huawei; the ownership of the server should be the UE vendor (while the MNO should be like a cloud server provider), and the collected data should be also owned by the UE vendor. It is like even though I rent the apartment from the landlord, I have ownership of my personal stuff inside the apartment. Note when we talk about ownership here, the collected data (the content) is more important than the device that stores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r>
              <w:t>This is also relates to the “data ownership” that we discuss in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lang w:eastAsia="ja-JP"/>
              </w:rPr>
              <w:t>Ericsson</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lang w:eastAsia="ja-JP"/>
              </w:rPr>
              <w:t>Yes, but also agree with QC interpretation and SA2-related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Verizon </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T-Mobile USA </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Completely disagree with the premise of the question, what needs to be discussed is a logical storage point for the data collected i.e. RAN-NWDAF or .No , as mentioned previously server is a logical endpoint and can be located anywhere. The issue is the level of control that the MNO has over the data collected. It’s outside the scope of 3GPP to determine which legal entity is responsible for obtaining user consent to collect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Yu Mincho"/>
                <w:lang w:eastAsia="ja-JP"/>
              </w:rPr>
              <w:t>Y</w:t>
            </w:r>
            <w:r>
              <w:rPr>
                <w:rFonts w:eastAsia="Yu Mincho"/>
                <w:lang w:eastAsia="ja-JP"/>
              </w:rPr>
              <w:t>es</w:t>
            </w:r>
          </w:p>
        </w:tc>
      </w:tr>
    </w:tbl>
    <w:p>
      <w:pPr>
        <w:pStyle w:val="6"/>
        <w:rPr>
          <w:ins w:id="77" w:author="作者" w:date=""/>
        </w:rPr>
      </w:pPr>
    </w:p>
    <w:p>
      <w:pPr>
        <w:pStyle w:val="6"/>
      </w:pPr>
    </w:p>
    <w:bookmarkEnd w:id="26"/>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EAAAA" w:themeFill="background2" w:themeFillShade="BF"/>
          </w:tcPr>
          <w:p>
            <w:bookmarkStart w:id="27" w:name="OLE_LINK103"/>
            <w:r>
              <w:rPr>
                <w:rFonts w:hint="eastAsia"/>
              </w:rPr>
              <w:t>S</w:t>
            </w:r>
            <w:r>
              <w:t>olutions</w:t>
            </w:r>
          </w:p>
        </w:tc>
        <w:tc>
          <w:tcPr>
            <w:tcW w:w="7178" w:type="dxa"/>
            <w:shd w:val="clear" w:color="auto" w:fill="AEAAAA" w:themeFill="background2" w:themeFillShade="BF"/>
          </w:tcPr>
          <w:p>
            <w:r>
              <w:t>Inside/outside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1</w:t>
            </w:r>
            <w:r>
              <w:t>a</w:t>
            </w:r>
          </w:p>
        </w:tc>
        <w:tc>
          <w:tcPr>
            <w:tcW w:w="7178" w:type="dxa"/>
          </w:tcPr>
          <w:p>
            <w:r>
              <w:rPr>
                <w:rFonts w:hint="eastAsia"/>
              </w:rPr>
              <w:t>O</w:t>
            </w:r>
            <w:r>
              <w:t>TT server, i.e., 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1</w:t>
            </w:r>
            <w:r>
              <w:t>b</w:t>
            </w:r>
          </w:p>
        </w:tc>
        <w:tc>
          <w:tcPr>
            <w:tcW w:w="7178" w:type="dxa"/>
          </w:tcPr>
          <w:p>
            <w:bookmarkStart w:id="28" w:name="OLE_LINK104"/>
            <w:r>
              <w:t>Inside/outside MNO’s network</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2</w:t>
            </w:r>
          </w:p>
        </w:tc>
        <w:tc>
          <w:tcPr>
            <w:tcW w:w="7178" w:type="dxa"/>
          </w:tcPr>
          <w:p>
            <w:r>
              <w:t>Inside/outside MNO’s network</w:t>
            </w:r>
          </w:p>
          <w:p>
            <w:r>
              <w:rPr>
                <w:rFonts w:hint="eastAsia"/>
              </w:rPr>
              <w:t>N</w:t>
            </w:r>
            <w:r>
              <w:t>ote: The server for UE-side data collection can be a NF in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3</w:t>
            </w:r>
          </w:p>
        </w:tc>
        <w:tc>
          <w:tcPr>
            <w:tcW w:w="7178" w:type="dxa"/>
          </w:tcPr>
          <w:p>
            <w:r>
              <w:t>Inside/outside MNO’s network</w:t>
            </w:r>
          </w:p>
        </w:tc>
      </w:tr>
      <w:bookmarkEnd w:id="27"/>
    </w:tbl>
    <w:p>
      <w:pPr>
        <w:pStyle w:val="6"/>
      </w:pPr>
      <w:bookmarkStart w:id="29" w:name="OLE_LINK110"/>
      <w:r>
        <w:t xml:space="preserve">Q2.1: </w:t>
      </w:r>
      <w:bookmarkStart w:id="30" w:name="OLE_LINK108"/>
      <w:r>
        <w:t>Do companies agree that for solution 1a the server for UE-side data collection is outside of MNO’s network and is therefore classified as an OTT server?</w:t>
      </w:r>
      <w:bookmarkEnd w:id="30"/>
      <w:r>
        <w:t xml:space="preserve"> </w:t>
      </w:r>
    </w:p>
    <w:bookmarkEnd w:id="29"/>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31" w:name="OLE_LINK112"/>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as captured in Chair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 but for us, solution 1a is totally outside 3GPP scope. Consequently, it should be taken away from the WI phase. No need to discuss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We would also like to know if the following figure, an excerpt from TS26.531, Figure 4.2-1 is the intended representation of solution 1a.</w:t>
            </w:r>
          </w:p>
          <w:p>
            <w:r>
              <w:object>
                <v:shape id="_x0000_i1029" o:spt="75" type="#_x0000_t75" style="height:48.2pt;width:324.95pt;" o:ole="t" filled="f" o:preferrelative="t" stroked="f" coordsize="21600,21600">
                  <v:path/>
                  <v:fill on="f" focussize="0,0"/>
                  <v:stroke on="f" joinstyle="miter"/>
                  <v:imagedata r:id="rId14" o:title=""/>
                  <o:lock v:ext="edit" aspectratio="t"/>
                  <w10:wrap type="none"/>
                  <w10:anchorlock/>
                </v:shape>
                <o:OLEObject Type="Embed" ProgID="PBrush" ShapeID="_x0000_i1029" DrawAspect="Content" ObjectID="_1468075729" r:id="rId13">
                  <o:LockedField>false</o:LockedField>
                </o:OLEObject>
              </w:object>
            </w:r>
          </w:p>
          <w:p>
            <w:r>
              <w:t>Additionally, the following note is provided in the same specification: “NOTE 5: Interactions at reference point R8 are beyond the scope of 3GPP standardisation.”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bookmarkStart w:id="32" w:name="OLE_LINK113"/>
            <w:r>
              <w:t>Huawei,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T</w:t>
            </w:r>
            <w:r>
              <w:t>he wording could be improved, i.e. suggest to use outside-MNO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w:t>
            </w:r>
            <w:r>
              <w:t>A</w:t>
            </w:r>
            <w:r>
              <w:rPr>
                <w:rFonts w:hint="eastAsia"/>
              </w:rPr>
              <w:t xml:space="preserve">nd 1a means no impact on </w:t>
            </w:r>
            <w:r>
              <w:t>3GPP standardization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Not necessarily (see comment)</w:t>
            </w:r>
          </w:p>
          <w:p/>
          <w:p>
            <w:pPr>
              <w:pStyle w:val="26"/>
              <w:numPr>
                <w:ilvl w:val="0"/>
                <w:numId w:val="13"/>
              </w:numPr>
              <w:ind w:firstLineChars="0"/>
            </w:pPr>
            <w:r>
              <w:t>According to TR 38.843 (7.2.1.3.2 Data collection for UE-side model training), all solutions (1a, 1b, 2, and 3) transfer the UE data to the OTT server.</w:t>
            </w:r>
          </w:p>
          <w:p>
            <w:pPr>
              <w:pStyle w:val="26"/>
              <w:numPr>
                <w:ilvl w:val="0"/>
                <w:numId w:val="13"/>
              </w:numPr>
              <w:ind w:firstLineChars="0"/>
            </w:pPr>
            <w:r>
              <w:t xml:space="preserve">The OTT server is an application server that can be accessed via IP protocol, so it could reside inside or outside 3GPP network. </w:t>
            </w:r>
          </w:p>
          <w:p>
            <w:pPr>
              <w:pStyle w:val="26"/>
              <w:numPr>
                <w:ilvl w:val="0"/>
                <w:numId w:val="13"/>
              </w:numPr>
              <w:ind w:firstLineChars="0"/>
            </w:pPr>
            <w:r>
              <w:t>Consequently, for solution 1a, the server for UE-side data collection (i.e. OTT server) can operates inside or outside the MNO's network.</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 Do not agree with Huawei's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 xml:space="preserve">Since the OTT server for UE side model may also reside within MNO, it should be clarified that the OTT server in this case is outside the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Solution 1a) is out of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Yes, Agree with BT’s comment that solution 1a) is an implementation option that outside 3GPP scope, i.e. no impact to 3GPP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and 1a has no impact on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Yes. As stated in as comment for Q1. This understanding is necessary to clearly differentiate 1a and 1b.</w:t>
            </w:r>
          </w:p>
          <w:p>
            <w:r>
              <w:t>We also share Nokia’s question and would like to know companies’ understanding on whether Figure 4.2-1 in TS26.531 is the intended representation of solution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 but 1a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Yes, and solution 1a is out of 3GPP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NO.. Instead of trying to define the location of an OTT server, the basis for the discussion needs to 26.531 figure 4.2.1. I don’t know what an OTT server is or what functions it supports! At least 26.531 breaks out the various functions and if AF is within or external to the MNO network, our if they are inside the trusted network.  </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t>Yes</w:t>
            </w:r>
            <w:r>
              <w:rPr>
                <w:rFonts w:hint="eastAsia"/>
              </w:rPr>
              <w:t xml:space="preserve">, </w:t>
            </w:r>
            <w:r>
              <w:rPr>
                <w:rFonts w:eastAsia="Yu Mincho"/>
                <w:lang w:eastAsia="ja-JP"/>
              </w:rPr>
              <w:t>1a</w:t>
            </w:r>
            <w:r>
              <w:rPr>
                <w:rFonts w:hint="eastAsia" w:eastAsia="宋体"/>
              </w:rPr>
              <w:t xml:space="preserve">) </w:t>
            </w:r>
            <w:r>
              <w:rPr>
                <w:rFonts w:eastAsia="Yu Mincho"/>
                <w:lang w:eastAsia="ja-JP"/>
              </w:rPr>
              <w:t xml:space="preserve">is </w:t>
            </w:r>
            <w:r>
              <w:t>outside MNO’s network</w:t>
            </w:r>
            <w:r>
              <w:rPr>
                <w:rFonts w:hint="eastAsia"/>
              </w:rPr>
              <w:t xml:space="preserve"> and</w:t>
            </w:r>
            <w:r>
              <w:rPr>
                <w:rFonts w:hint="eastAsia" w:eastAsia="宋体"/>
              </w:rPr>
              <w:t xml:space="preserve"> no</w:t>
            </w:r>
            <w:r>
              <w:rPr>
                <w:rFonts w:eastAsia="Yu Mincho"/>
                <w:lang w:eastAsia="ja-JP"/>
              </w:rPr>
              <w:t xml:space="preserve"> </w:t>
            </w:r>
            <w:r>
              <w:rPr>
                <w:rFonts w:hint="eastAsia"/>
              </w:rPr>
              <w:t xml:space="preserve">impact on </w:t>
            </w:r>
            <w:r>
              <w:rPr>
                <w:rFonts w:eastAsia="Yu Mincho"/>
                <w:lang w:eastAsia="ja-JP"/>
              </w:rPr>
              <w:t>3GPP.</w:t>
            </w:r>
          </w:p>
        </w:tc>
      </w:tr>
    </w:tbl>
    <w:p>
      <w:pPr>
        <w:pStyle w:val="6"/>
      </w:pPr>
    </w:p>
    <w:p>
      <w:pPr>
        <w:pStyle w:val="6"/>
      </w:pPr>
      <w:r>
        <w:t xml:space="preserve">Q2.2: </w:t>
      </w:r>
      <w:bookmarkStart w:id="33" w:name="OLE_LINK111"/>
      <w:r>
        <w:t>Do companies agree that for solutions 1b, 2 and 3, the server for UE-side data collection can be either inside or outside MNO’s network?</w:t>
      </w:r>
      <w:bookmarkEnd w:id="33"/>
    </w:p>
    <w:bookmarkEnd w:id="3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34" w:name="OLE_LINK114"/>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Solution 2, Yes. But, </w:t>
            </w:r>
          </w:p>
          <w:p>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r>
              <w:t xml:space="preserve">In addition, for solution-3, it is a bit unclear if the UE-side data collection should be inside or outside MNO’s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No for solution 1b, Yes for solution 2 with comments, not sure for solution 3.</w:t>
            </w:r>
          </w:p>
          <w:p/>
          <w:p>
            <w:r>
              <w:t xml:space="preserve">On solution 1b, we are not sure how the server can be inside MNO’s network. As we commented in Q1, we think two solutions can be: </w:t>
            </w:r>
          </w:p>
          <w:p>
            <w:pPr>
              <w:pStyle w:val="26"/>
              <w:numPr>
                <w:ilvl w:val="0"/>
                <w:numId w:val="14"/>
              </w:numPr>
              <w:ind w:firstLineChars="0"/>
            </w:pPr>
            <w:r>
              <w:t>a) UE vendor can deploy its owned server in MNO network or</w:t>
            </w:r>
          </w:p>
          <w:p>
            <w:pPr>
              <w:pStyle w:val="26"/>
              <w:numPr>
                <w:ilvl w:val="1"/>
                <w:numId w:val="14"/>
              </w:numPr>
              <w:ind w:firstLineChars="0"/>
            </w:pPr>
            <w:r>
              <w:t xml:space="preserve">In this case, which Network entity UE vendor can deploy its server (e.g. in CN or RAN)?   </w:t>
            </w:r>
          </w:p>
          <w:p>
            <w:pPr>
              <w:pStyle w:val="26"/>
              <w:numPr>
                <w:ilvl w:val="0"/>
                <w:numId w:val="14"/>
              </w:numPr>
              <w:ind w:firstLineChars="0"/>
            </w:pPr>
            <w:r>
              <w:t>b) MNO deploy some servers (i.e. owned by MNO) which are rent to UE vendor for data collection?</w:t>
            </w:r>
          </w:p>
          <w:p>
            <w:r>
              <w:t xml:space="preserve">Note that in case of understanding a), it may have 3GPP impact and cross-WG impact. Thus, RAN2 should make it clear. Before this issue is concluded, we think “inside” should be precluded from solution 1b). </w:t>
            </w:r>
          </w:p>
          <w:p/>
          <w:p>
            <w:r>
              <w:t xml:space="preserve">For solution 2, we agree it can be inside or outside MNO network. Meanwhile, we appreciate that Rapporteur provides example of “a NF”, but we are not whether it means “a NF” performs model training on behalf of UE vendor or it is just an intermedium entity for further forwarding dataset? Please clarify. </w:t>
            </w:r>
          </w:p>
          <w:p>
            <w:bookmarkStart w:id="35" w:name="OLE_LINK44"/>
            <w:bookmarkStart w:id="36" w:name="OLE_LINK76"/>
            <w:r>
              <w:t>[Rapp1]</w:t>
            </w:r>
            <w:bookmarkEnd w:id="35"/>
            <w: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36"/>
          </w:p>
          <w:p>
            <w:r>
              <w:t xml:space="preserve">[Apple] Thanks. I think the confusion is because NWDAF can perform training. We have same view: it’s just an intermedium entity for further data forwarding. </w:t>
            </w:r>
          </w:p>
          <w:p/>
          <w:p>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r>
              <w:t xml:space="preserve">[Rapp1] Please check my example provided below in Mediatek’s comment   </w:t>
            </w:r>
          </w:p>
          <w:p>
            <w:r>
              <w:t xml:space="preserve">[Apple] Thanks. TCE is a good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w:t>
            </w:r>
          </w:p>
          <w:p>
            <w:r>
              <w:t>From our understanding, the server for UE-side collected data on options 1a, 2 and 3 are inside the MNO and the ownership is for the MNO.</w:t>
            </w:r>
          </w:p>
          <w:p>
            <w:r>
              <w:t>A different discussion is where the algorithms for training, management and inference are allocated but we consider this is not asked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Jerediah [Nokia]</w:t>
            </w:r>
          </w:p>
        </w:tc>
        <w:tc>
          <w:tcPr>
            <w:tcW w:w="7178" w:type="dxa"/>
            <w:tcBorders>
              <w:top w:val="single" w:color="auto" w:sz="4" w:space="0"/>
              <w:left w:val="single" w:color="auto" w:sz="4" w:space="0"/>
              <w:bottom w:val="single" w:color="auto" w:sz="4" w:space="0"/>
              <w:right w:val="single" w:color="auto" w:sz="4" w:space="0"/>
            </w:tcBorders>
          </w:tcPr>
          <w:p>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37" w:name="OLE_LINK121"/>
            <w:r>
              <w:t>Huawei,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rPr>
                <w:rFonts w:hint="eastAsia"/>
              </w:rPr>
              <w:t>F</w:t>
            </w:r>
            <w:r>
              <w:t>irstly, we have the same comments as for Q1, and we would like to confirm our understanding as below.</w:t>
            </w:r>
          </w:p>
          <w:p>
            <w:r>
              <w:t>If this "</w:t>
            </w:r>
            <w:r>
              <w:rPr>
                <w:bCs/>
              </w:rPr>
              <w:t>server for UE-side data collection</w:t>
            </w:r>
            <w:r>
              <w:t>" is inside MNO, the server still needs to transfer the collected data to UE server outside MNO (for training purpose).</w:t>
            </w:r>
          </w:p>
          <w:p>
            <w:r>
              <w:t>[Rapp1]</w:t>
            </w:r>
            <w:bookmarkStart w:id="38" w:name="OLE_LINK47"/>
            <w:r>
              <w:t xml:space="preserve"> Regardless of the server's location, whether within or outside the MNO's network, </w:t>
            </w:r>
            <w:bookmarkStart w:id="39" w:name="OLE_LINK49"/>
            <w:r>
              <w:t>t</w:t>
            </w:r>
            <w:bookmarkStart w:id="40" w:name="OLE_LINK50"/>
            <w:r>
              <w:t xml:space="preserve">he interface connecting the server to entities within the MNO may either be standardized or non-standardized </w:t>
            </w:r>
            <w:bookmarkEnd w:id="39"/>
            <w:r>
              <w:t>interface</w:t>
            </w:r>
            <w:bookmarkEnd w:id="40"/>
            <w:r>
              <w:t xml:space="preserve">. I believe that assessing the implications on specifications solely from a RAN2 perspective is challenging. My suggestion is that </w:t>
            </w:r>
            <w:bookmarkStart w:id="41" w:name="OLE_LINK51"/>
            <w:r>
              <w:t xml:space="preserve">we delve into the solutions' details as thoroughly as possible from the RAN2 standpoint and then engage other WGs to assess the impacts on specifications. </w:t>
            </w:r>
            <w:bookmarkEnd w:id="41"/>
            <w:r>
              <w:t>We should pose the question once we have a clearer understanding of each solution's specifics.</w:t>
            </w:r>
            <w:bookmarkEnd w:id="38"/>
            <w:r>
              <w:t xml:space="preserve"> </w:t>
            </w:r>
          </w:p>
          <w:p>
            <w:r>
              <w:rPr>
                <w:b/>
                <w:color w:val="0000FF"/>
              </w:rPr>
              <w:t xml:space="preserve">[Huawei2, HiSilicon] </w:t>
            </w:r>
            <w:r>
              <w:t>We do not quite understand the above responses. We still have some reservations about them, but we can move on to other questions first.</w:t>
            </w:r>
          </w:p>
          <w:p/>
          <w:p>
            <w:r>
              <w:rPr>
                <w:rFonts w:hint="eastAsia"/>
              </w:rPr>
              <w:t>S</w:t>
            </w:r>
            <w:r>
              <w:t>econdly, we suggest to clarify the impacts if UE server is deployed inside MNO, and also to clarify differences between inside and outside MNO from a standard point of view.</w:t>
            </w:r>
          </w:p>
          <w:p>
            <w:r>
              <w:t>Thirdly, we suggest to clarify the following: if the training data (from UE side) is transferred to a UE-side server inside MNO, does it mean that MNO can directly use the data for training purpose?</w:t>
            </w:r>
          </w:p>
          <w:p>
            <w: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r>
              <w:t>We already commented on the two cases you mentioned in previous questions, “the UE vendor renting server space from the MNO”, and “the MNO buying a server from the UE vendor and setting it up within their own network”, which is copied/pasted below:</w:t>
            </w:r>
          </w:p>
          <w:p>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r>
              <w:t>(2) For your case "</w:t>
            </w:r>
            <w:r>
              <w:rPr>
                <w:color w:val="FF0000"/>
              </w:rPr>
              <w:t>the MNO buying a server from the UE vendor and setting it up within their own network</w:t>
            </w:r>
            <w:r>
              <w:t>", we would like to understand what does it mean, and why does the MNO need to buy a server from the UE vendor.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for </w:t>
            </w:r>
            <w:bookmarkStart w:id="42" w:name="OLE_LINK2"/>
            <w:r>
              <w:t>solution 2 and solution 3</w:t>
            </w:r>
            <w:bookmarkEnd w:id="42"/>
            <w:r>
              <w:t>, some concern for solution 1b.</w:t>
            </w:r>
          </w:p>
          <w:p>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Yes. </w:t>
            </w:r>
          </w:p>
          <w:p>
            <w:r>
              <w:t xml:space="preserve">For solution2, the server can be a NF </w:t>
            </w:r>
            <w:r>
              <w:rPr>
                <w:color w:val="FF0000"/>
              </w:rPr>
              <w:t>if it is inside MNO’s network</w:t>
            </w:r>
            <w:r>
              <w:t xml:space="preserve">. If the server is outside MNO’s network, there may be an interface between the server and CN. </w:t>
            </w:r>
          </w:p>
          <w:p>
            <w:r>
              <w:t>For solution 3. If the server is outside of MNO’s network, there may be an API between the server and OAM. If the server is inside of MNO’s network, it may be similar as TCE, which may be even within OAM domain.</w:t>
            </w:r>
          </w:p>
          <w:p>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T</w:t>
            </w:r>
            <w:r>
              <w:t xml:space="preserve">he boundary between inside and outside MNO’s network should be further clarified. Besides, inside or outside MNO’s network is up to SA. </w:t>
            </w:r>
          </w:p>
          <w:p>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
          <w:p>
            <w:r>
              <w:rPr>
                <w:sz w:val="20"/>
                <w:szCs w:val="20"/>
              </w:rPr>
              <w:t xml:space="preserve">Yes for </w:t>
            </w:r>
            <w:r>
              <w:t>solution 2 and solution 3.</w:t>
            </w:r>
          </w:p>
          <w:p>
            <w:r>
              <w:t>As for solution 1b, it should be outside MNO. Because we are discussing the way UE directly transfer data to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t>please see the below comments.</w:t>
            </w:r>
          </w:p>
          <w:p>
            <w:r>
              <w:t>Firstly:</w:t>
            </w:r>
          </w:p>
          <w:p>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r>
              <w:rPr>
                <w:rFonts w:hint="eastAsia"/>
              </w:rPr>
              <w:t>S</w:t>
            </w:r>
            <w:r>
              <w:t>econdly:</w:t>
            </w:r>
          </w:p>
          <w:p>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p>
            <w:r>
              <w:rPr>
                <w:rFonts w:hint="eastAsia"/>
              </w:rPr>
              <w:t>O</w:t>
            </w:r>
            <w:r>
              <w:t>ur understanding of inside MNO is that MNO has the full control (including data visibility) of the 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See comments</w:t>
            </w:r>
          </w:p>
          <w:p>
            <w:pPr>
              <w:pStyle w:val="26"/>
              <w:numPr>
                <w:ilvl w:val="0"/>
                <w:numId w:val="15"/>
              </w:numPr>
              <w:ind w:firstLineChars="0"/>
            </w:pPr>
            <w:r>
              <w:t>Refer to answers to Q 1 and Q 2.1.</w:t>
            </w:r>
          </w:p>
          <w:p>
            <w:pPr>
              <w:pStyle w:val="26"/>
              <w:numPr>
                <w:ilvl w:val="0"/>
                <w:numId w:val="15"/>
              </w:numPr>
              <w:ind w:firstLineChars="0"/>
            </w:pPr>
            <w:r>
              <w:t xml:space="preserve">Moreover, it is not clear, how solution 1b, 2 and 3, can support the two cases for the server being inside and outside the MNO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I</w:t>
            </w:r>
            <w:r>
              <w:t>n principle yes, upon deployment server owner can deploy it outside MNO or inside MNO (e.g., with SLA). We can consider them possible for the theoretical analysis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Qualcomm </w:t>
            </w:r>
          </w:p>
        </w:tc>
        <w:tc>
          <w:tcPr>
            <w:tcW w:w="7178" w:type="dxa"/>
            <w:tcBorders>
              <w:top w:val="single" w:color="auto" w:sz="4" w:space="0"/>
              <w:left w:val="single" w:color="auto" w:sz="4" w:space="0"/>
              <w:bottom w:val="single" w:color="auto" w:sz="4" w:space="0"/>
              <w:right w:val="single" w:color="auto" w:sz="4" w:space="0"/>
            </w:tcBorders>
          </w:tcPr>
          <w:p>
            <w:r>
              <w:t xml:space="preserve">Yes. </w:t>
            </w:r>
          </w:p>
          <w:p>
            <w:r>
              <w:t xml:space="preserve">controllability: </w:t>
            </w:r>
          </w:p>
          <w:p>
            <w:r>
              <w:t>For solution 1b, regardless of whether the server is within/outside the MNO network, the data collection procedure is controlled by the MNO.</w:t>
            </w:r>
          </w:p>
          <w:p>
            <w:r>
              <w:t xml:space="preserve">Visibility: </w:t>
            </w:r>
          </w:p>
          <w:p>
            <w:r>
              <w:t>For solution 1b, there can exist no, partial, or full visibility, regardless of whether the server is within/outside MNO. The degree of visibility depends on the SLA between the vendor and MNO.</w:t>
            </w:r>
          </w:p>
          <w:p/>
          <w:p>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p>
            <w:r>
              <w:t xml:space="preserve">Similar arguments hold for solutions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for solution 2 and 3, for solution 1b further clarity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for solution 2 and 3.</w:t>
            </w:r>
          </w:p>
          <w:p>
            <w:r>
              <w:rPr>
                <w:rFonts w:hint="eastAsia"/>
              </w:rPr>
              <w:t>In our understanding, if the server is outside of MNO, solution 1b) is the same as solution 1a). If the server is inside of MNO, solution 1b) can be reflected in solution 2 and 3.</w:t>
            </w:r>
          </w:p>
          <w:p>
            <w:r>
              <w:rPr>
                <w:rFonts w:hint="eastAsia"/>
              </w:rPr>
              <w:t xml:space="preserve">For solution 2 and 3, we share the similar view with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As we commented in Q2.0, the key aspect of option 1b/2/3 is whether the MNO can monitor/manage the data collection to adhering the privacy laws, regulations. </w:t>
            </w:r>
          </w:p>
          <w:p>
            <w:r>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r>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r>
              <w:t>Furthermore, we don’t think the NOTE in solution 2 is needed. It is up to SA2 design how to collect data in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the same view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 xml:space="preserve">For solution 1b: No. </w:t>
            </w:r>
          </w:p>
          <w:p>
            <w:r>
              <w:t>Our understanding is that for solution 1b, the server is an OTT server like in solution 1a. Otherwise, solution 1b overlaps with solution 2 or 3.</w:t>
            </w:r>
          </w:p>
          <w:p/>
          <w:p>
            <w:pPr>
              <w:rPr>
                <w:rFonts w:cs="Times New Roman"/>
                <w:sz w:val="24"/>
                <w:szCs w:val="24"/>
                <w:lang w:eastAsia="en-US"/>
              </w:rPr>
            </w:pPr>
            <w:r>
              <w:t>For solutions 2 and 3: Yes</w:t>
            </w:r>
            <w:r>
              <w:rPr>
                <w:rFonts w:cs="Times New Roman"/>
                <w:sz w:val="24"/>
                <w:szCs w:val="24"/>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See our view on Q2.0.</w:t>
            </w:r>
          </w:p>
          <w:p>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r>
              <w:t>And then after this clarified, we can address the above discussion between Huawei and Rapporteur (Mediatek) on how UE vendor can perform AIML training in such server.</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Kyocera</w:t>
            </w:r>
          </w:p>
        </w:tc>
        <w:tc>
          <w:tcPr>
            <w:tcW w:w="7178" w:type="dxa"/>
            <w:tcBorders>
              <w:top w:val="single" w:color="auto" w:sz="4" w:space="0"/>
              <w:left w:val="single" w:color="auto" w:sz="4" w:space="0"/>
              <w:bottom w:val="single" w:color="auto" w:sz="4" w:space="0"/>
              <w:right w:val="single" w:color="auto" w:sz="4" w:space="0"/>
            </w:tcBorders>
          </w:tcPr>
          <w:p>
            <w:r>
              <w:t xml:space="preserve">Yes. </w:t>
            </w:r>
            <w:r>
              <w:rPr>
                <w:rFonts w:hint="eastAsia" w:eastAsia="Yu Mincho"/>
                <w:lang w:eastAsia="ja-JP"/>
              </w:rPr>
              <w:t>However, t</w:t>
            </w:r>
            <w:r>
              <w:t>he meaning of "inside/outside MNO network" is unclear to us, as it is merely a deployment choice. From the UE perspective, the issue revolves around which interface the UE uses to send data, i.e., U-plane, Uu, or NAS. Therefore, we believe that defining "inside/outside MNO network" should not be left to RAN2. It should be decided by SA2 or 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 for solution 2 and 3.</w:t>
            </w:r>
          </w:p>
          <w:p>
            <w:pPr>
              <w:rPr>
                <w:rFonts w:eastAsia="Yu Mincho"/>
                <w:lang w:eastAsia="ja-JP"/>
              </w:rPr>
            </w:pPr>
            <w:r>
              <w:rPr>
                <w:rFonts w:hint="eastAsia" w:eastAsia="Yu Mincho"/>
                <w:lang w:eastAsia="ja-JP"/>
              </w:rPr>
              <w:t>N</w:t>
            </w:r>
            <w:r>
              <w:rPr>
                <w:rFonts w:eastAsia="Yu Mincho"/>
                <w:lang w:eastAsia="ja-JP"/>
              </w:rPr>
              <w:t>ot sure the difference of solution 1b with server outside MNO’s NW and solution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r>
              <w:rPr>
                <w:rFonts w:eastAsia="Yu Mincho"/>
                <w:lang w:eastAsia="ja-JP"/>
              </w:rPr>
              <w:t xml:space="preserve">Yes, for solutions 2 and 3, with understanding that this is the server for UE side model training as clarified by Nokia in 2.1. </w:t>
            </w:r>
          </w:p>
          <w:p>
            <w:pPr>
              <w:rPr>
                <w:rFonts w:eastAsia="Yu Mincho"/>
                <w:lang w:eastAsia="ja-JP"/>
              </w:rPr>
            </w:pPr>
          </w:p>
          <w:p>
            <w:pPr>
              <w:rPr>
                <w:rFonts w:eastAsia="Yu Mincho"/>
                <w:lang w:eastAsia="ja-JP"/>
              </w:rPr>
            </w:pPr>
            <w:r>
              <w:rPr>
                <w:rFonts w:eastAsia="Yu Mincho"/>
                <w:lang w:eastAsia="ja-JP"/>
              </w:rPr>
              <w:t xml:space="preserve">No for Solution 1b. Solution 1b is same as Solution 1a in this regard.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Agree with Dish’s comment and the others questioning the definition if OTT.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r>
              <w:rPr>
                <w:rFonts w:hint="eastAsia" w:eastAsia="宋体"/>
              </w:rPr>
              <w:t xml:space="preserve">Agree with CMCC and </w:t>
            </w:r>
            <w:r>
              <w:rPr>
                <w:rFonts w:hint="eastAsia"/>
              </w:rPr>
              <w:t>Fujitsu.</w:t>
            </w:r>
          </w:p>
          <w:p>
            <w:pPr>
              <w:rPr>
                <w:rFonts w:eastAsia="宋体"/>
              </w:rPr>
            </w:pPr>
            <w:r>
              <w:rPr>
                <w:rFonts w:hint="eastAsia" w:eastAsia="宋体"/>
              </w:rPr>
              <w:t xml:space="preserve">For </w:t>
            </w:r>
            <w:r>
              <w:rPr>
                <w:rFonts w:eastAsia="Yu Mincho"/>
                <w:lang w:eastAsia="ja-JP"/>
              </w:rPr>
              <w:t>solution 2</w:t>
            </w:r>
            <w:r>
              <w:rPr>
                <w:rFonts w:hint="eastAsia" w:eastAsia="宋体"/>
              </w:rPr>
              <w:t>)</w:t>
            </w:r>
            <w:r>
              <w:rPr>
                <w:rFonts w:eastAsia="Yu Mincho"/>
                <w:lang w:eastAsia="ja-JP"/>
              </w:rPr>
              <w:t xml:space="preserve"> and 3</w:t>
            </w:r>
            <w:r>
              <w:rPr>
                <w:rFonts w:hint="eastAsia" w:eastAsia="宋体"/>
              </w:rPr>
              <w:t>): Yes</w:t>
            </w:r>
          </w:p>
          <w:p>
            <w:pPr>
              <w:rPr>
                <w:rFonts w:eastAsia="宋体"/>
              </w:rPr>
            </w:pPr>
            <w:r>
              <w:rPr>
                <w:rFonts w:hint="eastAsia" w:eastAsia="宋体"/>
              </w:rPr>
              <w:t xml:space="preserve">For the </w:t>
            </w:r>
            <w:r>
              <w:rPr>
                <w:rFonts w:eastAsia="Yu Mincho"/>
                <w:lang w:eastAsia="ja-JP"/>
              </w:rPr>
              <w:t>solution 1b</w:t>
            </w:r>
            <w:r>
              <w:rPr>
                <w:rFonts w:hint="eastAsia" w:eastAsia="宋体"/>
              </w:rPr>
              <w:t xml:space="preserve">), Yes with comments. We also think in </w:t>
            </w:r>
            <w:r>
              <w:rPr>
                <w:rFonts w:eastAsia="Yu Mincho"/>
                <w:lang w:eastAsia="ja-JP"/>
              </w:rPr>
              <w:t>solution 1b</w:t>
            </w:r>
            <w:r>
              <w:rPr>
                <w:rFonts w:hint="eastAsia" w:eastAsia="宋体"/>
              </w:rPr>
              <w:t>):</w:t>
            </w:r>
          </w:p>
          <w:p>
            <w:pPr>
              <w:ind w:firstLine="210" w:firstLineChars="100"/>
            </w:pPr>
            <w:r>
              <w:rPr>
                <w:rFonts w:hint="eastAsia" w:eastAsia="宋体"/>
              </w:rPr>
              <w:t xml:space="preserve">- if </w:t>
            </w:r>
            <w:r>
              <w:t>‘server for UE-side data collection’</w:t>
            </w:r>
            <w:r>
              <w:rPr>
                <w:rFonts w:hint="eastAsia"/>
              </w:rPr>
              <w:t xml:space="preserve"> is outside of MNO, </w:t>
            </w:r>
            <w:r>
              <w:rPr>
                <w:rFonts w:hint="eastAsia" w:eastAsia="宋体"/>
              </w:rPr>
              <w:t xml:space="preserve">it </w:t>
            </w:r>
            <w:r>
              <w:rPr>
                <w:rFonts w:hint="eastAsia"/>
              </w:rPr>
              <w:t xml:space="preserve">is same with solution 1a) </w:t>
            </w:r>
          </w:p>
          <w:p>
            <w:pPr>
              <w:ind w:firstLine="210" w:firstLineChars="100"/>
            </w:pPr>
            <w:r>
              <w:rPr>
                <w:rFonts w:hint="eastAsia"/>
              </w:rPr>
              <w:t xml:space="preserve">- if </w:t>
            </w:r>
            <w:r>
              <w:t>‘server for UE-side data collection’</w:t>
            </w:r>
            <w:r>
              <w:rPr>
                <w:rFonts w:hint="eastAsia"/>
              </w:rPr>
              <w:t xml:space="preserve"> is inside of MNO, </w:t>
            </w:r>
            <w:r>
              <w:rPr>
                <w:rFonts w:hint="eastAsia" w:eastAsia="宋体"/>
              </w:rPr>
              <w:t>it is same</w:t>
            </w:r>
            <w:r>
              <w:rPr>
                <w:rFonts w:hint="eastAsia"/>
              </w:rPr>
              <w:t xml:space="preserve"> with</w:t>
            </w:r>
          </w:p>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rPr>
              <w:t xml:space="preserve">solution 2) and solution 3) </w:t>
            </w:r>
          </w:p>
        </w:tc>
      </w:tr>
    </w:tbl>
    <w:p>
      <w:pPr>
        <w:pStyle w:val="3"/>
        <w:rPr>
          <w:rFonts w:eastAsiaTheme="minorEastAsia"/>
          <w:lang w:eastAsia="zh-TW"/>
        </w:rPr>
      </w:pPr>
      <w:r>
        <w:rPr>
          <w:rFonts w:eastAsiaTheme="minorEastAsia"/>
          <w:lang w:eastAsia="zh-TW"/>
        </w:rPr>
        <w:t>2.3 Termination Entity</w:t>
      </w:r>
    </w:p>
    <w:bookmarkEnd w:id="37"/>
    <w:p>
      <w:pPr>
        <w:pStyle w:val="6"/>
      </w:pPr>
      <w:bookmarkStart w:id="43" w:name="OLE_LINK33"/>
      <w:bookmarkStart w:id="44" w:name="OLE_LINK32"/>
      <w:bookmarkStart w:id="45" w:name="OLE_LINK91"/>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43"/>
    <w:bookmarkEnd w:id="44"/>
    <w:p>
      <w:pPr>
        <w:pStyle w:val="6"/>
      </w:pPr>
      <w:r>
        <w:rPr>
          <w:rFonts w:hint="eastAsia"/>
        </w:rPr>
        <w:t>A</w:t>
      </w:r>
      <w:r>
        <w:t xml:space="preserve">ccording to the responsibility of the termination entity as define above, the </w:t>
      </w:r>
      <w:bookmarkStart w:id="46" w:name="OLE_LINK35"/>
      <w:r>
        <w:t xml:space="preserve">termination </w:t>
      </w:r>
      <w:bookmarkEnd w:id="46"/>
      <w:r>
        <w:t xml:space="preserve">entity for solution 1a) is the OTT server. The termination entity for solution 1b is the server for UE-side data collection. The termination entity for solution 2 is the CN. The termination entity for solution 3 is the OAM. </w:t>
      </w:r>
    </w:p>
    <w:p>
      <w:pPr>
        <w:pStyle w:val="6"/>
      </w:pPr>
      <w:bookmarkStart w:id="47" w:name="OLE_LINK115"/>
      <w:r>
        <w:t>Q3.1: Do companies agree that for solutions 1a the termination entity of UE-side data collection is the OTT server?</w:t>
      </w:r>
    </w:p>
    <w:bookmarkEnd w:id="47"/>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48" w:name="OLE_LINK116"/>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 xml:space="preserve">Yes but as it was mention before, no need to discuss 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r>
              <w:t>[Rapp1] Tend to agree. It means for solution 1a, there is no termination entity inside the MNO. Let’s check whether there are any other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better to add the term ‘first’ before termination entity to remove ambiguity. So does for the following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the first and only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49" w:name="OLE_LINK117"/>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Yes</w:t>
            </w:r>
          </w:p>
          <w:p>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 But to remove ambiguity, we may need to define “termination entity”. In our understanding, the termination entity is where collected data is used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Verizon </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T-Mobile USA </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OTT and </w:t>
            </w:r>
            <w:r>
              <w:t xml:space="preserve">UE-side data collection are the same thing, however the Rapporteur seems to be using the term here to distinguish between data that terminates within the MNO network or external the MNO network. The terminology is very confusing.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Yes</w:t>
            </w:r>
          </w:p>
        </w:tc>
      </w:tr>
      <w:bookmarkEnd w:id="48"/>
    </w:tbl>
    <w:p>
      <w:pPr>
        <w:pStyle w:val="6"/>
      </w:pPr>
      <w:r>
        <w:t>Q3.2: Do companies agree that for solutions 1b the termination entity is the server for UE-side data collection?</w:t>
      </w:r>
    </w:p>
    <w:bookmarkEnd w:id="49"/>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50" w:name="OLE_LINK118"/>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 xml:space="preserve">Q2.2 indicates “for solutions 1b, 2 and 3, the server for UE-side data collection can be either inside or </w:t>
            </w:r>
            <w:r>
              <w:rPr>
                <w:u w:val="single"/>
              </w:rPr>
              <w:t>outside</w:t>
            </w:r>
            <w:r>
              <w:t xml:space="preserve"> MNO’s network”. </w:t>
            </w:r>
          </w:p>
          <w:p>
            <w:r>
              <w:t>We do not consider “outside” the MNO as an option for that reason, we propose to clarify the sentence:</w:t>
            </w:r>
          </w:p>
          <w:p>
            <w:r>
              <w:t>Do companies agree that for solution 1a, the termination entity of UE-side data collection is inside the MNO?</w:t>
            </w:r>
          </w:p>
          <w:p/>
          <w:p>
            <w:r>
              <w:t>Using our proposed sentence, the answer is yes.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r>
              <w:rPr>
                <w:lang w:eastAsia="ja-JP"/>
              </w:rPr>
              <w:drawing>
                <wp:inline distT="0" distB="0" distL="0" distR="0">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15"/>
                          <a:stretch>
                            <a:fillRect/>
                          </a:stretch>
                        </pic:blipFill>
                        <pic:spPr>
                          <a:xfrm>
                            <a:off x="0" y="0"/>
                            <a:ext cx="3324653" cy="1938358"/>
                          </a:xfrm>
                          <a:prstGeom prst="rect">
                            <a:avLst/>
                          </a:prstGeom>
                        </pic:spPr>
                      </pic:pic>
                    </a:graphicData>
                  </a:graphic>
                </wp:inline>
              </w:drawing>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but the terminology “termination entity” might be a bit ambiguous (as per the previous comment). Propose to clarify “termination entity inside the MNO is the server for UE-side data collection”.</w:t>
            </w:r>
          </w:p>
          <w:p>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t>Yes with comments.</w:t>
            </w:r>
          </w:p>
          <w:p>
            <w:r>
              <w:rPr>
                <w:rFonts w:hint="eastAsia"/>
              </w:rPr>
              <w:t>F</w:t>
            </w:r>
            <w:r>
              <w:t>or Solution 1b, the terminology “termination entity” is a bit confusing. As we asked in Q1, whether there is one UE server or more than one UE server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bookmarkStart w:id="51" w:name="OLE_LINK119"/>
            <w:r>
              <w:rPr>
                <w:rFonts w:hint="eastAsia"/>
              </w:rPr>
              <w:t>CATT</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Spreadtrum</w:t>
            </w:r>
          </w:p>
        </w:tc>
        <w:tc>
          <w:tcPr>
            <w:tcW w:w="7178" w:type="dxa"/>
          </w:tcPr>
          <w:p>
            <w:r>
              <w:rPr>
                <w:rFonts w:hint="eastAsia"/>
              </w:rPr>
              <w:t>Y</w:t>
            </w:r>
            <w:r>
              <w:t>es with comments.</w:t>
            </w:r>
          </w:p>
          <w:p>
            <w:r>
              <w:t>The “</w:t>
            </w:r>
            <w:r>
              <w:rPr>
                <w:b/>
                <w:bCs/>
              </w:rPr>
              <w:t>the server for UE-side data collection</w:t>
            </w:r>
            <w:r>
              <w:t>” should also be outside MNO and equals to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Z</w:t>
            </w:r>
            <w:r>
              <w:t>TE</w:t>
            </w:r>
          </w:p>
        </w:tc>
        <w:tc>
          <w:tcPr>
            <w:tcW w:w="7178" w:type="dxa"/>
          </w:tcPr>
          <w:p>
            <w:r>
              <w:rPr>
                <w:rFonts w:hint="eastAsia"/>
              </w:rPr>
              <w:t>Y</w:t>
            </w:r>
            <w:r>
              <w:t>es with comments</w:t>
            </w:r>
          </w:p>
          <w:p>
            <w:r>
              <w:rPr>
                <w:rFonts w:hint="eastAsia"/>
              </w:rPr>
              <w:t>A</w:t>
            </w:r>
            <w:r>
              <w:t>s our comments in Q2.2, the terminated point shall be the UE server inside of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Yes (but with comment).</w:t>
            </w:r>
          </w:p>
          <w:p>
            <w:r>
              <w:t>Refer to answer to Q 1 and Q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es, the first and only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Qualcomm </w:t>
            </w:r>
          </w:p>
        </w:tc>
        <w:tc>
          <w:tcPr>
            <w:tcW w:w="7178" w:type="dxa"/>
          </w:tcPr>
          <w:p>
            <w:r>
              <w:t>Yes. As mentioned above for the controllability and visibility, the server being within the MNO is not required. Therefore, we do not agree with the companies arguments that it should be inside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Agree with CMCC. Solution 1b) should be inside the MNO otherwise it can be covered by 1a). However, when it is inside the MNO, it can be covered by Option 2 or 3. Propose to remove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Yes.</w:t>
            </w:r>
          </w:p>
          <w:p>
            <w:r>
              <w:t>Share Nokia question to clarify if the Figure 4.2-1 from TS26.531 is the intended representation of 1b, or just one of the way to realize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Verizon</w:t>
            </w:r>
          </w:p>
        </w:tc>
        <w:tc>
          <w:tcPr>
            <w:tcW w:w="7178" w:type="dxa"/>
          </w:tcPr>
          <w:p>
            <w:pPr>
              <w:rPr>
                <w:rFonts w:eastAsia="Yu Mincho"/>
                <w:lang w:eastAsia="ja-JP"/>
              </w:rPr>
            </w:pPr>
            <w:r>
              <w:rPr>
                <w:rFonts w:eastAsia="Yu Mincho"/>
                <w:lang w:eastAsia="ja-JP"/>
              </w:rPr>
              <w:t xml:space="preserve">Agree with CMCC and Futurewei. It is not clear if solution 1b is different from 1a in this regard.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Yes.</w:t>
            </w:r>
            <w:r>
              <w:rPr>
                <w:rFonts w:hint="eastAsia" w:eastAsia="宋体"/>
                <w:b/>
                <w:bCs/>
              </w:rPr>
              <w:t xml:space="preserve"> </w:t>
            </w:r>
            <w:r>
              <w:rPr>
                <w:rFonts w:hint="eastAsia" w:eastAsia="宋体"/>
              </w:rPr>
              <w:t>Agree with CMCC.</w:t>
            </w:r>
          </w:p>
        </w:tc>
      </w:tr>
    </w:tbl>
    <w:p>
      <w:pPr>
        <w:pStyle w:val="6"/>
      </w:pPr>
    </w:p>
    <w:p>
      <w:pPr>
        <w:pStyle w:val="6"/>
      </w:pPr>
      <w:r>
        <w:t>Q3.3: Do companies agree that for solutions 2 the termination entity of UE-side data collection is the CN?</w:t>
      </w:r>
    </w:p>
    <w:bookmarkEnd w:id="51"/>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52" w:name="OLE_LINK120"/>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No. </w:t>
            </w:r>
          </w:p>
          <w:p>
            <w:r>
              <w:t>According to the nice figure provided by Rapporteur, only the first termination point is CN in Solution 2 (i.e. final termination entity is still “server for UE-side data collection”). Thus, we suggest below rewording:</w:t>
            </w:r>
          </w:p>
          <w:p>
            <w:r>
              <w:t xml:space="preserve"> for solutions 2 the</w:t>
            </w:r>
            <w:r>
              <w:rPr>
                <w:color w:val="FF0000"/>
                <w:u w:val="single"/>
              </w:rPr>
              <w:t xml:space="preserve"> first</w:t>
            </w:r>
            <w:r>
              <w:rPr>
                <w:color w:val="FF0000"/>
              </w:rPr>
              <w:t xml:space="preserve"> </w:t>
            </w:r>
            <w:r>
              <w:t>termination entity of UE-side data collection is the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For clarification, we propose the following sentence</w:t>
            </w:r>
          </w:p>
          <w:p>
            <w:r>
              <w:t xml:space="preserve">Do companies agree that for solutions 2 the termination entity of UE-side data collection is </w:t>
            </w:r>
            <w:r>
              <w:rPr>
                <w:highlight w:val="yellow"/>
              </w:rPr>
              <w:t>inside</w:t>
            </w:r>
            <w:r>
              <w:t xml:space="preserve"> the CN?</w:t>
            </w:r>
          </w:p>
          <w:p/>
          <w:p>
            <w:r>
              <w:t xml:space="preserve">Yes. That was the proposal done on </w:t>
            </w:r>
            <w:r>
              <w:fldChar w:fldCharType="begin"/>
            </w:r>
            <w:r>
              <w:instrText xml:space="preserve"> HYPERLINK "file:///C:\\Users\\panidx\\OneDrive%20-%20InterDigital%20Communications,%20Inc\\Documents\\3GPP%20RAN\\TSGR2_125bis\\Docs\\R2-2403492.zip" </w:instrText>
            </w:r>
            <w:r>
              <w:fldChar w:fldCharType="separate"/>
            </w:r>
            <w:r>
              <w:rPr>
                <w:rFonts w:cs="Times New Roman"/>
                <w:sz w:val="20"/>
                <w:szCs w:val="20"/>
                <w:lang w:val="en-GB"/>
              </w:rPr>
              <w:t>R2-2403492</w:t>
            </w:r>
            <w:r>
              <w:rPr>
                <w:rFonts w:cs="Times New Roman"/>
                <w:sz w:val="20"/>
                <w:szCs w:val="20"/>
                <w:lang w:val="en-GB"/>
              </w:rPr>
              <w:fldChar w:fldCharType="end"/>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however it is unclear which CN entity is the termination entity. We would also clarify that the termination in the CN is not the UPF.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but the terminology “termination entity” might be a bit ambiguous (as per the previous comment). Propose to clarify “termination entity inside the MNO is a CN node”.</w:t>
            </w:r>
          </w:p>
          <w:p>
            <w:r>
              <w:t>In all the approaches there might be always a “second” termination entity (former OTT server in charge of training) which is outside the MNO. Hence it should be clarified that the “first” termination entity discussed in this section is inside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W</w:t>
            </w:r>
            <w:r>
              <w:t>e agreed with Apple that first termination entity should be used in order to avoid confusions.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Yes. Tend to agree with Ericsson to clarify that the termination entity inside the MNO is a CN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bookmark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Spreadtrum</w:t>
            </w:r>
          </w:p>
        </w:tc>
        <w:tc>
          <w:tcPr>
            <w:tcW w:w="7178" w:type="dxa"/>
          </w:tcPr>
          <w:p>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Z</w:t>
            </w:r>
            <w:r>
              <w:t>TE</w:t>
            </w:r>
          </w:p>
        </w:tc>
        <w:tc>
          <w:tcPr>
            <w:tcW w:w="7178" w:type="dxa"/>
          </w:tcPr>
          <w:p>
            <w:r>
              <w:t>Yes with comments</w:t>
            </w:r>
          </w:p>
          <w:p>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r>
              <w:t>In solution 2, the first termination entity of UE-side data collection is the CN.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No (See comments).</w:t>
            </w:r>
          </w:p>
          <w:p>
            <w:pPr>
              <w:pStyle w:val="26"/>
              <w:numPr>
                <w:ilvl w:val="0"/>
                <w:numId w:val="16"/>
              </w:numPr>
              <w:ind w:firstLineChars="0"/>
            </w:pPr>
            <w:r>
              <w:t>Refer to answer to Q 1 and Q 2.1.</w:t>
            </w:r>
          </w:p>
          <w:p>
            <w:pPr>
              <w:pStyle w:val="26"/>
              <w:numPr>
                <w:ilvl w:val="0"/>
                <w:numId w:val="16"/>
              </w:numPr>
              <w:ind w:firstLineChars="0"/>
            </w:pPr>
            <w:r>
              <w:t xml:space="preserve">According to the definition of solution 2 the termination entity for data collection is not the CN: </w:t>
            </w:r>
          </w:p>
          <w:p>
            <w:pPr>
              <w:pStyle w:val="26"/>
              <w:numPr>
                <w:ilvl w:val="1"/>
                <w:numId w:val="16"/>
              </w:numPr>
              <w:ind w:firstLineChars="0"/>
            </w:pPr>
            <w:r>
              <w:t xml:space="preserve">UE collects training data and transfers it to Core Network. Core Network transfers the training </w:t>
            </w:r>
            <w:r>
              <w:rPr>
                <w:highlight w:val="yellow"/>
              </w:rPr>
              <w:t>data to the OTT server</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es,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 xml:space="preserve">Yes, but CN is just forwarding the collected data to the server. </w:t>
            </w:r>
          </w:p>
          <w:p/>
          <w:p>
            <w:r>
              <w:t xml:space="preserve">Based on the definition of the definition of the "(First)termination entity" </w:t>
            </w:r>
          </w:p>
          <w:p>
            <w:pPr>
              <w:pStyle w:val="26"/>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p>
            <w:r>
              <w:t>Our understanding is that CN should handle only forwarding of the data. It should not perform data cleaning, analysis,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 we agree with the companies above, clarification is needed that it’s a ‘first’ termination entity and that it is a node within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 xml:space="preserve">Yes with comments that the </w:t>
            </w:r>
            <w:r>
              <w:rPr>
                <w:rFonts w:hint="eastAsia"/>
                <w:b/>
                <w:bCs/>
              </w:rPr>
              <w:t xml:space="preserve">first </w:t>
            </w:r>
            <w:r>
              <w:rPr>
                <w:rFonts w:hint="eastAsia"/>
              </w:rPr>
              <w:t>termination entity of UE-side data collection inside the MNO is a CN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 xml:space="preserve">Yes. Apple’s suggestion to add “first”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rPr>
                <w:rFonts w:hint="eastAsia"/>
              </w:rPr>
              <w:t>Yes, CN node is the first termination entity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Yes (with similar comments as Apple/Ericsson/Spreadtrum/ZTE that it should be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 xml:space="preserve">No. CN is just the </w:t>
            </w:r>
            <w:r>
              <w:rPr>
                <w:b/>
                <w:bCs/>
              </w:rPr>
              <w:t>initial</w:t>
            </w:r>
            <w:r>
              <w:t xml:space="preserve"> entity for data collection. Based on the agreement, CN can transfer further the collected data to the OTT server. Therefore, the termination entity of UE-side data collection is the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First termination is (inside) CN.</w:t>
            </w:r>
          </w:p>
          <w:p>
            <w:r>
              <w:t xml:space="preserve">But we think when discussing termination entity (final and intermediate), it’s beneficial to lay out the whole data transfer path and at the same time and clarify the protocol in mind. </w:t>
            </w:r>
          </w:p>
          <w:p>
            <w:r>
              <w:t>E.g. for solution 2: UE -&gt; CN-&gt; UE-side training data collection Server, and clarify the protocol layer accordingly. This is also to understand the level of data visibility in the intermediate terminating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r>
              <w:t>Yes. However, we believe that further clarification is needed on the interfaces for the different termination entities (e.g., first termination entity, interface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Verizon</w:t>
            </w:r>
          </w:p>
        </w:tc>
        <w:tc>
          <w:tcPr>
            <w:tcW w:w="7178" w:type="dxa"/>
          </w:tcPr>
          <w:p>
            <w:pPr>
              <w:rPr>
                <w:rFonts w:eastAsia="Yu Mincho"/>
                <w:lang w:eastAsia="ja-JP"/>
              </w:rPr>
            </w:pPr>
            <w:r>
              <w:rPr>
                <w:rFonts w:eastAsia="Yu Mincho"/>
                <w:lang w:eastAsia="ja-JP"/>
              </w:rPr>
              <w:t xml:space="preserve">Yes, the first terminating entity is inside the CN for Solution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T-Mobile USA</w:t>
            </w:r>
          </w:p>
        </w:tc>
        <w:tc>
          <w:tcPr>
            <w:tcW w:w="7178" w:type="dxa"/>
          </w:tcPr>
          <w:p>
            <w:pPr>
              <w:rPr>
                <w:rFonts w:eastAsia="Yu Mincho"/>
                <w:lang w:eastAsia="ja-JP"/>
              </w:rPr>
            </w:pPr>
            <w:r>
              <w:rPr>
                <w:rFonts w:eastAsia="Yu Mincho"/>
                <w:lang w:eastAsia="ja-JP"/>
              </w:rPr>
              <w:t>Agree with BT and DISH’s comments, as Nokia suggested 26.531 needs to be the basis for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Yes.</w:t>
            </w:r>
            <w:r>
              <w:t xml:space="preserve"> </w:t>
            </w:r>
            <w:r>
              <w:rPr>
                <w:rFonts w:hint="eastAsia"/>
              </w:rPr>
              <w:t>T</w:t>
            </w:r>
            <w:r>
              <w:t>he first termination entity</w:t>
            </w:r>
            <w:r>
              <w:rPr>
                <w:rFonts w:hint="eastAsia"/>
              </w:rPr>
              <w:t xml:space="preserve"> is CN</w:t>
            </w:r>
          </w:p>
        </w:tc>
      </w:tr>
    </w:tbl>
    <w:p>
      <w:pPr>
        <w:pStyle w:val="6"/>
      </w:pPr>
    </w:p>
    <w:p>
      <w:pPr>
        <w:pStyle w:val="6"/>
      </w:pPr>
      <w:r>
        <w:t>Q3.4: Do companies agree that for solutions 3 the termination entity of UE-side data collection is the OAM?</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53" w:name="OLE_LINK125"/>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Apple</w:t>
            </w:r>
          </w:p>
        </w:tc>
        <w:tc>
          <w:tcPr>
            <w:tcW w:w="7178" w:type="dxa"/>
            <w:tcBorders>
              <w:top w:val="single" w:color="auto" w:sz="4" w:space="0"/>
              <w:left w:val="single" w:color="auto" w:sz="4" w:space="0"/>
              <w:bottom w:val="single" w:color="auto" w:sz="4" w:space="0"/>
              <w:right w:val="single" w:color="auto" w:sz="4" w:space="0"/>
            </w:tcBorders>
          </w:tcPr>
          <w:p>
            <w:r>
              <w:t xml:space="preserve">No. </w:t>
            </w:r>
          </w:p>
          <w:p>
            <w:r>
              <w:t>Similar to Q3.3, we suggest below rewording:</w:t>
            </w:r>
          </w:p>
          <w:p>
            <w:r>
              <w:t xml:space="preserve">for solutions 3 the </w:t>
            </w:r>
            <w:r>
              <w:rPr>
                <w:color w:val="FF0000"/>
                <w:u w:val="single"/>
              </w:rPr>
              <w:t>first</w:t>
            </w:r>
            <w:r>
              <w:rPr>
                <w:color w:val="FF0000"/>
              </w:rPr>
              <w:t xml:space="preserve"> </w:t>
            </w:r>
            <w:r>
              <w:t>termination entity of UE-side data collection is the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Similar to Q3.3, we propose:</w:t>
            </w:r>
          </w:p>
          <w:p>
            <w:r>
              <w:t xml:space="preserve">Do companies agree that for solutions 3 the termination entity of UE-side data collection is </w:t>
            </w:r>
            <w:r>
              <w:rPr>
                <w:highlight w:val="yellow"/>
              </w:rPr>
              <w:t>inside</w:t>
            </w:r>
            <w:r>
              <w:t xml:space="preserve"> the OAM?</w:t>
            </w:r>
          </w:p>
          <w:p>
            <w:r>
              <w:t>Yes. The UE-side data collected is still under MNO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but the terminology “termination entity” might be a bit ambiguous (as per the previous comment). Propose to clarify “termination entity inside the MNO is the OAM”.</w:t>
            </w:r>
          </w:p>
          <w:p>
            <w:r>
              <w:t>In all the approaches there might be always a “second” termination entity (former OTT server in charge of training) which is outside the MNO. Hence it should be clarified that the “first” termination entity discussed in this section is inside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W</w:t>
            </w:r>
            <w:r>
              <w:t>e agreed with Apple that first termination entity should be used in order to avoid confusions.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bookmarkEnd w:id="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Spreadtrum</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Z</w:t>
            </w:r>
            <w:r>
              <w:t>TE</w:t>
            </w:r>
          </w:p>
        </w:tc>
        <w:tc>
          <w:tcPr>
            <w:tcW w:w="7178" w:type="dxa"/>
          </w:tcPr>
          <w:p>
            <w:r>
              <w:rPr>
                <w:rFonts w:hint="eastAsia"/>
              </w:rPr>
              <w:t>Y</w:t>
            </w:r>
            <w:r>
              <w:t>es with comments:</w:t>
            </w:r>
          </w:p>
          <w:p>
            <w:r>
              <w:rPr>
                <w:rFonts w:hint="eastAsia"/>
              </w:rPr>
              <w:t>I</w:t>
            </w:r>
            <w:r>
              <w:t>n option 3, the OAM is considered as a first termination node, the question itself may cause the some ambiguities between the OAM and the UE server for UE side data collection, which one is referred in the question. In this sense, we echo apple’s comments:</w:t>
            </w:r>
          </w:p>
          <w:p>
            <w:r>
              <w:t>In solution 3, the first termination entity of UE-side data collection is the OAM.</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No (See comments).</w:t>
            </w:r>
          </w:p>
          <w:p>
            <w:pPr>
              <w:pStyle w:val="26"/>
              <w:numPr>
                <w:ilvl w:val="0"/>
                <w:numId w:val="16"/>
              </w:numPr>
              <w:ind w:firstLineChars="0"/>
            </w:pPr>
            <w:r>
              <w:t>Refer to answer to Q 1 and Q 2.1.</w:t>
            </w:r>
          </w:p>
          <w:p>
            <w:pPr>
              <w:pStyle w:val="26"/>
              <w:numPr>
                <w:ilvl w:val="0"/>
                <w:numId w:val="16"/>
              </w:numPr>
              <w:ind w:firstLineChars="0"/>
            </w:pPr>
            <w:r>
              <w:t xml:space="preserve">According to the definition of solution 3 the termination entity for data collection is not OAM: </w:t>
            </w:r>
          </w:p>
          <w:p>
            <w:pPr>
              <w:pStyle w:val="26"/>
              <w:numPr>
                <w:ilvl w:val="1"/>
                <w:numId w:val="16"/>
              </w:numPr>
              <w:ind w:firstLineChars="0"/>
            </w:pPr>
            <w:r>
              <w:t xml:space="preserve">UE collects training data and transfers it to OAM. OAM transfers the needed </w:t>
            </w:r>
            <w:r>
              <w:rPr>
                <w:highlight w:val="yellow"/>
              </w:rPr>
              <w:t>data to the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es,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 xml:space="preserve">Yes, but OAM is just forwarding the collected data to the server. </w:t>
            </w:r>
          </w:p>
          <w:p/>
          <w:p>
            <w:r>
              <w:t xml:space="preserve">Based on the definition of the definition of the "(First)termination entity" </w:t>
            </w:r>
          </w:p>
          <w:p>
            <w:pPr>
              <w:pStyle w:val="26"/>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p>
            <w:r>
              <w:t>Our understanding is that OAM should handle only forwarding of the data. It should not perform data cleaning, analysis,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Sharp </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 xml:space="preserve">Yes with comments that the </w:t>
            </w:r>
            <w:r>
              <w:rPr>
                <w:rFonts w:hint="eastAsia"/>
                <w:b/>
                <w:bCs/>
              </w:rPr>
              <w:t xml:space="preserve">first </w:t>
            </w:r>
            <w:r>
              <w:rPr>
                <w:rFonts w:hint="eastAsia"/>
              </w:rPr>
              <w:t>termination entity of UE-side data collection inside the MNO is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 xml:space="preserve">Yes. Apple’s suggestion to add “first”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Fujitsu</w:t>
            </w:r>
          </w:p>
        </w:tc>
        <w:tc>
          <w:tcPr>
            <w:tcW w:w="7178" w:type="dxa"/>
          </w:tcPr>
          <w:p>
            <w:r>
              <w:rPr>
                <w:rFonts w:hint="eastAsia"/>
              </w:rPr>
              <w:t>Yes, OAM is the first termination entity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Yes (with similar comments as previous question that it should be the “first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 xml:space="preserve">No. OAM is just the </w:t>
            </w:r>
            <w:r>
              <w:rPr>
                <w:b/>
                <w:bCs/>
              </w:rPr>
              <w:t>initial</w:t>
            </w:r>
            <w:r>
              <w:t xml:space="preserve"> entity for data collection. Based on the agreement, OAM can transfer further the collected data to the OTT server. Therefore, the termination entity of UE-side data collection is the OTT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 xml:space="preserve">Similar comment as response for Q3.3. </w:t>
            </w:r>
          </w:p>
          <w:p>
            <w:r>
              <w:t xml:space="preserve">For solution 3: UE-&gt;OAM-&gt;UE-side data collection server? </w:t>
            </w:r>
            <w:r>
              <w:br w:type="textWrapping"/>
            </w:r>
            <w:r>
              <w:t>Or the UE-side data collection server in this case is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w:t>
            </w:r>
          </w:p>
          <w:p>
            <w:pPr>
              <w:rPr>
                <w:rFonts w:eastAsia="Yu Mincho"/>
                <w:lang w:eastAsia="ja-JP"/>
              </w:rPr>
            </w:pPr>
            <w:r>
              <w:rPr>
                <w:rFonts w:hint="eastAsia" w:eastAsia="Yu Mincho"/>
                <w:lang w:eastAsia="ja-JP"/>
              </w:rPr>
              <w:t>O</w:t>
            </w:r>
            <w:r>
              <w:rPr>
                <w:rFonts w:eastAsia="Yu Mincho"/>
                <w:lang w:eastAsia="ja-JP"/>
              </w:rPr>
              <w:t>ur understanding for solution 3 is UE-&gt;OAM-&gt;server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Verizon</w:t>
            </w:r>
          </w:p>
        </w:tc>
        <w:tc>
          <w:tcPr>
            <w:tcW w:w="7178" w:type="dxa"/>
          </w:tcPr>
          <w:p>
            <w:pPr>
              <w:rPr>
                <w:rFonts w:eastAsia="Yu Mincho"/>
                <w:lang w:eastAsia="ja-JP"/>
              </w:rPr>
            </w:pPr>
            <w:r>
              <w:rPr>
                <w:rFonts w:eastAsia="Yu Mincho"/>
                <w:lang w:eastAsia="ja-JP"/>
              </w:rPr>
              <w:t>Yes, the first terminating entity in Solution 3 is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T-Mobile USA</w:t>
            </w:r>
          </w:p>
        </w:tc>
        <w:tc>
          <w:tcPr>
            <w:tcW w:w="7178" w:type="dxa"/>
          </w:tcPr>
          <w:p>
            <w:pPr>
              <w:rPr>
                <w:rFonts w:eastAsia="Yu Mincho"/>
                <w:lang w:eastAsia="ja-JP"/>
              </w:rPr>
            </w:pPr>
            <w:r>
              <w:rPr>
                <w:rFonts w:eastAsia="Yu Mincho"/>
                <w:lang w:eastAsia="ja-JP"/>
              </w:rPr>
              <w:t>Agree with BT and DISH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 xml:space="preserve">Yes. Similar comments with </w:t>
            </w:r>
            <w:r>
              <w:t>Q3.3</w:t>
            </w:r>
            <w:r>
              <w:rPr>
                <w:rFonts w:hint="eastAsia"/>
              </w:rPr>
              <w:t>, the first termination entity is OAM.</w:t>
            </w:r>
          </w:p>
        </w:tc>
      </w:tr>
    </w:tbl>
    <w:p/>
    <w:p>
      <w:pPr>
        <w:pStyle w:val="3"/>
        <w:rPr>
          <w:rFonts w:eastAsia="PMingLiU"/>
          <w:lang w:eastAsia="zh-TW"/>
        </w:rPr>
      </w:pPr>
      <w:r>
        <w:rPr>
          <w:rFonts w:eastAsiaTheme="minorEastAsia"/>
          <w:lang w:eastAsia="zh-TW"/>
        </w:rPr>
        <w:t>2.4 Controllability for transfer of the collected data in MNO</w:t>
      </w:r>
    </w:p>
    <w:p>
      <w:pPr>
        <w:pStyle w:val="6"/>
      </w:pPr>
      <w:bookmarkStart w:id="54" w:name="OLE_LINK140"/>
      <w:bookmarkStart w:id="55" w:name="OLE_LINK41"/>
      <w:r>
        <w:t>To begin, we focus on the aspect of data transfer to address controllability.  Once these aspects are clearly understood, we can delve into more intricate details, such as how the MNO might configure measurement and reporting for the UE, among other considerations.</w:t>
      </w:r>
    </w:p>
    <w:p>
      <w:pPr>
        <w:pStyle w:val="6"/>
      </w:pPr>
      <w:r>
        <w:t>We define the controllability of data transfer for UE-side data collection within an MNO in the following dimensions:</w:t>
      </w:r>
    </w:p>
    <w:bookmarkEnd w:id="54"/>
    <w:bookmarkEnd w:id="55"/>
    <w:p>
      <w:pPr>
        <w:pStyle w:val="6"/>
        <w:numPr>
          <w:ilvl w:val="0"/>
          <w:numId w:val="17"/>
        </w:numPr>
      </w:pPr>
      <w:ins w:id="78" w:author="作者">
        <w:bookmarkStart w:id="56" w:name="OLE_LINK57"/>
        <w:bookmarkStart w:id="57" w:name="OLE_LINK39"/>
        <w:r>
          <w:rPr/>
          <w:t>The MNO's ability to manage (e.g., allow/disallow, initiate/terminate, prioritize/de-prioritize, etc.) the data transfer to and from the server for UE-side data collection</w:t>
        </w:r>
        <w:bookmarkEnd w:id="56"/>
        <w:r>
          <w:rPr/>
          <w:t>.</w:t>
        </w:r>
      </w:ins>
    </w:p>
    <w:p>
      <w:pPr>
        <w:pStyle w:val="6"/>
        <w:numPr>
          <w:ilvl w:val="0"/>
          <w:numId w:val="17"/>
        </w:numPr>
        <w:rPr>
          <w:ins w:id="79" w:author="作者" w:date=""/>
          <w:del w:id="80" w:author="作者" w:date=""/>
        </w:rPr>
      </w:pPr>
      <w:del w:id="81" w:author="作者">
        <w:r>
          <w:rPr/>
          <w:delText>The capability of the MNO to control the data transfer to the server for UE-side data collection.</w:delText>
        </w:r>
      </w:del>
    </w:p>
    <w:p>
      <w:pPr>
        <w:pStyle w:val="6"/>
      </w:pPr>
      <w:r>
        <w:t>The specific entity within the MNO to control the data transfer</w:t>
      </w:r>
      <w:ins w:id="82" w:author="作者">
        <w:r>
          <w:rPr/>
          <w:t xml:space="preserve"> to and from the server for UE-side data collection</w:t>
        </w:r>
      </w:ins>
      <w:r>
        <w:t>.</w:t>
      </w:r>
    </w:p>
    <w:p>
      <w:pPr>
        <w:pStyle w:val="6"/>
        <w:numPr>
          <w:ilvl w:val="0"/>
          <w:numId w:val="17"/>
        </w:numPr>
      </w:pPr>
      <w:r>
        <w:t xml:space="preserve">The protocols </w:t>
      </w:r>
      <w:del w:id="83" w:author="作者">
        <w:r>
          <w:rPr/>
          <w:delText xml:space="preserve">or </w:delText>
        </w:r>
      </w:del>
      <w:ins w:id="84" w:author="作者">
        <w:r>
          <w:rPr/>
          <w:t xml:space="preserve">and </w:t>
        </w:r>
      </w:ins>
      <w:r>
        <w:t>methods utilized by the MNO to control the data transfer</w:t>
      </w:r>
      <w:ins w:id="85" w:author="作者">
        <w:r>
          <w:rPr/>
          <w:t xml:space="preserve"> to and from t</w:t>
        </w:r>
        <w:bookmarkStart w:id="58" w:name="OLE_LINK60"/>
        <w:r>
          <w:rPr/>
          <w:t>he server for UE-side data collection</w:t>
        </w:r>
        <w:bookmarkEnd w:id="58"/>
      </w:ins>
      <w:r>
        <w:t>.</w:t>
      </w:r>
    </w:p>
    <w:p>
      <w:pPr>
        <w:pStyle w:val="6"/>
        <w:rPr>
          <w:del w:id="86" w:author="作者" w:date=""/>
        </w:rPr>
      </w:pPr>
      <w:del w:id="87" w:author="作者">
        <w:r>
          <w:rPr/>
          <w:delText>The MNO</w:delText>
        </w:r>
      </w:del>
      <w:r>
        <w:t>’</w:t>
      </w:r>
      <w:del w:id="88" w:author="作者">
        <w:r>
          <w:rPr/>
          <w:delText>s ability to manage (e.g., allow/disallow, initiate/terminate, prioritize/de-prioritize, etc.) the data transfer.</w:delText>
        </w:r>
      </w:del>
    </w:p>
    <w:p>
      <w:pPr>
        <w:pStyle w:val="6"/>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57"/>
    </w:p>
    <w:p>
      <w:pPr>
        <w:pStyle w:val="6"/>
      </w:pPr>
      <w:r>
        <w:t>Q4.1</w:t>
      </w:r>
      <w:bookmarkStart w:id="59" w:name="OLE_LINK40"/>
      <w:r>
        <w:t xml:space="preserve"> Do companies agree to start controllability discussion on data transfer as defined with the above four bullets? Please provide/clarify the definition on controllability if there are any important aspects missing.</w:t>
      </w:r>
      <w:bookmarkEnd w:id="59"/>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but it would be important to clarify which entity within the MNO that should be responsible for the control of the data transfer for each solution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Current proposals are ambiguous as they may have different understandings. We propose:</w:t>
            </w:r>
          </w:p>
          <w:p/>
          <w:p>
            <w:pPr>
              <w:pStyle w:val="6"/>
              <w:numPr>
                <w:ilvl w:val="0"/>
                <w:numId w:val="17"/>
              </w:numPr>
            </w:pPr>
            <w:r>
              <w:t>The capability of the MNO to control the data transfer to the server for UE-side data collection.</w:t>
            </w:r>
          </w:p>
          <w:p>
            <w:pPr>
              <w:pStyle w:val="6"/>
              <w:numPr>
                <w:ilvl w:val="0"/>
                <w:numId w:val="17"/>
              </w:numPr>
            </w:pPr>
            <w:r>
              <w:rPr>
                <w:highlight w:val="yellow"/>
              </w:rPr>
              <w:t>The capability of the MNO to control the data transfer from the server for UE-side data collection</w:t>
            </w:r>
            <w:r>
              <w:t>.</w:t>
            </w:r>
          </w:p>
          <w:p>
            <w:pPr>
              <w:pStyle w:val="6"/>
              <w:numPr>
                <w:ilvl w:val="0"/>
                <w:numId w:val="17"/>
              </w:numPr>
            </w:pPr>
            <w:r>
              <w:t xml:space="preserve">The specific entity within the MNO to control the data transfer </w:t>
            </w:r>
            <w:r>
              <w:rPr>
                <w:highlight w:val="yellow"/>
              </w:rPr>
              <w:t>to and from the server for UE-side data collection</w:t>
            </w:r>
            <w:r>
              <w:t>.</w:t>
            </w:r>
          </w:p>
          <w:p>
            <w:pPr>
              <w:pStyle w:val="6"/>
              <w:numPr>
                <w:ilvl w:val="0"/>
                <w:numId w:val="17"/>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pPr>
              <w:pStyle w:val="6"/>
              <w:numPr>
                <w:ilvl w:val="0"/>
                <w:numId w:val="17"/>
              </w:numPr>
            </w:pPr>
            <w:r>
              <w:t xml:space="preserve">The MNO's ability to manage (e.g., allow/disallow, initiate/terminate, prioritize/de-prioritize, etc.) the data transfer </w:t>
            </w:r>
            <w:r>
              <w:rPr>
                <w:highlight w:val="yellow"/>
              </w:rPr>
              <w:t>to and from the server for UE-side data collection</w:t>
            </w:r>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Yes, but it seems that the fourth bullet is a more descriptive version of the first bullet. The list could be consolidated by deleting the first bullet. </w:t>
            </w:r>
          </w:p>
          <w:p/>
          <w:p>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At this stage we do not need to discuss which NW node is in charge of handling those 4 bullets. That is beyond RAN2 scope.</w:t>
            </w:r>
          </w:p>
          <w:p>
            <w: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br w:type="textWrapping"/>
            </w:r>
            <w:r>
              <w:t>So we propose adding the following bullet:</w:t>
            </w:r>
          </w:p>
          <w:p>
            <w:pPr>
              <w:pStyle w:val="26"/>
              <w:numPr>
                <w:ilvl w:val="0"/>
                <w:numId w:val="18"/>
              </w:numPr>
              <w:ind w:firstLineChars="0"/>
            </w:pPr>
            <w:r>
              <w:t>The MNO's ability to manage/control the initiation/termination of the data collection for UE-side model training.</w:t>
            </w:r>
          </w:p>
          <w:p>
            <w:r>
              <w:t>[Rapp1] is it covered by the bullet “The MNO's ability to manage (e.g., allow/disallow, initiate/terminate, prioritize/de-prioritize, etc.) the data transfer to and from the server for UE-side data collection”?</w:t>
            </w:r>
          </w:p>
          <w:p>
            <w:r>
              <w:t>[Ericsson reply]: Thanks for the reply, we are fine with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p>
            <w:r>
              <w:rPr>
                <w:rFonts w:hint="eastAsia"/>
              </w:rPr>
              <w:t>W</w:t>
            </w:r>
            <w:r>
              <w:t xml:space="preserve">e have a high level question for clarification: </w:t>
            </w:r>
          </w:p>
          <w:p>
            <w: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p>
            <w:r>
              <w:rPr>
                <w:rFonts w:hint="eastAsia"/>
              </w:rPr>
              <w:t>F</w:t>
            </w:r>
            <w:r>
              <w:t>or dimension discussions, we think the scope should be: capability of control and what to control.</w:t>
            </w:r>
          </w:p>
          <w:p>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r>
              <w:rPr>
                <w:rFonts w:hint="eastAsia"/>
              </w:rPr>
              <w:t>T</w:t>
            </w:r>
            <w:r>
              <w:t>he capability of the MNO to control and manage the data transfer process, by considering the visibility of data content.</w:t>
            </w:r>
          </w:p>
          <w:p>
            <w:r>
              <w:rPr>
                <w:rFonts w:hint="eastAsia"/>
              </w:rPr>
              <w:t>f</w:t>
            </w:r>
            <w:r>
              <w:t xml:space="preserve">or 2nd and 3rd bullet, we think they are not part of dimensions, and they are about details of controllability. </w:t>
            </w:r>
            <w:r>
              <w:rPr>
                <w:b/>
              </w:rPr>
              <w:t>So we prefer to not list both bullets here.</w:t>
            </w:r>
            <w:r>
              <w:t xml:space="preserve"> If needed, we could address them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60" w:name="OLE_LINK5"/>
            <w:r>
              <w:t>collection task before the data is collected to the first termination entity</w:t>
            </w:r>
            <w:bookmarkEnd w:id="60"/>
            <w:r>
              <w:t xml:space="preserve"> while bullet 1 is trying to address the aspect how MNO can control the data sharing procedure after the data is collected to the first termination entity. If that is the case, the following revision suggestion can make it more clear:</w:t>
            </w:r>
          </w:p>
          <w:p>
            <w:pPr>
              <w:pStyle w:val="6"/>
              <w:numPr>
                <w:ilvl w:val="0"/>
                <w:numId w:val="17"/>
              </w:numPr>
            </w:pPr>
            <w:r>
              <w:t>The capability of the MNO to control the data</w:t>
            </w:r>
            <w:ins w:id="89" w:author="作者">
              <w:r>
                <w:rPr/>
                <w:t xml:space="preserve"> sharing procedure after the data is collected to the first termination entity, e.g. data sharing from the first termination entity</w:t>
              </w:r>
            </w:ins>
            <w:r>
              <w:t xml:space="preserve"> </w:t>
            </w:r>
            <w:del w:id="90" w:author="作者">
              <w:r>
                <w:rPr/>
                <w:delText xml:space="preserve">transfer </w:delText>
              </w:r>
            </w:del>
            <w:r>
              <w:t>to the server for UE-side data collection.</w:t>
            </w:r>
          </w:p>
          <w:p>
            <w:pPr>
              <w:pStyle w:val="6"/>
              <w:numPr>
                <w:ilvl w:val="0"/>
                <w:numId w:val="17"/>
              </w:numPr>
            </w:pPr>
            <w:r>
              <w:t xml:space="preserve">The specific entity within the MNO to control the data </w:t>
            </w:r>
            <w:del w:id="91" w:author="作者">
              <w:r>
                <w:rPr/>
                <w:delText>transfer</w:delText>
              </w:r>
            </w:del>
            <w:ins w:id="92" w:author="作者">
              <w:r>
                <w:rPr/>
                <w:t>collection</w:t>
              </w:r>
            </w:ins>
            <w:r>
              <w:t>.</w:t>
            </w:r>
          </w:p>
          <w:p>
            <w:pPr>
              <w:pStyle w:val="6"/>
              <w:numPr>
                <w:ilvl w:val="0"/>
                <w:numId w:val="17"/>
              </w:numPr>
            </w:pPr>
            <w:r>
              <w:t xml:space="preserve">The protocols or methods utilized by the MNO to control the data </w:t>
            </w:r>
            <w:ins w:id="93" w:author="作者">
              <w:r>
                <w:rPr/>
                <w:t>collection</w:t>
              </w:r>
            </w:ins>
            <w:del w:id="94" w:author="作者">
              <w:r>
                <w:rPr/>
                <w:delText>transfer</w:delText>
              </w:r>
            </w:del>
            <w:r>
              <w:t>.</w:t>
            </w:r>
          </w:p>
          <w:p>
            <w:pPr>
              <w:pStyle w:val="6"/>
              <w:numPr>
                <w:ilvl w:val="0"/>
                <w:numId w:val="17"/>
              </w:numPr>
            </w:pPr>
            <w:r>
              <w:t xml:space="preserve">The MNO's ability to manage (e.g., allow/disallow, initiate/terminate, prioritize/de-prioritize, etc.) the data </w:t>
            </w:r>
            <w:ins w:id="95" w:author="作者">
              <w:r>
                <w:rPr/>
                <w:t>collection task before the data is collected to the first termination entity</w:t>
              </w:r>
            </w:ins>
            <w:del w:id="96" w:author="作者">
              <w:r>
                <w:rPr/>
                <w:delText>transfer</w:delText>
              </w:r>
            </w:del>
            <w: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I revised the bullets based on the comments received so far. We agree to discuss the above three bullets for controllability.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pPr>
              <w:pStyle w:val="26"/>
              <w:numPr>
                <w:ilvl w:val="0"/>
                <w:numId w:val="19"/>
              </w:numPr>
              <w:ind w:firstLineChars="0"/>
            </w:pPr>
            <w:r>
              <w:rPr>
                <w:rFonts w:hint="eastAsia"/>
              </w:rPr>
              <w:t>Maintenance</w:t>
            </w:r>
            <w:r>
              <w:t xml:space="preserve"> </w:t>
            </w:r>
            <w:r>
              <w:rPr>
                <w:rFonts w:hint="eastAsia"/>
              </w:rPr>
              <w:t>of</w:t>
            </w:r>
            <w:r>
              <w:t xml:space="preserve"> user consent;</w:t>
            </w:r>
          </w:p>
          <w:p>
            <w:pPr>
              <w:pStyle w:val="26"/>
              <w:numPr>
                <w:ilvl w:val="0"/>
                <w:numId w:val="19"/>
              </w:numPr>
              <w:ind w:firstLineChars="0"/>
            </w:pPr>
            <w:r>
              <w:rPr>
                <w:rFonts w:hint="eastAsia"/>
              </w:rPr>
              <w:t>S</w:t>
            </w:r>
            <w:r>
              <w:t>election of desired UEs to enable the server only collects data from specific UE(s);</w:t>
            </w:r>
          </w:p>
          <w:p>
            <w:pPr>
              <w:pStyle w:val="26"/>
              <w:numPr>
                <w:ilvl w:val="0"/>
                <w:numId w:val="19"/>
              </w:numPr>
              <w:ind w:firstLineChars="0"/>
            </w:pPr>
            <w:r>
              <w:t>Management of the session/connection between UE and termination entity;</w:t>
            </w:r>
          </w:p>
          <w:p>
            <w:r>
              <w:t>Awareness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We are OK with the modified three bullets. And we suggest to discuss the detailed controllability per solution after identifying the preferred solution.</w:t>
            </w:r>
          </w:p>
          <w:p>
            <w:r>
              <w:rPr>
                <w:rFonts w:hint="eastAsia"/>
              </w:rPr>
              <w:t>B</w:t>
            </w:r>
            <w:r>
              <w:t>esides, there are some description that is unclear to us:</w:t>
            </w:r>
          </w:p>
          <w:p>
            <w:r>
              <w:t>For bullet 1, what is “prioritize/de-prioritize” in e.g. part.</w:t>
            </w:r>
          </w:p>
          <w:p>
            <w:r>
              <w:t xml:space="preserve">For all the three bullets, “the data transfer </w:t>
            </w:r>
            <w:r>
              <w:rPr>
                <w:b/>
                <w:u w:val="single"/>
              </w:rPr>
              <w:t>to and from the server</w:t>
            </w:r>
            <w:r>
              <w:t xml:space="preserve"> for UE-side data collection” is mentioned. We wonder in which cases we will collect data from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t xml:space="preserve">We are wondering what kind of data need to be transferred from the UE server for UE side data collection to the NW entity? In all options on the table, the data transfer direction is from UE, via NW entity (gNB , OAM or CN) to OTT server/UE server. </w:t>
            </w:r>
          </w:p>
          <w:p>
            <w:r>
              <w:rPr>
                <w:rFonts w:hint="eastAsia"/>
              </w:rPr>
              <w:t>I</w:t>
            </w:r>
            <w:r>
              <w:t>n addition, it is only mentioned that NW controllability on the data transfer between the NW and OTT server. The data transfer path between UE device and NW is missing.</w:t>
            </w:r>
          </w:p>
          <w:p>
            <w:r>
              <w:rPr>
                <w:rFonts w:hint="eastAsia"/>
              </w:rPr>
              <w:t>I</w:t>
            </w:r>
            <w:r>
              <w:t>n this sense, we suggest to have the following modification:</w:t>
            </w:r>
          </w:p>
          <w:p>
            <w:pPr>
              <w:pStyle w:val="6"/>
              <w:numPr>
                <w:ilvl w:val="0"/>
                <w:numId w:val="17"/>
              </w:numPr>
            </w:pPr>
            <w:r>
              <w:t xml:space="preserve">The MNO's ability to manage (e.g., allow/disallow, initiate/terminate, prioritize/de-prioritize, etc.) the data transfer to </w:t>
            </w:r>
            <w:del w:id="97" w:author="作者">
              <w:r>
                <w:rPr/>
                <w:delText xml:space="preserve">and </w:delText>
              </w:r>
            </w:del>
            <w:del w:id="98" w:author="作者">
              <w:r>
                <w:rPr>
                  <w:highlight w:val="yellow"/>
                </w:rPr>
                <w:delText xml:space="preserve">from </w:delText>
              </w:r>
            </w:del>
            <w:r>
              <w:rPr>
                <w:highlight w:val="yellow"/>
              </w:rPr>
              <w:t>the server for UE-side data collection</w:t>
            </w:r>
            <w:ins w:id="99" w:author="作者">
              <w:r>
                <w:rPr>
                  <w:highlight w:val="yellow"/>
                </w:rPr>
                <w:t xml:space="preserve"> and from the UE device</w:t>
              </w:r>
            </w:ins>
            <w:r>
              <w:rPr>
                <w:highlight w:val="yellow"/>
              </w:rPr>
              <w:t>.</w:t>
            </w:r>
          </w:p>
          <w:p>
            <w:pPr>
              <w:pStyle w:val="6"/>
              <w:numPr>
                <w:ilvl w:val="0"/>
                <w:numId w:val="17"/>
              </w:numPr>
              <w:rPr>
                <w:highlight w:val="yellow"/>
              </w:rPr>
            </w:pPr>
            <w:r>
              <w:t xml:space="preserve">The specific entity within the MNO to control the data transfer to </w:t>
            </w:r>
            <w:del w:id="100" w:author="作者">
              <w:r>
                <w:rPr/>
                <w:delText xml:space="preserve">and </w:delText>
              </w:r>
            </w:del>
            <w:del w:id="101" w:author="作者">
              <w:r>
                <w:rPr>
                  <w:highlight w:val="yellow"/>
                </w:rPr>
                <w:delText xml:space="preserve">from </w:delText>
              </w:r>
            </w:del>
            <w:r>
              <w:rPr>
                <w:highlight w:val="yellow"/>
              </w:rPr>
              <w:t>the server for UE-side data collection</w:t>
            </w:r>
            <w:ins w:id="102" w:author="作者">
              <w:r>
                <w:rPr>
                  <w:highlight w:val="yellow"/>
                </w:rPr>
                <w:t xml:space="preserve"> and from the UE device</w:t>
              </w:r>
            </w:ins>
            <w:r>
              <w:rPr>
                <w:highlight w:val="yellow"/>
              </w:rPr>
              <w:t>.</w:t>
            </w:r>
          </w:p>
          <w:p>
            <w:pPr>
              <w:pStyle w:val="6"/>
              <w:numPr>
                <w:ilvl w:val="0"/>
                <w:numId w:val="17"/>
              </w:numPr>
            </w:pPr>
            <w:r>
              <w:t xml:space="preserve">The protocols and methods utilized by the MNO to control the data transfer to </w:t>
            </w:r>
            <w:del w:id="103" w:author="作者">
              <w:r>
                <w:rPr/>
                <w:delText xml:space="preserve">and </w:delText>
              </w:r>
            </w:del>
            <w:del w:id="104" w:author="作者">
              <w:r>
                <w:rPr>
                  <w:highlight w:val="yellow"/>
                </w:rPr>
                <w:delText xml:space="preserve">from </w:delText>
              </w:r>
            </w:del>
            <w:r>
              <w:rPr>
                <w:highlight w:val="yellow"/>
              </w:rPr>
              <w:t>the server for UE-side data collection</w:t>
            </w:r>
            <w:ins w:id="105" w:author="作者">
              <w:r>
                <w:rPr>
                  <w:highlight w:val="yellow"/>
                </w:rPr>
                <w:t xml:space="preserve"> and from the UE device</w:t>
              </w:r>
            </w:ins>
            <w:r>
              <w:rPr>
                <w:highlight w:val="yellow"/>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w:t>
            </w:r>
            <w:r>
              <w:t>h</w:t>
            </w:r>
            <w:r>
              <w:rPr>
                <w:rFonts w:hint="eastAsia"/>
              </w:rPr>
              <w:t>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Firstly, we understand the c</w:t>
            </w:r>
            <w:r>
              <w:t>ontrollability</w:t>
            </w:r>
            <w:r>
              <w:rPr>
                <w:rFonts w:hint="eastAsia"/>
              </w:rPr>
              <w:t xml:space="preserve"> means the data can be read simultaneously and wrote, so we propose to revise the first bullet as below:</w:t>
            </w:r>
          </w:p>
          <w:p>
            <w:pPr>
              <w:pStyle w:val="6"/>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r>
              <w:rPr>
                <w:rFonts w:hint="eastAsia"/>
                <w:lang w:val="en-GB"/>
              </w:rPr>
              <w:t xml:space="preserve">The second and third bullets can be agreed only </w:t>
            </w:r>
            <w:r>
              <w:t>the server for UE-side data collection</w:t>
            </w:r>
            <w:r>
              <w:rPr>
                <w:rFonts w:hint="eastAsia"/>
              </w:rPr>
              <w:t xml:space="preserve"> is inside the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A</w:t>
            </w:r>
            <w:r>
              <w:t>gree with the updated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No (postpone the discussion).</w:t>
            </w:r>
          </w:p>
          <w:p>
            <w:r>
              <w:t>Regarding the first (updated) bullet point, considering that there is no latency requirement for data collection for model training, we do not expect any prioritization/de-prioritization specific for AI/ML data for UE sided model training.</w:t>
            </w:r>
          </w:p>
          <w:p>
            <w:r>
              <w:t xml:space="preserve">More importantly, in our view, the discussion on MNO controllability of the data, should be postponed pending conclusion on following open points: </w:t>
            </w:r>
          </w:p>
          <w:p>
            <w:pPr>
              <w:pStyle w:val="26"/>
              <w:numPr>
                <w:ilvl w:val="0"/>
                <w:numId w:val="20"/>
              </w:numPr>
              <w:ind w:firstLineChars="0"/>
            </w:pPr>
            <w:r>
              <w:t>RAN1 agreement/outcome of discussion on contents of transferred/collected data [</w:t>
            </w:r>
            <w:r>
              <w:fldChar w:fldCharType="begin"/>
            </w:r>
            <w:r>
              <w:instrText xml:space="preserve"> HYPERLINK "http://ftp.3gpp.org/tsg_ran/TSG_RAN/TSGR_103/Docs/RP-240774.zip" </w:instrText>
            </w:r>
            <w:r>
              <w:fldChar w:fldCharType="separate"/>
            </w:r>
            <w:r>
              <w:rPr>
                <w:rStyle w:val="17"/>
                <w:rFonts w:cs="Times New Roman"/>
                <w:sz w:val="20"/>
                <w:szCs w:val="20"/>
              </w:rPr>
              <w:t>RP-240774</w:t>
            </w:r>
            <w:r>
              <w:rPr>
                <w:rStyle w:val="17"/>
                <w:rFonts w:cs="Times New Roman"/>
                <w:sz w:val="20"/>
                <w:szCs w:val="20"/>
              </w:rPr>
              <w:fldChar w:fldCharType="end"/>
            </w:r>
            <w:r>
              <w:t xml:space="preserve">]: </w:t>
            </w:r>
          </w:p>
          <w:p>
            <w:pPr>
              <w:pStyle w:val="26"/>
              <w:numPr>
                <w:ilvl w:val="0"/>
                <w:numId w:val="21"/>
              </w:numPr>
              <w:ind w:firstLineChars="0"/>
              <w:rPr>
                <w:lang w:val="en-GB" w:eastAsia="en-GB"/>
              </w:rPr>
            </w:pPr>
            <w:r>
              <w:rPr>
                <w:lang w:val="en-GB" w:eastAsia="en-GB"/>
              </w:rPr>
              <w:t xml:space="preserve">CN/OAM/OTT collection of UE-sided model training data [RAN2/RAN1]: </w:t>
            </w:r>
          </w:p>
          <w:p>
            <w:pPr>
              <w:pStyle w:val="26"/>
              <w:numPr>
                <w:ilvl w:val="1"/>
                <w:numId w:val="20"/>
              </w:numPr>
              <w:ind w:firstLineChars="0"/>
              <w:rPr>
                <w:lang w:val="en-GB" w:eastAsia="en-GB"/>
              </w:rPr>
            </w:pPr>
            <w:r>
              <w:rPr>
                <w:lang w:val="en-GB" w:eastAsia="en-GB"/>
              </w:rPr>
              <w:t xml:space="preserve">For the FS_NR_AIML_Air study use cases, </w:t>
            </w:r>
            <w:r>
              <w:rPr>
                <w:highlight w:val="yellow"/>
                <w:lang w:val="en-GB" w:eastAsia="en-GB"/>
              </w:rPr>
              <w:t>identify the corresponding contents of UE data collection</w:t>
            </w:r>
            <w:r>
              <w:rPr>
                <w:lang w:val="en-GB" w:eastAsia="en-GB"/>
              </w:rPr>
              <w:t xml:space="preserve"> </w:t>
            </w:r>
          </w:p>
          <w:p>
            <w:pPr>
              <w:pStyle w:val="26"/>
              <w:numPr>
                <w:ilvl w:val="0"/>
                <w:numId w:val="20"/>
              </w:numPr>
              <w:ind w:firstLineChars="0"/>
            </w:pPr>
            <w:r>
              <w:t>Clarification of the following questions in relation to MNO controllability of data:</w:t>
            </w:r>
          </w:p>
          <w:p>
            <w:pPr>
              <w:pStyle w:val="26"/>
              <w:numPr>
                <w:ilvl w:val="0"/>
                <w:numId w:val="22"/>
              </w:numPr>
              <w:ind w:firstLineChars="0"/>
            </w:pPr>
            <w:r>
              <w:t>The use case(s) that would require MNO specific controllability of data collection.</w:t>
            </w:r>
          </w:p>
          <w:p>
            <w:pPr>
              <w:pStyle w:val="26"/>
              <w:numPr>
                <w:ilvl w:val="0"/>
                <w:numId w:val="22"/>
              </w:numPr>
              <w:ind w:firstLineChars="0"/>
            </w:pPr>
            <w:r>
              <w:t>Whether(why) the MNO would require controllability of all collected data (e.g., including proprietary implementation data) specifically.</w:t>
            </w:r>
          </w:p>
          <w:p>
            <w:pPr>
              <w:pStyle w:val="26"/>
              <w:numPr>
                <w:ilvl w:val="0"/>
                <w:numId w:val="22"/>
              </w:numPr>
              <w:ind w:firstLineChars="0"/>
            </w:pPr>
            <w:r>
              <w:t>Whether(why) the MNO would require controllability of the data itself and/or the data collection process (e.g. start, end, etc.).</w:t>
            </w:r>
          </w:p>
          <w:p>
            <w:pPr>
              <w:pStyle w:val="26"/>
              <w:numPr>
                <w:ilvl w:val="0"/>
                <w:numId w:val="22"/>
              </w:numPr>
              <w:ind w:firstLineChars="0"/>
            </w:pPr>
            <w:r>
              <w:t>Whether(why) the MNO would be differentiating AI/ML data from non-AI/ML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t>Yes to the 1</w:t>
            </w:r>
            <w:r>
              <w:rPr>
                <w:vertAlign w:val="superscript"/>
              </w:rPr>
              <w:t>st</w:t>
            </w:r>
            <w:r>
              <w:t xml:space="preserve"> bullet after modification. </w:t>
            </w:r>
          </w:p>
          <w:p>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pPr>
              <w:rPr>
                <w:sz w:val="20"/>
                <w:szCs w:val="20"/>
              </w:rPr>
            </w:pPr>
            <w:r>
              <w:t>And it is only about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We agree with Rapp. Summary. We believe further discussion can be postponed or handled by relevant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r>
              <w:rPr>
                <w:rFonts w:hint="eastAsia"/>
              </w:rPr>
              <w:t>Therefore, we share the similar view with China Unicom on the revision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Yes with comment. </w:t>
            </w:r>
          </w:p>
          <w:p>
            <w:r>
              <w:t xml:space="preserve">For bullet 2/3, it would be good to clarify that this does not preclude the server itself is within MNO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for the revised bullets. </w:t>
            </w:r>
          </w:p>
          <w:p>
            <w:r>
              <w:t>A</w:t>
            </w:r>
            <w:r>
              <w:rPr>
                <w:rFonts w:hint="eastAsia"/>
              </w:rPr>
              <w:t xml:space="preserve">nd we also prefer </w:t>
            </w:r>
            <w:r>
              <w:t>that</w:t>
            </w:r>
            <w:r>
              <w:rPr>
                <w:rFonts w:hint="eastAsia"/>
              </w:rPr>
              <w:t xml:space="preserve"> the controllability is not only for the data transfer but also for the data content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We think the most important aspect in this email discussion is the first question. Which entity in the network does the controlling and what protocol is used to do so can be discussed once we have progressed regarding the first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Agree to the revised bullets of controllability aspect. </w:t>
            </w:r>
          </w:p>
          <w:p>
            <w:r>
              <w:t>In addition to that it would be beneficial if we can include the ability to schedule the timing of the transfer in to first bullet:</w:t>
            </w:r>
          </w:p>
          <w:p>
            <w:pPr>
              <w:pStyle w:val="6"/>
              <w:numPr>
                <w:ilvl w:val="0"/>
                <w:numId w:val="17"/>
              </w:numPr>
            </w:pPr>
            <w:r>
              <w:t xml:space="preserve">The MNO's ability to manage (e.g., allow/disallow, initiate/terminate, prioritize/de-prioritize, </w:t>
            </w:r>
            <w:r>
              <w:rPr>
                <w:color w:val="FF0000"/>
              </w:rPr>
              <w:t xml:space="preserve">schedule data transfer, </w:t>
            </w:r>
            <w:r>
              <w:t>etc.) the data transfer to and from the 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Yes,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A</w:t>
            </w:r>
            <w:r>
              <w:rPr>
                <w:rFonts w:eastAsia="Yu Mincho"/>
                <w:lang w:eastAsia="ja-JP"/>
              </w:rPr>
              <w:t>gree with BT’s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Agree with revised bullets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T-Mobile USA </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Agree with BT’s and DISH’s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rPr>
              <w:t>Yes, we a</w:t>
            </w:r>
            <w:r>
              <w:t>gree with the updated bullets</w:t>
            </w:r>
            <w:r>
              <w:rPr>
                <w:rFonts w:hint="eastAsia"/>
              </w:rPr>
              <w:t xml:space="preserve"> given by </w:t>
            </w:r>
            <w:r>
              <w:t>Rapp</w:t>
            </w:r>
            <w:r>
              <w:rPr>
                <w:rFonts w:hint="eastAsia"/>
              </w:rPr>
              <w:t>.</w:t>
            </w:r>
          </w:p>
        </w:tc>
      </w:tr>
    </w:tbl>
    <w:p>
      <w:pPr>
        <w:pStyle w:val="6"/>
        <w:rPr>
          <w:ins w:id="106" w:author="作者" w:date=""/>
        </w:rPr>
      </w:pPr>
      <w:ins w:id="107" w:author="作者">
        <w:r>
          <w:rPr/>
          <w:t>Based on the feedback received so far, it seems necessary to clarify the level of controllability. As an initial step, we define the levels of controllability of MNO over data transfer to and from the server for UE-side data collection as follows:</w:t>
        </w:r>
      </w:ins>
    </w:p>
    <w:p>
      <w:pPr>
        <w:pStyle w:val="6"/>
        <w:numPr>
          <w:ilvl w:val="0"/>
          <w:numId w:val="23"/>
        </w:numPr>
        <w:rPr>
          <w:ins w:id="108" w:author="作者" w:date=""/>
        </w:rPr>
      </w:pPr>
      <w:ins w:id="109" w:author="作者">
        <w:r>
          <w:rPr/>
          <w:t>Full Control: T</w:t>
        </w:r>
        <w:bookmarkStart w:id="61" w:name="OLE_LINK63"/>
        <w:r>
          <w:rPr/>
          <w:t>he MNO has the capability to manage data transfer to the server for UE-side data collection. This includes initiating, terminating, and fully managing the volume of data</w:t>
        </w:r>
        <w:bookmarkEnd w:id="61"/>
        <w:r>
          <w:rPr/>
          <w:t xml:space="preserve">. </w:t>
        </w:r>
        <w:bookmarkStart w:id="62" w:name="OLE_LINK62"/>
        <w:r>
          <w:rPr/>
          <w:t xml:space="preserve">For example, the UE should start the data transfer only if that is allowed by the MNO/NW. </w:t>
        </w:r>
      </w:ins>
    </w:p>
    <w:bookmarkEnd w:id="62"/>
    <w:p>
      <w:pPr>
        <w:pStyle w:val="6"/>
        <w:numPr>
          <w:ilvl w:val="0"/>
          <w:numId w:val="23"/>
        </w:numPr>
        <w:rPr>
          <w:ins w:id="110" w:author="作者" w:date=""/>
        </w:rPr>
      </w:pPr>
      <w:ins w:id="111" w:author="作者">
        <w:r>
          <w:rPr/>
          <w:t xml:space="preserve">Partial Control: The MNO has some degree of control over the data transfer but may be limited by certain factors such as agreements with third parties. For example, the UE can start the data transfer without involvement of MNO/NW as long as the tunnel is available.  </w:t>
        </w:r>
      </w:ins>
    </w:p>
    <w:p>
      <w:pPr>
        <w:pStyle w:val="6"/>
        <w:numPr>
          <w:ilvl w:val="0"/>
          <w:numId w:val="23"/>
        </w:numPr>
        <w:rPr>
          <w:ins w:id="112" w:author="作者" w:date=""/>
          <w:lang w:val="en-US"/>
        </w:rPr>
      </w:pPr>
      <w:ins w:id="113" w:author="作者">
        <w:r>
          <w:rPr/>
          <w:t xml:space="preserve">No Control: The MNO has no capability to influence or manage the data transfer. </w:t>
        </w:r>
      </w:ins>
    </w:p>
    <w:p>
      <w:pPr>
        <w:pStyle w:val="6"/>
      </w:pPr>
    </w:p>
    <w:p>
      <w:pPr>
        <w:pStyle w:val="6"/>
      </w:pPr>
      <w:bookmarkStart w:id="63"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bookmarkEnd w:id="63"/>
    <w:p>
      <w:pPr>
        <w:pStyle w:val="6"/>
      </w:pPr>
      <w:bookmarkStart w:id="64" w:name="OLE_LINK127"/>
      <w:r>
        <w:rPr>
          <w:rFonts w:hint="eastAsia"/>
        </w:rPr>
        <w:t>Q</w:t>
      </w:r>
      <w:r>
        <w:t xml:space="preserve">4.2: </w:t>
      </w:r>
      <w:bookmarkStart w:id="65" w:name="OLE_LINK42"/>
      <w:bookmarkStart w:id="66" w:name="OLE_LINK126"/>
      <w:r>
        <w:t xml:space="preserve">Do companies agree that in solution 1a) MNO has no specific controllability for transfer of the collected data for UE-side data collection? Otherwise, </w:t>
      </w:r>
      <w:bookmarkStart w:id="67" w:name="OLE_LINK43"/>
      <w:r>
        <w:t>please clarify any controllability that the MNOs have.</w:t>
      </w:r>
      <w:bookmarkEnd w:id="67"/>
      <w:r>
        <w:t xml:space="preserve"> </w:t>
      </w:r>
      <w:bookmarkEnd w:id="65"/>
    </w:p>
    <w:bookmarkEnd w:id="64"/>
    <w:bookmarkEnd w:id="66"/>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68" w:name="OLE_LINK12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We agree its intention, but we think the term “specific controllability” is not clear:</w:t>
            </w:r>
          </w:p>
          <w:p>
            <w:pPr>
              <w:pStyle w:val="26"/>
              <w:numPr>
                <w:ilvl w:val="0"/>
                <w:numId w:val="24"/>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pPr>
              <w:pStyle w:val="26"/>
              <w:numPr>
                <w:ilvl w:val="0"/>
                <w:numId w:val="24"/>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p>
            <w:r>
              <w:t>To make it clear, we suggest below rewording:</w:t>
            </w:r>
          </w:p>
          <w:p>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r>
              <w:t>[vivo] with such rewording, we are confused the boundary of 1a) and 1b) may not be very clear. We prefer to avoid such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 but as mentioned before, 1a is a solution totally outside 3GPP. No need to discuss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Maybe. If the MNO knows the IP addresses of the OTT servers, traffic to the servers could be throttled. But there is, otherwise, no specific control over aspects of the data collection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 xml:space="preserve">Yes, if there is no SLA between MNO and the OTT server application. </w:t>
            </w:r>
          </w:p>
          <w:p>
            <w:r>
              <w:t>However, if an SLA is present between MNO and OTT server, then the control is also possible and needed with 1a), i.e. the data stream destined to the IP address associated to the OTT server can be controlled/managed by the MNO as any other traffic.</w:t>
            </w:r>
          </w:p>
          <w:p>
            <w:r>
              <w:t xml:space="preserve">So it should be either clarified that solution 1a) implies no SLA, or if with solution 1a) it is possible to have SLA, then the controllability is always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p>
            <w:r>
              <w:rPr>
                <w:rFonts w:hint="eastAsia"/>
              </w:rPr>
              <w:t>S</w:t>
            </w:r>
            <w:r>
              <w:t>olution 1a) can work without specific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Yes. No control from MNO over the data transfer from UE to the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due to 3GPP doesn</w:t>
            </w:r>
            <w:r>
              <w:t>’</w:t>
            </w:r>
            <w:r>
              <w:rPr>
                <w:rFonts w:hint="eastAsia"/>
              </w:rPr>
              <w:t>t need to discuss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 xml:space="preserve">No (see comment). </w:t>
            </w:r>
          </w:p>
          <w:p>
            <w:r>
              <w:t>In Solution 1a, the MNO can use existing service management/QoS framework for controllability of the transfer of the collected data.</w:t>
            </w:r>
          </w:p>
          <w:p/>
          <w:p>
            <w:r>
              <w:t>Moreover, it is beneficial before discussing whether Solution 1a have no specific controllability on data collection, RAN2 need to first clarify the following open points:</w:t>
            </w:r>
          </w:p>
          <w:p>
            <w:pPr>
              <w:pStyle w:val="26"/>
              <w:numPr>
                <w:ilvl w:val="0"/>
                <w:numId w:val="22"/>
              </w:numPr>
              <w:ind w:firstLineChars="0"/>
            </w:pPr>
            <w:r>
              <w:t>The use case(s) that would require MNO specific controllability of data collection.</w:t>
            </w:r>
          </w:p>
          <w:p>
            <w:pPr>
              <w:pStyle w:val="26"/>
              <w:numPr>
                <w:ilvl w:val="0"/>
                <w:numId w:val="22"/>
              </w:numPr>
              <w:ind w:firstLineChars="0"/>
            </w:pPr>
            <w:r>
              <w:t>Whether(why) the MNO would require controllability of all collected data (e.g., including proprietary implementation data) specifically.</w:t>
            </w:r>
          </w:p>
          <w:p>
            <w:pPr>
              <w:pStyle w:val="26"/>
              <w:numPr>
                <w:ilvl w:val="0"/>
                <w:numId w:val="22"/>
              </w:numPr>
              <w:ind w:firstLineChars="0"/>
            </w:pPr>
            <w:r>
              <w:t>Whether(why) the MNO would require controllability of the data itself and/or the data collection process (e.g. start, end, etc.).</w:t>
            </w:r>
          </w:p>
          <w:p>
            <w:pPr>
              <w:pStyle w:val="26"/>
              <w:numPr>
                <w:ilvl w:val="0"/>
                <w:numId w:val="22"/>
              </w:numPr>
              <w:ind w:firstLineChars="0"/>
            </w:pPr>
            <w:r>
              <w:t>Whether the MNO would be differentiating AI/ML data from non-AI/ML data, and if yes, for what reason?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 xml:space="preserve">Solution 1a is the over-the-top solution, outside 3GPP. The MNO controllability can be potentially achieved outside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The solution 1a) is totally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We think level “No control” is also not clear, e.g. whether MNO has no control because of the transport tunnel is not via MNO network or the transport itself is not awared by network.</w:t>
            </w:r>
          </w:p>
          <w:p>
            <w:r>
              <w:t xml:space="preserve">In our understanding, solution 1a means the data collection transfer does not use MNO 3GPP network, the transfer of data collection can either use IP tunnel or WLAN, etc. </w:t>
            </w:r>
          </w:p>
          <w:p>
            <w:r>
              <w:t>To further clarify, in our understanding, solution 1a does not include using UP to collect data from UE to the server.</w:t>
            </w:r>
          </w:p>
          <w:p>
            <w:r>
              <w:t>With this, we suggest further clarify “no control” as below:</w:t>
            </w:r>
          </w:p>
          <w:p>
            <w:r>
              <w:t>The MNO has no capability to influence or manage the data transfer since the data transfer tunnel is outside of 3GPP (e.g. WLAN, IP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solution 1a works without any controllability of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Yes. To clearly differentiate the solutions, we should clarify that solution 1a is the one with no controllability nor visibility of the MNO. Hence does not need to be discussed in 3GPP.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 but 1a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Yes, and Solution 1a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Solution 1a is outside of 3GPP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Yes, 1a) has no impact on 3GPP.</w:t>
            </w:r>
          </w:p>
        </w:tc>
      </w:tr>
      <w:bookmarkEnd w:id="68"/>
    </w:tbl>
    <w:p>
      <w:pPr>
        <w:pStyle w:val="6"/>
      </w:pPr>
    </w:p>
    <w:p>
      <w:pPr>
        <w:pStyle w:val="6"/>
      </w:pPr>
      <w:r>
        <w:t xml:space="preserve">In solution 1b, </w:t>
      </w:r>
      <w:bookmarkStart w:id="69"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bookmarkEnd w:id="69"/>
    <w:p>
      <w:pPr>
        <w:pStyle w:val="6"/>
      </w:pPr>
      <w:bookmarkStart w:id="70" w:name="OLE_LINK133"/>
      <w:r>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bookmarkEnd w:id="7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71" w:name="OLE_LINK135"/>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what RAN2 can clarify is the CN control, but the details of CN implementation can be discussed by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with comments:</w:t>
            </w:r>
          </w:p>
          <w:p>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p>
            <w:r>
              <w:t>Thus, to reflect above issue, we suggest below rewording:</w:t>
            </w:r>
          </w:p>
          <w:p>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r>
              <w:rPr>
                <w:b/>
                <w:bCs/>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 Considering Q3.2, our understanding is that UE-side data collected is inside the MNO. That means, the UE-side data collection belongs to the MNO. Therefore, it has control and awareness over collected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Maybe. Depending on whether our interpretation of solution 1b matches what we have shown in our answer to Q3.2, the level of control could be considered to be more than just at the PDU session level.</w:t>
            </w:r>
          </w:p>
          <w:p/>
          <w:p>
            <w:r>
              <w:t>However, if 1b is simply a server attached to a UPF and has an IP address internal to the network or specific to a DN for data collection, then we would agree with the PDU session level of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w:t>
            </w:r>
          </w:p>
          <w:p>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r>
              <w:t>Based on SLA, the MNO can also control, e.g. by assigning different QoS flows, which data should terminated inside the MNO (i.e. the data that should be visible) and outside the MNO (i.e. the data that should not be visible).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rPr>
                <w:rFonts w:hint="eastAsia"/>
              </w:rPr>
              <w:t>H</w:t>
            </w:r>
            <w:r>
              <w:t>ow MNO in involved in Solution 1b) is unclear to us. This is related to our comments in Q2.2 (inside MNO), and also related to the dimension discussion in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Yes. We assume it’s partial control. The NW/MNO may not be able to start/stop the data transfer between UE and the server as long as the data tunnel is established.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but f</w:t>
            </w:r>
            <w:r>
              <w:t>or solution 1b, the following controllability can be considered:</w:t>
            </w:r>
          </w:p>
          <w:p>
            <w:pPr>
              <w:pStyle w:val="26"/>
              <w:numPr>
                <w:ilvl w:val="0"/>
                <w:numId w:val="19"/>
              </w:numPr>
              <w:ind w:firstLineChars="0"/>
            </w:pPr>
            <w:r>
              <w:rPr>
                <w:rFonts w:hint="eastAsia"/>
              </w:rPr>
              <w:t>Maintenance</w:t>
            </w:r>
            <w:r>
              <w:t xml:space="preserve"> </w:t>
            </w:r>
            <w:r>
              <w:rPr>
                <w:rFonts w:hint="eastAsia"/>
              </w:rPr>
              <w:t>of</w:t>
            </w:r>
            <w:r>
              <w:t xml:space="preserve"> user consent;</w:t>
            </w:r>
          </w:p>
          <w:p>
            <w:pPr>
              <w:pStyle w:val="26"/>
              <w:numPr>
                <w:ilvl w:val="0"/>
                <w:numId w:val="19"/>
              </w:numPr>
              <w:ind w:firstLineChars="0"/>
            </w:pPr>
            <w:r>
              <w:rPr>
                <w:rFonts w:hint="eastAsia"/>
              </w:rPr>
              <w:t>S</w:t>
            </w:r>
            <w:r>
              <w:t>election of desired UEs to enable the server only collects data from specific UE(s);</w:t>
            </w:r>
          </w:p>
          <w:p>
            <w:pPr>
              <w:pStyle w:val="26"/>
              <w:numPr>
                <w:ilvl w:val="0"/>
                <w:numId w:val="19"/>
              </w:numPr>
              <w:ind w:firstLineChars="0"/>
            </w:pPr>
            <w:r>
              <w:t>Management of the session/connection between UE and the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t xml:space="preserve">Yes with partial control. </w:t>
            </w:r>
          </w:p>
          <w:p>
            <w:r>
              <w:t xml:space="preserve">NW (e.g., gNB or NF) can indicate data collection configuration to UE including allow/dis-allow data reporting, the collected data type etc. </w:t>
            </w:r>
          </w:p>
          <w:p>
            <w:r>
              <w:t xml:space="preserve">But NW cannot control when UE should transfer data to server, UE will log those data until triggered by server. </w:t>
            </w:r>
          </w:p>
          <w:p>
            <w:r>
              <w:t>From our side, server is outside MNO for the solution 1b, thus UE can only transfer data to server via UP way. In this case, if the IP address of server is known by MNO, the SLA or QoS requirement can be 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 Our understanding is that in option 1b, MNO has partial control, e.g. the control over the PDU session used between UE and the server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 (to some extent, see comment)</w:t>
            </w:r>
          </w:p>
          <w:p>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r>
              <w:t>Regarding the “control granularity at the level of the PDU session per SLA”, this is discussion is not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Yes. We have same understanding Ericsson that MNO can enforce SLA using existing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with partial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72" w:name="OLE_LINK132"/>
            <w:bookmarkStart w:id="73" w:name="OLE_LINK136"/>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If the termination entity is outside of MNO, solution 1b) is the same as solution 1a), i.e. solution 1b) is no control.</w:t>
            </w:r>
          </w:p>
          <w:p>
            <w:r>
              <w:rPr>
                <w:rFonts w:hint="eastAsia"/>
              </w:rPr>
              <w:t xml:space="preserve">If the termination entity is within MNO, solution 1b) can be reflected in solution 2 and 3, i.e. solution 1b) is full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Yes, but not only for PDU session management. </w:t>
            </w:r>
          </w:p>
          <w:p>
            <w:r>
              <w:t>According to TS 23.288, MNO can at least have the controllability of data collection via SLA in following aspects:</w:t>
            </w:r>
          </w:p>
          <w:p>
            <w:r>
              <w:t>- The AF for the UE Application to connect to (e.g. based on an FQDN).</w:t>
            </w:r>
          </w:p>
          <w:p>
            <w:r>
              <w:t>- The information that the UE Application shares with the AF, subject to user consent.</w:t>
            </w:r>
          </w:p>
          <w:p>
            <w:r>
              <w:t>- Possible Data Anonymization, Aggregation or Normalization algorithms (if used).</w:t>
            </w:r>
          </w:p>
          <w:p>
            <w:r>
              <w:t>- The authentication information that enable the AF to verify the authenticity of the UE's Application that provides data.</w:t>
            </w:r>
          </w:p>
          <w:p>
            <w:r>
              <w:t>Furthermore, according to TS 23.288, MNO can further send data collection request to the server for UE side data collection. This gives MNO “full controllability” (i.e. following the definition provided above) of data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Fujitsu</w:t>
            </w:r>
          </w:p>
        </w:tc>
        <w:tc>
          <w:tcPr>
            <w:tcW w:w="7178" w:type="dxa"/>
            <w:tcBorders>
              <w:top w:val="single" w:color="auto" w:sz="4" w:space="0"/>
              <w:left w:val="single" w:color="auto" w:sz="4" w:space="0"/>
              <w:bottom w:val="single" w:color="auto" w:sz="4" w:space="0"/>
              <w:right w:val="single" w:color="auto" w:sz="4" w:space="0"/>
            </w:tcBorders>
          </w:tcPr>
          <w:p>
            <w:r>
              <w:t>I</w:t>
            </w:r>
            <w:r>
              <w:rPr>
                <w:rFonts w:hint="eastAsia"/>
              </w:rPr>
              <w:t>t depends.</w:t>
            </w:r>
          </w:p>
          <w:p>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Our understanding is the control here is partial control or maybe even limited to just awareness (i.e., MNO is aware data collection is happening)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 xml:space="preserve">For 1b), the argument we heard during the last meeting was that the NMO will need to have certain control of the data collection, making it non-3GPP-transparent and different from 1a). Given this, the MNO MUST have control/management over the data collection for UE-side data collection as otherwise it has no reason to be an option. However, as we and other companies mentioned above, this case can be covered by Solution 2. </w:t>
            </w:r>
          </w:p>
          <w:p>
            <w:r>
              <w:t>Suggest removing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Our understanding of 1b is more like V2X or ProSe servers, which may not be within the operator’s network but are recognized by MNO and have SLA association/agreement and hence MNO can can set priority/QoS to the sessions between those servers and a certain UE. Full controllability and visibility can be achieved. Granularity per PDU session would be a good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Yes. We agree to control at the PDU session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Even solution 1b, UE-side data collection should be full controlled by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t xml:space="preserve">No, MNO involvement or ability to have any control in Solution 1b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Pr>
          <w:p>
            <w:r>
              <w:rPr>
                <w:rFonts w:eastAsia="Yu Mincho"/>
                <w:lang w:eastAsia="ja-JP"/>
              </w:rPr>
              <w:t>Agree with Docomo and China Unicom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Theme="minorEastAsia" w:cstheme="minorBidi"/>
                <w:color w:val="000000" w:themeColor="text1"/>
                <w:sz w:val="21"/>
                <w:szCs w:val="22"/>
                <w:lang w:val="en-US" w:eastAsia="ja-JP" w:bidi="ar-SA"/>
                <w14:textFill>
                  <w14:solidFill>
                    <w14:schemeClr w14:val="tx1"/>
                  </w14:solidFill>
                </w14:textFill>
              </w:rPr>
            </w:pPr>
            <w:r>
              <w:rPr>
                <w:rFonts w:hint="eastAsia" w:eastAsia="宋体"/>
              </w:rPr>
              <w:t xml:space="preserve">Yes, </w:t>
            </w:r>
            <w:r>
              <w:rPr>
                <w:rFonts w:hint="eastAsia"/>
              </w:rPr>
              <w:t xml:space="preserve">If the </w:t>
            </w:r>
            <w:r>
              <w:t>server for UE-side data collection</w:t>
            </w:r>
            <w:r>
              <w:rPr>
                <w:rFonts w:hint="eastAsia"/>
              </w:rPr>
              <w:t xml:space="preserve"> is inside the MNO, the MNO is able to </w:t>
            </w:r>
            <w:r>
              <w:t xml:space="preserve">control </w:t>
            </w:r>
            <w:r>
              <w:rPr>
                <w:rFonts w:hint="eastAsia"/>
              </w:rPr>
              <w:t xml:space="preserve">the </w:t>
            </w:r>
            <w:r>
              <w:t>collected</w:t>
            </w:r>
            <w:r>
              <w:rPr>
                <w:rFonts w:hint="eastAsia"/>
              </w:rPr>
              <w:t xml:space="preserve"> training</w:t>
            </w:r>
            <w:r>
              <w:t xml:space="preserve"> data.</w:t>
            </w:r>
          </w:p>
        </w:tc>
      </w:tr>
      <w:bookmarkEnd w:id="71"/>
    </w:tbl>
    <w:p>
      <w:pPr>
        <w:pStyle w:val="6"/>
      </w:pPr>
    </w:p>
    <w:p>
      <w:pPr>
        <w:pStyle w:val="6"/>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pPr>
        <w:pStyle w:val="6"/>
        <w:numPr>
          <w:ilvl w:val="0"/>
          <w:numId w:val="25"/>
        </w:numPr>
      </w:pPr>
      <w:r>
        <w:t>Option 1: The MNO may manage data collection through NAS signaling (or LPP for positioning).</w:t>
      </w:r>
    </w:p>
    <w:p>
      <w:pPr>
        <w:pStyle w:val="6"/>
        <w:numPr>
          <w:ilvl w:val="0"/>
          <w:numId w:val="25"/>
        </w:numPr>
        <w:rPr>
          <w:lang w:val="en-US"/>
        </w:rPr>
      </w:pPr>
      <w:r>
        <w:t>Option 2: Alternatively, the MNO may manage the data collection process from the CN to the UE via RAN nodes, utilizing RRC signaling.</w:t>
      </w:r>
    </w:p>
    <w:bookmarkEnd w:id="72"/>
    <w:p>
      <w:pPr>
        <w:pStyle w:val="6"/>
      </w:pPr>
      <w:r>
        <w:t>This level of control enables the MNO to directly manage the data collection process as required.</w:t>
      </w:r>
    </w:p>
    <w:bookmarkEnd w:id="73"/>
    <w:p>
      <w:pPr>
        <w:pStyle w:val="6"/>
      </w:pPr>
      <w:bookmarkStart w:id="74" w:name="OLE_LINK137"/>
      <w:r>
        <w:t xml:space="preserve">Q4.4: </w:t>
      </w:r>
      <w:bookmarkStart w:id="75" w:name="OLE_LINK134"/>
      <w:r>
        <w:t>Do the companies agree that in solution 2, the MNO’s control over the data collection for UE-side data collection is characterized by full controllability? Please clarify whether it is managed by a NF within the CN through NAS signaling directly (option 1) or through RRC signaling via RAN node (option 2), or others?</w:t>
      </w:r>
    </w:p>
    <w:bookmarkEnd w:id="74"/>
    <w:bookmarkEnd w:id="75"/>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76" w:name="OLE_LINK138"/>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 what RAN2 can clarify is the CN control for this solution, but the details of CN implementation can be discussed by SA2.</w:t>
            </w:r>
          </w:p>
          <w:p>
            <w:r>
              <w:t>In addition , we think the potential control methods for solution-2 can be also appliable to solution-1b.</w:t>
            </w:r>
          </w:p>
          <w:p>
            <w:r>
              <w:t xml:space="preserve">From signaling perspective, we believe the NAS layer signalling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but we have below question for clarification for option 2:</w:t>
            </w:r>
          </w:p>
          <w:p>
            <w:pPr>
              <w:pStyle w:val="26"/>
              <w:numPr>
                <w:ilvl w:val="0"/>
                <w:numId w:val="26"/>
              </w:numPr>
              <w:ind w:firstLineChars="0"/>
            </w:pPr>
            <w:r>
              <w:t>On RRC signaling, to help understanding, is it signaling like QoE (i.e. a transparent container in RRC message)?</w:t>
            </w:r>
          </w:p>
          <w:p>
            <w:r>
              <w:t>[Rapp 1] It’s possible that there is certain interaction between CN and RAN, and it is RAN which controls the data collection process through RRC message. If it is a transparent container in RRC message, it is considered as a variation of option 1 via NAS signaling?</w:t>
            </w:r>
          </w:p>
          <w:p>
            <w:r>
              <w:t>[Apple] Thanks for response. So, option 2 means CN (e.g. a NF) sends Radio configuration to RAN via N2 interface, and then RAN decode it and generate a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 to "the MNOs have full control over data collection configuration and collected data for UE-side model training, management and inference on the CN”.</w:t>
            </w:r>
          </w:p>
          <w:p>
            <w:r>
              <w:t>It is too early to decide the concrete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rPr>
                <w:u w:val="single"/>
              </w:rPr>
              <w:t>Option 1</w:t>
            </w:r>
            <w:r>
              <w:t>: Maybe. It isn’t clear how the CN could provide detailed configurations to the gNB, though.</w:t>
            </w:r>
          </w:p>
          <w:p/>
          <w:p>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p>
            <w:r>
              <w:t>For positioning data collection, we agree that LPP would be the mechanism used to manage data collection from the UE.</w:t>
            </w:r>
          </w:p>
          <w:p/>
          <w:p>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ype="textWrapping"/>
            </w:r>
            <w: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t>No.</w:t>
            </w:r>
          </w:p>
          <w:p>
            <w:r>
              <w:rPr>
                <w:rFonts w:hint="eastAsia"/>
              </w:rPr>
              <w:t>T</w:t>
            </w:r>
            <w:r>
              <w:t>he terminology "full controllability" is to be clarified. There has not been definitions for it.</w:t>
            </w:r>
          </w:p>
          <w:p>
            <w:r>
              <w:rPr>
                <w:rFonts w:hint="eastAsia"/>
              </w:rPr>
              <w:t>W</w:t>
            </w:r>
            <w:r>
              <w:t>e think it is too early to discuss the signaling details. In our understanding, we could discuss whether MNO has controllability over data collection process and data content at a high level.</w:t>
            </w:r>
          </w:p>
          <w:p>
            <w:r>
              <w:t>For controllability over data collection process, if solution 2 is to use control plane for data collection, MNO should to able to have controllability of data collection process.</w:t>
            </w:r>
          </w:p>
          <w:p>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t>Comments</w:t>
            </w:r>
          </w:p>
          <w:p>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 but</w:t>
            </w:r>
          </w:p>
          <w:p>
            <w:r>
              <w:t>For solution 2, the MNO/NW can have full control of the data transfer to and from UE and the server for UE-side data collection if option 2 is considered. It requires coordination between CN and RAN to manage the data transfer procedure.</w:t>
            </w:r>
          </w:p>
          <w:p>
            <w:r>
              <w:t xml:space="preserve">Same level of controllability, e.g., partial control as solution 1b is also possible for solution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See comment: </w:t>
            </w:r>
          </w:p>
          <w:p>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r>
              <w:rPr>
                <w:rFonts w:hint="eastAsia"/>
              </w:rPr>
              <w:t>I</w:t>
            </w:r>
            <w:r>
              <w:t>n this case, the CN has full controllability over the data collection, including:</w:t>
            </w:r>
          </w:p>
          <w:p>
            <w:pPr>
              <w:pStyle w:val="26"/>
              <w:numPr>
                <w:ilvl w:val="0"/>
                <w:numId w:val="19"/>
              </w:numPr>
              <w:ind w:firstLineChars="0"/>
            </w:pPr>
            <w:r>
              <w:rPr>
                <w:rFonts w:hint="eastAsia"/>
              </w:rPr>
              <w:t>Maintenance</w:t>
            </w:r>
            <w:r>
              <w:t xml:space="preserve"> </w:t>
            </w:r>
            <w:r>
              <w:rPr>
                <w:rFonts w:hint="eastAsia"/>
              </w:rPr>
              <w:t>of</w:t>
            </w:r>
            <w:r>
              <w:t xml:space="preserve"> user consent;</w:t>
            </w:r>
          </w:p>
          <w:p>
            <w:pPr>
              <w:pStyle w:val="26"/>
              <w:numPr>
                <w:ilvl w:val="0"/>
                <w:numId w:val="19"/>
              </w:numPr>
              <w:ind w:firstLineChars="0"/>
            </w:pPr>
            <w:r>
              <w:rPr>
                <w:rFonts w:hint="eastAsia"/>
              </w:rPr>
              <w:t>S</w:t>
            </w:r>
            <w:r>
              <w:t>election of desired UEs to enable the server only collects data from specific UE(s);</w:t>
            </w:r>
          </w:p>
          <w:p>
            <w:pPr>
              <w:pStyle w:val="26"/>
              <w:numPr>
                <w:ilvl w:val="0"/>
                <w:numId w:val="19"/>
              </w:numPr>
              <w:ind w:firstLineChars="0"/>
            </w:pPr>
            <w:r>
              <w:t>Management of the session/connection between UE and termination entity;</w:t>
            </w:r>
          </w:p>
          <w:p>
            <w:pPr>
              <w:pStyle w:val="26"/>
              <w:numPr>
                <w:ilvl w:val="0"/>
                <w:numId w:val="19"/>
              </w:numPr>
              <w:ind w:firstLineChars="0"/>
            </w:pPr>
            <w:r>
              <w:t>Awareness of data content.</w:t>
            </w:r>
          </w:p>
          <w:p>
            <w:r>
              <w:t xml:space="preserve">The LPP procedures can be </w:t>
            </w:r>
            <w:r>
              <w:rPr>
                <w:rFonts w:hint="eastAsia"/>
              </w:rPr>
              <w:t>categorized</w:t>
            </w:r>
            <w:r>
              <w:t xml:space="preserve">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pPr>
              <w:rPr>
                <w:b/>
              </w:rPr>
            </w:pPr>
            <w:r>
              <w:rPr>
                <w:rFonts w:hint="eastAsia"/>
              </w:rPr>
              <w:t>Y</w:t>
            </w:r>
            <w:r>
              <w:t>es for “MNO has full controllability”. But what the meaning of “full controllability” still needs further discussion.</w:t>
            </w:r>
          </w:p>
          <w:p>
            <w:r>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for the first part, NW have a full controllability over the data transfer between UE and CN.</w:t>
            </w:r>
          </w:p>
          <w:p>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pPr>
              <w:pStyle w:val="6"/>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Our understanding is that from UE perspective, NAS signalling (option 1)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 (see comment).</w:t>
            </w:r>
          </w:p>
          <w:p>
            <w:r>
              <w:t xml:space="preserve">Clearly in the case of Solution 2, the use of NAS or RRC signaling to transfer the collected data would have similar impacts to those identified for model transfer via CP, in TR 38.843 (refer to Table 7.3.1.4-1 and Table 7.3.1.4-2).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both Option 1 via NAS or Option 2 via RRC are possible for CN/gNB to control the transfer of collected training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Yes (please see additional comments) </w:t>
            </w:r>
          </w:p>
          <w:p>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but it needs to be defined what is meant by ‘Full’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with comments.</w:t>
            </w:r>
          </w:p>
          <w:p>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pPr>
              <w:pStyle w:val="6"/>
              <w:numPr>
                <w:ilvl w:val="0"/>
                <w:numId w:val="17"/>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Similar comment as above companies, definition of “full controllability” is not clear, e.g. whether this also includes the data content is configured by CN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w:t>
            </w:r>
          </w:p>
          <w:p>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r>
              <w:rPr>
                <w:rFonts w:hint="eastAsia"/>
              </w:rPr>
              <w:t xml:space="preserve">For opt 1 vs. opt 2, it depends on the use cases. For BM, we prefer opt 2. In this way, RAN2 can try to design the common framework for gNB-/CN-/OAM-centric training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 (regarding full controllability over the data transfer between the UE and CN). As we commented above, the protocol and actual entity that does the controlling can be discussed once we have progressed with the controllability aspect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 xml:space="preserve">Agree that “the MNO’s control over the data collection for UE-side data collection is characterized by full controllability”, with “full control” defined in Q4.1. </w:t>
            </w:r>
          </w:p>
          <w:p>
            <w:r>
              <w:t>It is too early to decide whether opt 1 or opt 2 should be used and it may be use case 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b/>
              </w:rPr>
            </w:pPr>
            <w:r>
              <w:t>DISH</w:t>
            </w:r>
          </w:p>
        </w:tc>
        <w:tc>
          <w:tcPr>
            <w:tcW w:w="7178" w:type="dxa"/>
            <w:tcBorders>
              <w:top w:val="single" w:color="auto" w:sz="4" w:space="0"/>
              <w:left w:val="single" w:color="auto" w:sz="4" w:space="0"/>
              <w:bottom w:val="single" w:color="auto" w:sz="4" w:space="0"/>
              <w:right w:val="single" w:color="auto" w:sz="4" w:space="0"/>
            </w:tcBorders>
          </w:tcPr>
          <w:p>
            <w:r>
              <w:t>For option 2, 3, MNO has full controllability and full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Comment. Initially, we believe that RAN2 should clarify the meaning of 'full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A</w:t>
            </w:r>
            <w:r>
              <w:rPr>
                <w:rFonts w:eastAsia="Yu Mincho"/>
                <w:lang w:eastAsia="ja-JP"/>
              </w:rPr>
              <w:t>gree with DISH, and other operators.</w:t>
            </w:r>
          </w:p>
          <w:p>
            <w:pPr>
              <w:rPr>
                <w:rFonts w:eastAsia="Yu Mincho"/>
                <w:lang w:eastAsia="ja-JP"/>
              </w:rPr>
            </w:pPr>
            <w:r>
              <w:rPr>
                <w:rFonts w:hint="eastAsia" w:eastAsia="Yu Mincho"/>
                <w:lang w:eastAsia="ja-JP"/>
              </w:rPr>
              <w:t>M</w:t>
            </w:r>
            <w:r>
              <w:rPr>
                <w:rFonts w:eastAsia="Yu Mincho"/>
                <w:lang w:eastAsia="ja-JP"/>
              </w:rPr>
              <w:t>NO should have full controllability and full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t xml:space="preserve">Agree that MNO should have full controllability and full visibility. It is important to agree the principles first. Details of signaling can be worked out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Pr>
          <w:p>
            <w:r>
              <w:t xml:space="preserve">For option 2, 3, MNO has full controllability and full visibility. RAN2 needs to define the additional data granularity that the AF would need to support and store.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r>
              <w:rPr>
                <w:rFonts w:hint="eastAsia"/>
              </w:rPr>
              <w:t>Yes, with comments</w:t>
            </w:r>
          </w:p>
          <w:p>
            <w:pPr>
              <w:rPr>
                <w:rFonts w:ascii="Times New Roman" w:hAnsi="Times New Roman" w:eastAsiaTheme="minorEastAsia" w:cstheme="minorBidi"/>
                <w:color w:val="000000" w:themeColor="text1"/>
                <w:sz w:val="21"/>
                <w:szCs w:val="22"/>
                <w:lang w:val="en-US" w:eastAsia="zh-CN" w:bidi="ar-SA"/>
                <w14:textFill>
                  <w14:solidFill>
                    <w14:schemeClr w14:val="tx1"/>
                  </w14:solidFill>
                </w14:textFill>
              </w:rPr>
            </w:pPr>
            <w:r>
              <w:rPr>
                <w:rFonts w:hint="eastAsia"/>
              </w:rPr>
              <w:t xml:space="preserve">For solution 2, the MNO is able to </w:t>
            </w:r>
            <w:r>
              <w:t>control</w:t>
            </w:r>
            <w:r>
              <w:rPr>
                <w:rFonts w:hint="eastAsia"/>
              </w:rPr>
              <w:t xml:space="preserve"> the collection training data, and the definition of </w:t>
            </w:r>
            <w:r>
              <w:t>"full controllability"</w:t>
            </w:r>
            <w:r>
              <w:rPr>
                <w:rFonts w:hint="eastAsia"/>
              </w:rPr>
              <w:t xml:space="preserve"> needs to be further clarified. From the signaling </w:t>
            </w:r>
            <w:r>
              <w:t>perspective</w:t>
            </w:r>
            <w:r>
              <w:rPr>
                <w:rFonts w:hint="eastAsia"/>
              </w:rPr>
              <w:t xml:space="preserve"> for the </w:t>
            </w:r>
            <w:r>
              <w:t>data collection process</w:t>
            </w:r>
            <w:r>
              <w:rPr>
                <w:rFonts w:hint="eastAsia"/>
              </w:rPr>
              <w:t xml:space="preserve">, we think both </w:t>
            </w:r>
            <w:r>
              <w:t>Option 1</w:t>
            </w:r>
            <w:r>
              <w:rPr>
                <w:rFonts w:hint="eastAsia"/>
              </w:rPr>
              <w:t xml:space="preserve">(NAS signaling) and </w:t>
            </w:r>
            <w:r>
              <w:t xml:space="preserve">Option </w:t>
            </w:r>
            <w:r>
              <w:rPr>
                <w:rFonts w:hint="eastAsia"/>
              </w:rPr>
              <w:t>2(RRC signaling)</w:t>
            </w:r>
            <w:r>
              <w:t xml:space="preserve"> </w:t>
            </w:r>
            <w:r>
              <w:rPr>
                <w:rFonts w:hint="eastAsia"/>
              </w:rPr>
              <w:t>seems</w:t>
            </w:r>
            <w:r>
              <w:t xml:space="preserve"> </w:t>
            </w:r>
            <w:r>
              <w:rPr>
                <w:rFonts w:hint="eastAsia"/>
              </w:rPr>
              <w:t xml:space="preserve">OK. </w:t>
            </w:r>
          </w:p>
        </w:tc>
      </w:tr>
      <w:bookmarkEnd w:id="76"/>
    </w:tbl>
    <w:p>
      <w:pPr>
        <w:pStyle w:val="6"/>
      </w:pPr>
    </w:p>
    <w:p>
      <w:pPr>
        <w:pStyle w:val="6"/>
      </w:pPr>
      <w: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pPr>
        <w:pStyle w:val="6"/>
      </w:pPr>
      <w:r>
        <w:t>Q4.5: Do the companies agree that in solution 3, the MNO’s control over the data collection for UE-side data collection is characterized by full controllability, managed by OAM through RRC signaling via RAN node</w:t>
      </w:r>
      <w:del w:id="114" w:author="作者">
        <w:r>
          <w:rPr/>
          <w:delText>, and with the ability to directly manage the data collection procedure</w:delText>
        </w:r>
      </w:del>
      <w: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77" w:name="OLE_LINK144"/>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what RAN2 can clarify is the OAM control for this solution, but the details of OAM implementation can be discussed by SA5. Meanwhile, it should be noted that the interface between OAM and RAN is non standardized interface. </w:t>
            </w:r>
          </w:p>
          <w:p>
            <w:r>
              <w:t xml:space="preserve">It would be helpful to clarify how the OAM manage the data collection procedure through RRC signaling via RAN node. </w:t>
            </w:r>
          </w:p>
          <w:p>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 to "the MNOs have full control over data collection configuration and collected data for UE-side model training, management and inference on the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pPr>
              <w:rPr>
                <w:color w:val="FF0000"/>
              </w:rPr>
            </w:pPr>
            <w:r>
              <w:rPr>
                <w:color w:val="FF0000"/>
              </w:rPr>
              <w:t>[Rapp1] I clarified the level of the full control. Please check.</w:t>
            </w:r>
          </w:p>
          <w:p>
            <w:r>
              <w:rPr>
                <w:color w:val="FF0000"/>
              </w:rPr>
              <w:t xml:space="preserve">[Ericsson reply]: thanks for clarification. How to achieve the controllability/visibility is certainly different for the different options, however, as we tried to explain in our reply to e.g. Q4.3, Q4.4, for all the options 1b, 2, 3, it is possible to achieve controllability and visibility over the data transfer procedure if the MNO is interested. For example, with the definition of “full controllability” given by the rapporteur, the possibility to initiate, terminate, and fully managing the volume of data is possible for all the options 1b, 2, 3, both for a UP- or CP-based solution. Hence the need to introduce this differentiation between full and partial controllability is not clear, since in our view the level of controllability ultimately depends on the MNO, rather than on limitations of a specific option. </w:t>
            </w:r>
            <w:r>
              <w:br w:type="textWrapping"/>
            </w:r>
            <w: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r>
              <w:rPr>
                <w:color w:val="FF0000"/>
              </w:rPr>
              <w:t>[Rapp1] This part is not important, so I removed it.</w:t>
            </w:r>
            <w:r>
              <w:br w:type="textWrapping"/>
            </w:r>
            <w: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t>No.</w:t>
            </w:r>
          </w:p>
          <w:p>
            <w:r>
              <w:rPr>
                <w:rFonts w:hint="eastAsia"/>
              </w:rPr>
              <w:t>T</w:t>
            </w:r>
            <w:r>
              <w:t>he terminology "full controllability" is to be clarified. There has not been definitions for it.</w:t>
            </w:r>
          </w:p>
          <w:p>
            <w:r>
              <w:rPr>
                <w:rFonts w:hint="eastAsia"/>
              </w:rPr>
              <w:t>W</w:t>
            </w:r>
            <w:r>
              <w:t>e think it is too early to discuss the signaling details. In our understanding, we could discuss whether MNO has controllability over data collection process and data content at a high level.</w:t>
            </w:r>
          </w:p>
          <w:p>
            <w:r>
              <w:t>For controllability over data collection process, if solution 3 is to use control plane for data collection, MNO should to able to have controllability of data collection process.</w:t>
            </w:r>
          </w:p>
          <w:p>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t>Comments</w:t>
            </w:r>
          </w:p>
          <w:p>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See comments:</w:t>
            </w:r>
          </w:p>
          <w:p>
            <w:r>
              <w:rPr>
                <w:rFonts w:hint="eastAsia"/>
              </w:rPr>
              <w:t>W</w:t>
            </w:r>
            <w:r>
              <w:t>e tend to focus on beam management for solution 3 and reuse MDT framework for NW side data collection, i.e., OAM collects data from UE via MDT and further transfers the data to the server.</w:t>
            </w:r>
          </w:p>
          <w:p>
            <w:r>
              <w:rPr>
                <w:rFonts w:hint="eastAsia"/>
              </w:rPr>
              <w:t>I</w:t>
            </w:r>
            <w:r>
              <w:t>n this case, the OAM and gNB have full controllability over the data collection, including:</w:t>
            </w:r>
          </w:p>
          <w:p>
            <w:pPr>
              <w:pStyle w:val="26"/>
              <w:numPr>
                <w:ilvl w:val="0"/>
                <w:numId w:val="19"/>
              </w:numPr>
              <w:ind w:firstLineChars="0"/>
            </w:pPr>
            <w:r>
              <w:rPr>
                <w:rFonts w:hint="eastAsia"/>
              </w:rPr>
              <w:t>Maintenance</w:t>
            </w:r>
            <w:r>
              <w:t xml:space="preserve"> </w:t>
            </w:r>
            <w:r>
              <w:rPr>
                <w:rFonts w:hint="eastAsia"/>
              </w:rPr>
              <w:t>of</w:t>
            </w:r>
            <w:r>
              <w:t xml:space="preserve"> user consent;</w:t>
            </w:r>
          </w:p>
          <w:p>
            <w:pPr>
              <w:pStyle w:val="26"/>
              <w:numPr>
                <w:ilvl w:val="0"/>
                <w:numId w:val="19"/>
              </w:numPr>
              <w:ind w:firstLineChars="0"/>
            </w:pPr>
            <w:r>
              <w:rPr>
                <w:rFonts w:hint="eastAsia"/>
              </w:rPr>
              <w:t>S</w:t>
            </w:r>
            <w:r>
              <w:t>election of desired UEs to enable the server only collects data from specific UE(s);</w:t>
            </w:r>
          </w:p>
          <w:p>
            <w:pPr>
              <w:pStyle w:val="26"/>
              <w:numPr>
                <w:ilvl w:val="0"/>
                <w:numId w:val="19"/>
              </w:numPr>
              <w:ind w:firstLineChars="0"/>
            </w:pPr>
            <w:r>
              <w:t>Management of the session/connection between UE and OAM;</w:t>
            </w:r>
          </w:p>
          <w:p>
            <w:pPr>
              <w:pStyle w:val="26"/>
              <w:numPr>
                <w:ilvl w:val="0"/>
                <w:numId w:val="19"/>
              </w:numPr>
              <w:ind w:firstLineChars="0"/>
            </w:pPr>
            <w:r>
              <w:t>Awareness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MDT </w:t>
            </w:r>
            <w:r>
              <w:t>mechanism</w:t>
            </w:r>
            <w:r>
              <w:rPr>
                <w:rFonts w:hint="eastAsia"/>
              </w:rPr>
              <w:t xml:space="preserve">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pPr>
              <w:pStyle w:val="6"/>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r>
              <w:rPr>
                <w:rFonts w:hint="eastAsia"/>
                <w:lang w:val="en-GB"/>
              </w:rPr>
              <w:t>MDT mechanism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 (see comment).</w:t>
            </w:r>
          </w:p>
          <w:p>
            <w:r>
              <w:t>Clearly in the case of Solution 3, the use of RRC signaling to transfer the collected data would have similar impacts to those identified for model transfer via CP, in TR 38.843 (refer to Table 7.3.1.4-1).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Lenovo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 xml:space="preserve">es, RRC can be used similar as for MDT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Yes. </w:t>
            </w:r>
          </w:p>
          <w:p>
            <w:r>
              <w:t xml:space="preserve">The CP-based solution may cause significant overhead over the control plane. Furthermore, note that defining all the parameters to be collected is infeasible, as training for target UE devices has more offline engineering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 but it needs to be defined what is meant by ‘Full’ controllability.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78" w:name="OLE_LINK150"/>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with similar comments to Q4.4.</w:t>
            </w:r>
          </w:p>
          <w:p>
            <w:r>
              <w:rPr>
                <w:rFonts w:hint="eastAsia"/>
              </w:rPr>
              <w:t>We understand that full control means that not only the procedure should be controllable, but also the data content should also be controllable. The definition is suggested to be revised as follows:</w:t>
            </w:r>
          </w:p>
          <w:p>
            <w:pPr>
              <w:pStyle w:val="6"/>
              <w:numPr>
                <w:ilvl w:val="0"/>
                <w:numId w:val="17"/>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Similar comment as above companies, definition of “full controllability” is not clear, e.g. whether this also includes the data content is configured by OAM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t>Y</w:t>
            </w:r>
            <w:r>
              <w:rPr>
                <w:rFonts w:hint="eastAsia"/>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Yes (with similar comments as in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p>
            <w:pPr>
              <w:rPr>
                <w:rFonts w:eastAsia="Yu Mincho"/>
                <w:lang w:eastAsia="ja-JP"/>
              </w:rPr>
            </w:pPr>
            <w:r>
              <w:rPr>
                <w:rFonts w:hint="eastAsia" w:eastAsia="Yu Mincho"/>
                <w:lang w:eastAsia="ja-JP"/>
              </w:rPr>
              <w:t>A</w:t>
            </w:r>
            <w:r>
              <w:rPr>
                <w:rFonts w:eastAsia="Yu Mincho"/>
                <w:lang w:eastAsia="ja-JP"/>
              </w:rPr>
              <w:t>s well as solution 2, for solution 3, MNO should have full controllability and full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t>Agree that MNO should have full controllability and full visibility. It is important to agree the principles first. Details of signaling can be worked out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eastAsia="宋体"/>
              </w:rPr>
            </w:pPr>
            <w:r>
              <w:t>Yes</w:t>
            </w:r>
            <w:r>
              <w:rPr>
                <w:rFonts w:hint="eastAsia"/>
              </w:rPr>
              <w:t xml:space="preserve">, </w:t>
            </w:r>
            <w:r>
              <w:t xml:space="preserve">similar comments </w:t>
            </w:r>
            <w:r>
              <w:rPr>
                <w:rFonts w:eastAsia="Yu Mincho"/>
                <w:lang w:eastAsia="ja-JP"/>
              </w:rPr>
              <w:t>as solution 2</w:t>
            </w:r>
            <w:r>
              <w:rPr>
                <w:rFonts w:hint="eastAsia" w:eastAsia="宋体"/>
              </w:rPr>
              <w:t>.</w:t>
            </w:r>
            <w:r>
              <w:rPr>
                <w:rFonts w:hint="eastAsia"/>
              </w:rPr>
              <w:t xml:space="preserve"> MNO is able to </w:t>
            </w:r>
            <w:r>
              <w:t>control</w:t>
            </w:r>
            <w:r>
              <w:rPr>
                <w:rFonts w:hint="eastAsia"/>
              </w:rPr>
              <w:t xml:space="preserve"> the collection training data, and the definition of </w:t>
            </w:r>
            <w:r>
              <w:t>"full controllability"</w:t>
            </w:r>
            <w:r>
              <w:rPr>
                <w:rFonts w:hint="eastAsia"/>
              </w:rPr>
              <w:t xml:space="preserve"> needs to be further clarified.</w:t>
            </w:r>
          </w:p>
          <w:p>
            <w:pPr>
              <w:rPr>
                <w:rFonts w:ascii="Times New Roman" w:hAnsi="Times New Roman" w:eastAsiaTheme="minorEastAsia" w:cstheme="minorBidi"/>
                <w:color w:val="000000" w:themeColor="text1"/>
                <w:sz w:val="21"/>
                <w:szCs w:val="22"/>
                <w:lang w:val="en-US" w:eastAsia="zh-CN" w:bidi="ar-SA"/>
                <w14:textFill>
                  <w14:solidFill>
                    <w14:schemeClr w14:val="tx1"/>
                  </w14:solidFill>
                </w14:textFill>
              </w:rPr>
            </w:pPr>
            <w:r>
              <w:rPr>
                <w:rFonts w:hint="eastAsia"/>
                <w:lang w:val="en-US" w:eastAsia="zh-CN"/>
              </w:rPr>
              <w:t xml:space="preserve">Moreover, </w:t>
            </w:r>
            <w:r>
              <w:rPr>
                <w:rFonts w:hint="eastAsia"/>
              </w:rPr>
              <w:t xml:space="preserve">MDT </w:t>
            </w:r>
            <w:r>
              <w:t>mechanism</w:t>
            </w:r>
            <w:r>
              <w:rPr>
                <w:rFonts w:hint="eastAsia"/>
              </w:rPr>
              <w:t xml:space="preserve"> can be regarded as a baseline for </w:t>
            </w:r>
            <w:r>
              <w:t>OAM</w:t>
            </w:r>
            <w:r>
              <w:rPr>
                <w:rFonts w:hint="eastAsia"/>
              </w:rPr>
              <w:t>.</w:t>
            </w:r>
          </w:p>
        </w:tc>
      </w:tr>
      <w:bookmarkEnd w:id="77"/>
    </w:tbl>
    <w:p>
      <w:pPr>
        <w:pStyle w:val="3"/>
        <w:rPr>
          <w:rFonts w:eastAsiaTheme="minorEastAsia"/>
          <w:lang w:eastAsia="zh-TW"/>
        </w:rPr>
      </w:pPr>
      <w:r>
        <w:rPr>
          <w:rFonts w:eastAsiaTheme="minorEastAsia"/>
          <w:lang w:eastAsia="zh-TW"/>
        </w:rPr>
        <w:t>2.5 Visibility of data content in MNO</w:t>
      </w:r>
    </w:p>
    <w:bookmarkEnd w:id="78"/>
    <w:p>
      <w:pPr>
        <w:pStyle w:val="6"/>
      </w:pPr>
      <w:bookmarkStart w:id="79" w:name="OLE_LINK143"/>
      <w:r>
        <w:t xml:space="preserve">As a preliminary measure, the nature of the data content can be described by its format, type, value and others. Visibility refers to the extent to which the MNO is able to </w:t>
      </w:r>
      <w:ins w:id="115" w:author="作者">
        <w:r>
          <w:rPr/>
          <w:t xml:space="preserve">be </w:t>
        </w:r>
      </w:ins>
      <w:r>
        <w:t xml:space="preserve">aware, access or even comprehend this data content. </w:t>
      </w:r>
    </w:p>
    <w:p>
      <w:pPr>
        <w:pStyle w:val="6"/>
      </w:pPr>
      <w:bookmarkStart w:id="80" w:name="OLE_LINK37"/>
      <w:r>
        <w:t xml:space="preserve">Companies are invited to provide the definition on visibility and to what extent (aware, access or comprehend) the visibility is preferred. </w:t>
      </w:r>
    </w:p>
    <w:p>
      <w:pPr>
        <w:pStyle w:val="6"/>
      </w:pPr>
      <w:r>
        <w:rPr>
          <w:rFonts w:hint="eastAsia"/>
        </w:rPr>
        <w:t>Q</w:t>
      </w:r>
      <w:r>
        <w:t>5.1 Companies are invited to clarify their understanding of data content visibility and specify their preferred level of visibility.</w:t>
      </w:r>
    </w:p>
    <w:bookmarkEnd w:id="8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In our understanding, the data content should be only visible by the termination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First, it is not clear whether the “data content visibility” could comply with regulations in different countries, e.g. GDPR. It is beyond 3GPP scope to define those requirements/mechanisms closely related based on legal grounds. </w:t>
            </w:r>
          </w:p>
          <w:p/>
          <w:p>
            <w:r>
              <w:t xml:space="preserve">Second, assuming 3GPP is going to work on this requirement, we believe it is in remit of SA1 instead of RAN2. So, RAN2 should not define any requirement on behalf of SA1. </w:t>
            </w:r>
          </w:p>
          <w:p/>
          <w:p>
            <w:r>
              <w:t>Third, regarding partial and fully data content visibility, SA3 should be consulted as there is potential impact on UE privacy and security and potential contradict with regional regulations.</w:t>
            </w:r>
          </w:p>
          <w:p/>
          <w:p>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pPr>
              <w:pStyle w:val="26"/>
              <w:numPr>
                <w:ilvl w:val="0"/>
                <w:numId w:val="27"/>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pPr>
              <w:pStyle w:val="26"/>
              <w:numPr>
                <w:ilvl w:val="0"/>
                <w:numId w:val="27"/>
              </w:numPr>
              <w:ind w:firstLineChars="0"/>
            </w:pPr>
            <w:r>
              <w:t xml:space="preserve">RAN2 should not agree any definition and requirements on “visibility”. </w:t>
            </w:r>
          </w:p>
          <w:p>
            <w:pPr>
              <w:pStyle w:val="26"/>
              <w:numPr>
                <w:ilvl w:val="0"/>
                <w:numId w:val="27"/>
              </w:numPr>
              <w:ind w:firstLineChars="0"/>
            </w:pPr>
            <w:r>
              <w:t>Without proper definition and requirements from SA1 and guidance from SA3, RAN2 shall not conclude any solutions as it may contradict with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visibility for us mean awareness, access, and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p>
            <w:r>
              <w:t>We think that both characteristics are necessary to enable full visibility from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OK with the definition given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I</w:t>
            </w:r>
            <w:r>
              <w:t>n our understanding, visiblity of data content means each data to be collected should be standardized in relevant signalling level. It means that MNO should be able to see from the collected data what has been collected from UEs/users.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M</w:t>
            </w:r>
            <w:r>
              <w:t>y understanding of full data visibility has two levels of meanings:</w:t>
            </w:r>
          </w:p>
          <w:p>
            <w:r>
              <w:rPr>
                <w:rFonts w:hint="eastAsia"/>
              </w:rPr>
              <w:t>L</w:t>
            </w:r>
            <w:r>
              <w:t>evel 1: all collected data metrics are specified with open format, which means the data format is clearly defined in the spec.</w:t>
            </w:r>
          </w:p>
          <w:p>
            <w:r>
              <w:rPr>
                <w:rFonts w:hint="eastAsia"/>
              </w:rPr>
              <w:t>L</w:t>
            </w:r>
            <w:r>
              <w:t>evel 2: no vendor can get more info from the specified data.</w:t>
            </w:r>
          </w:p>
          <w:p>
            <w:r>
              <w:rPr>
                <w:rFonts w:hint="eastAsia"/>
              </w:rPr>
              <w:t>F</w:t>
            </w:r>
            <w:r>
              <w:t>or instance, RSRP metric collected via RRC, this data type is specified and the physically meaning is the same no matter which vendor gets this data.</w:t>
            </w:r>
          </w:p>
          <w:p/>
          <w:p>
            <w:r>
              <w:rPr>
                <w:rFonts w:hint="eastAsia"/>
              </w:rPr>
              <w:t>M</w:t>
            </w:r>
            <w:r>
              <w:t>y understanding of Partial data visibility has two levels of meanings:</w:t>
            </w:r>
          </w:p>
          <w:p>
            <w:r>
              <w:rPr>
                <w:rFonts w:hint="eastAsia"/>
              </w:rPr>
              <w:t>L</w:t>
            </w:r>
            <w:r>
              <w:t>evel 1: all collected data metrics are specified with open format, which means the data format is clearly defined in the spec.</w:t>
            </w:r>
          </w:p>
          <w:p>
            <w:r>
              <w:rPr>
                <w:rFonts w:hint="eastAsia"/>
              </w:rPr>
              <w:t>L</w:t>
            </w:r>
            <w:r>
              <w:t>evel 2: some vendor can get more info from the specified data.</w:t>
            </w:r>
          </w:p>
          <w:p>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p>
            <w:r>
              <w:rPr>
                <w:rFonts w:hint="eastAsia"/>
              </w:rPr>
              <w:t>M</w:t>
            </w:r>
            <w:r>
              <w:t>y understanding of no data visibility has one level of meanings:</w:t>
            </w:r>
          </w:p>
          <w:p>
            <w:r>
              <w:rPr>
                <w:rFonts w:hint="eastAsia"/>
              </w:rPr>
              <w:t>L</w:t>
            </w:r>
            <w:r>
              <w:t>evel 1: collected data metric is unspecified with proprietary format, which means the data format is not defined in the spec, something like a container.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L</w:t>
            </w:r>
            <w:r>
              <w:t>evel 0: MNO entity is not aware of data collection procedure;</w:t>
            </w:r>
          </w:p>
          <w:p>
            <w:r>
              <w:rPr>
                <w:rFonts w:hint="eastAsia"/>
              </w:rPr>
              <w:t>L</w:t>
            </w:r>
            <w:r>
              <w:t xml:space="preserve">evel 1: MNO entity is aware of data collection procedure, and the collected data may be in </w:t>
            </w:r>
            <w:r>
              <w:rPr>
                <w:rFonts w:hint="eastAsia"/>
              </w:rPr>
              <w:t>s</w:t>
            </w:r>
            <w:r>
              <w:t>tring format as a container;</w:t>
            </w:r>
          </w:p>
          <w:p>
            <w:r>
              <w:rPr>
                <w:rFonts w:hint="eastAsia"/>
              </w:rPr>
              <w:t>L</w:t>
            </w:r>
            <w:r>
              <w:t>evel 2: MNO entity is aware of the type and value of collected data, that is, the data is with specified format and value.</w:t>
            </w:r>
          </w:p>
          <w:p>
            <w:r>
              <w:t xml:space="preserve">From our perspective, </w:t>
            </w:r>
            <w:r>
              <w:rPr>
                <w:rFonts w:hint="eastAsia"/>
              </w:rPr>
              <w:t>L</w:t>
            </w:r>
            <w:r>
              <w:t>evel 2 is preferred for solutions 1b/2/3.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t>OK with the definition given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w:t>
            </w:r>
            <w:r>
              <w:t>preadtrum</w:t>
            </w:r>
          </w:p>
        </w:tc>
        <w:tc>
          <w:tcPr>
            <w:tcW w:w="7178" w:type="dxa"/>
          </w:tcPr>
          <w:p>
            <w:r>
              <w:t>Our understanding of data visibility:</w:t>
            </w:r>
          </w:p>
          <w:p>
            <w:r>
              <w:t>Level 1: MNO is unaware of data collection procedure;</w:t>
            </w:r>
          </w:p>
          <w:p>
            <w:r>
              <w:t>Level 2: MNO is aware of data collection procedure but unaware of what type of data is transferred.</w:t>
            </w:r>
          </w:p>
          <w:p>
            <w:r>
              <w:t>Level 3: MNO is aware of data collection procedure and what type of data is transferred, but unaware of the specific content/value of the data.</w:t>
            </w:r>
          </w:p>
          <w:p>
            <w:r>
              <w:t>Level 4: MNO is aware of data collection procedure, what type of data is transferred, and aware of the specific content/value of the data.</w:t>
            </w:r>
          </w:p>
          <w:p>
            <w:r>
              <w:t xml:space="preserve">We prefer to apply </w:t>
            </w:r>
            <w:r>
              <w:rPr>
                <w:rFonts w:hint="eastAsia"/>
              </w:rPr>
              <w:t>L</w:t>
            </w:r>
            <w:r>
              <w:t>evel 1 for option 1a, Level 2 or 3 for option 1b, and Level 4 for option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Z</w:t>
            </w:r>
            <w:r>
              <w:t>TE</w:t>
            </w:r>
          </w:p>
        </w:tc>
        <w:tc>
          <w:tcPr>
            <w:tcW w:w="7178" w:type="dxa"/>
          </w:tcPr>
          <w:p>
            <w:r>
              <w:rPr>
                <w:rFonts w:hint="eastAsia"/>
              </w:rPr>
              <w:t>G</w:t>
            </w:r>
            <w:r>
              <w:t xml:space="preserve">enerally okay with the rapporteur’s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V</w:t>
            </w:r>
            <w:r>
              <w:t>isibility for us mean</w:t>
            </w:r>
            <w:r>
              <w:rPr>
                <w:rFonts w:hint="eastAsia"/>
              </w:rPr>
              <w:t xml:space="preserve"> the data content can be readable in real time and wrote by MNO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The discussion on data content visibility and granularity/level of content visibility will require clear understanding of the data content for UE-side model training, which is an objective of this WI and currently under discussion in RAN1 [</w:t>
            </w:r>
            <w:r>
              <w:fldChar w:fldCharType="begin"/>
            </w:r>
            <w:r>
              <w:instrText xml:space="preserve"> HYPERLINK "http://ftp.3gpp.org/tsg_ran/TSG_RAN/TSGR_103/Docs/RP-240774.zip" </w:instrText>
            </w:r>
            <w:r>
              <w:fldChar w:fldCharType="separate"/>
            </w:r>
            <w:r>
              <w:rPr>
                <w:rStyle w:val="17"/>
                <w:rFonts w:cs="Times New Roman"/>
                <w:sz w:val="19"/>
              </w:rPr>
              <w:t>RP-240774</w:t>
            </w:r>
            <w:r>
              <w:rPr>
                <w:rStyle w:val="17"/>
                <w:rFonts w:cs="Times New Roman"/>
                <w:sz w:val="19"/>
              </w:rPr>
              <w:fldChar w:fldCharType="end"/>
            </w:r>
            <w:r>
              <w:rPr>
                <w:sz w:val="19"/>
              </w:rPr>
              <w:t>]:</w:t>
            </w:r>
            <w:r>
              <w:t xml:space="preserve"> </w:t>
            </w:r>
          </w:p>
          <w:p>
            <w:pPr>
              <w:pStyle w:val="26"/>
              <w:numPr>
                <w:ilvl w:val="0"/>
                <w:numId w:val="22"/>
              </w:numPr>
              <w:ind w:firstLineChars="0"/>
              <w:rPr>
                <w:lang w:val="en-GB" w:eastAsia="en-GB"/>
              </w:rPr>
            </w:pPr>
            <w:r>
              <w:rPr>
                <w:lang w:val="en-GB" w:eastAsia="en-GB"/>
              </w:rPr>
              <w:t xml:space="preserve">CN/OAM/OTT collection of UE-sided model training data [RAN2/RAN1]: </w:t>
            </w:r>
          </w:p>
          <w:p>
            <w:pPr>
              <w:pStyle w:val="26"/>
              <w:numPr>
                <w:ilvl w:val="1"/>
                <w:numId w:val="22"/>
              </w:numPr>
              <w:ind w:firstLineChars="0"/>
            </w:pPr>
            <w:r>
              <w:rPr>
                <w:lang w:val="en-GB" w:eastAsia="en-GB"/>
              </w:rPr>
              <w:t xml:space="preserve">For the FS_NR_AIML_Air study use cases, </w:t>
            </w:r>
            <w:r>
              <w:rPr>
                <w:highlight w:val="yellow"/>
                <w:lang w:val="en-GB" w:eastAsia="en-GB"/>
              </w:rPr>
              <w:t>identify the corresponding contents of UE data collection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N</w:t>
            </w:r>
            <w:r>
              <w:t>ot sure about “aware” of data content, does it mean MNO is “aware” of the collected data transfer? Or it means MNO is “aware” of the data type transferred?</w:t>
            </w:r>
          </w:p>
          <w:p/>
          <w:p>
            <w:r>
              <w:rPr>
                <w:rFonts w:hint="eastAsia"/>
              </w:rPr>
              <w:t>N</w:t>
            </w:r>
            <w:r>
              <w:t>ot sure about the difference between “access” and “comprehend”. How can one have access to the data but cannot comprehend, or vice versa?</w:t>
            </w:r>
          </w:p>
          <w:p/>
          <w:p>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 xml:space="preserve">Okay with the rapporteur’s definition. </w:t>
            </w:r>
          </w:p>
          <w:p/>
          <w:p>
            <w:r>
              <w:t>Companies arguing for real-time read/write, in our understanding is that even MDT solutions do not support real-time read/write. Real-time read/write for data that are used for UE-side model training is not justifiable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 xml:space="preserve">OK, as a generic definition provided by the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We share similar understanding with vivo on the level of visibility.</w:t>
            </w:r>
          </w:p>
          <w:p>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rPr>
                <w:rFonts w:hint="eastAsia"/>
              </w:rPr>
              <w:t xml:space="preserve">Ok with the definition </w:t>
            </w:r>
            <w:r>
              <w:t>provided</w:t>
            </w:r>
            <w:r>
              <w:rPr>
                <w:rFonts w:hint="eastAsia"/>
              </w:rPr>
              <w:t xml:space="preserve">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It really depends on how the MNO wants to manage/control the data collection. From our perspective, some aspects of the visibility of the data content, depending on the level of visibility, may include</w:t>
            </w:r>
          </w:p>
          <w:p>
            <w:pPr>
              <w:pStyle w:val="26"/>
              <w:numPr>
                <w:ilvl w:val="0"/>
                <w:numId w:val="28"/>
              </w:numPr>
              <w:ind w:firstLineChars="0"/>
            </w:pPr>
            <w:r>
              <w:t>What use case the data is collected for.</w:t>
            </w:r>
          </w:p>
          <w:p>
            <w:pPr>
              <w:pStyle w:val="26"/>
              <w:numPr>
                <w:ilvl w:val="0"/>
                <w:numId w:val="28"/>
              </w:numPr>
              <w:ind w:firstLineChars="0"/>
            </w:pPr>
            <w:r>
              <w:t>What data is collected.</w:t>
            </w:r>
          </w:p>
          <w:p>
            <w:pPr>
              <w:pStyle w:val="26"/>
              <w:numPr>
                <w:ilvl w:val="0"/>
                <w:numId w:val="28"/>
              </w:numPr>
              <w:ind w:firstLineChars="0"/>
            </w:pPr>
            <w:r>
              <w:t>The way of interpreting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Agree with BT on visibility scope: awareness, access, and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r>
              <w:t>We share the same view as the rapporteur, which is ‘aware, access or comprehend.’ Furthermore, it depends on the solutions (i.e., 1a, 1b, 2, or 3) and/or the server location, whether it is inside or outside of the MNO, or owned by the MNO or a third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A</w:t>
            </w:r>
            <w:r>
              <w:rPr>
                <w:rFonts w:eastAsia="Yu Mincho"/>
                <w:lang w:eastAsia="ja-JP"/>
              </w:rPr>
              <w:t>gree with BT.</w:t>
            </w:r>
          </w:p>
          <w:p>
            <w:pPr>
              <w:rPr>
                <w:rFonts w:eastAsia="Yu Mincho"/>
                <w:lang w:eastAsia="ja-JP"/>
              </w:rPr>
            </w:pPr>
            <w:r>
              <w:rPr>
                <w:rFonts w:eastAsia="Yu Mincho"/>
                <w:lang w:eastAsia="ja-JP"/>
              </w:rPr>
              <w:t xml:space="preserve">Awareness, access, </w:t>
            </w:r>
            <w:r>
              <w:rPr>
                <w:rFonts w:eastAsia="Yu Mincho"/>
                <w:b/>
                <w:bCs/>
                <w:lang w:eastAsia="ja-JP"/>
              </w:rPr>
              <w:t>and</w:t>
            </w:r>
            <w:r>
              <w:rPr>
                <w:rFonts w:eastAsia="Yu Mincho"/>
                <w:lang w:eastAsia="ja-JP"/>
              </w:rPr>
              <w:t xml:space="preserve">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Verizon</w:t>
            </w:r>
          </w:p>
        </w:tc>
        <w:tc>
          <w:tcPr>
            <w:tcW w:w="7178" w:type="dxa"/>
          </w:tcPr>
          <w:p>
            <w:pPr>
              <w:rPr>
                <w:rFonts w:eastAsia="Yu Mincho"/>
                <w:lang w:eastAsia="ja-JP"/>
              </w:rPr>
            </w:pPr>
            <w:r>
              <w:rPr>
                <w:rFonts w:eastAsia="Yu Mincho"/>
                <w:lang w:eastAsia="ja-JP"/>
              </w:rPr>
              <w:t xml:space="preserve">Agree with BT, Dish, DCM. Scope of visibility includes </w:t>
            </w:r>
            <w:r>
              <w:t xml:space="preserve">awareness, access, and comprehension.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T-Mobile</w:t>
            </w:r>
          </w:p>
        </w:tc>
        <w:tc>
          <w:tcPr>
            <w:tcW w:w="7178" w:type="dxa"/>
          </w:tcPr>
          <w:p>
            <w:pPr>
              <w:rPr>
                <w:rFonts w:eastAsia="Yu Mincho"/>
                <w:lang w:eastAsia="ja-JP"/>
              </w:rPr>
            </w:pPr>
            <w:r>
              <w:t>Agree with BT on visibility scope: awareness, access, and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t>OK with the definition</w:t>
            </w:r>
            <w:r>
              <w:rPr>
                <w:rFonts w:hint="eastAsia"/>
              </w:rPr>
              <w:t xml:space="preserve"> provided </w:t>
            </w:r>
            <w:r>
              <w:t>by the rapporteur.</w:t>
            </w:r>
          </w:p>
        </w:tc>
      </w:tr>
    </w:tbl>
    <w:p>
      <w:pPr>
        <w:pStyle w:val="6"/>
      </w:pPr>
    </w:p>
    <w:p>
      <w:pPr>
        <w:pStyle w:val="6"/>
      </w:pPr>
      <w:r>
        <w:t>As an initial step, we define the levels of data content visibility within the MNO as follows:</w:t>
      </w:r>
    </w:p>
    <w:bookmarkEnd w:id="79"/>
    <w:p>
      <w:pPr>
        <w:pStyle w:val="6"/>
        <w:numPr>
          <w:ilvl w:val="0"/>
          <w:numId w:val="23"/>
        </w:numPr>
      </w:pPr>
      <w:r>
        <w:t>No visibility: MNO is not aware of the collected data and cannot access the data content.</w:t>
      </w:r>
    </w:p>
    <w:p>
      <w:pPr>
        <w:pStyle w:val="6"/>
        <w:numPr>
          <w:ilvl w:val="0"/>
          <w:numId w:val="23"/>
        </w:numPr>
      </w:pPr>
      <w:r>
        <w:t xml:space="preserve">Partial visibility: </w:t>
      </w:r>
      <w:bookmarkStart w:id="81" w:name="OLE_LINK146"/>
      <w:r>
        <w:t>The MNO is aware of the collected data, has limited access/comprehension to some elements of the data content, allowing for limited access.</w:t>
      </w:r>
      <w:bookmarkEnd w:id="81"/>
    </w:p>
    <w:p>
      <w:pPr>
        <w:pStyle w:val="6"/>
        <w:numPr>
          <w:ilvl w:val="0"/>
          <w:numId w:val="23"/>
        </w:numPr>
      </w:pPr>
      <w:r>
        <w:t>Full visibility: The MNO is aware of the collected data, has complete access to all aspects of the data content, enabling thorough comprehension</w:t>
      </w:r>
      <w:del w:id="116" w:author="作者">
        <w:r>
          <w:rPr/>
          <w:delText xml:space="preserve"> if needed</w:delText>
        </w:r>
      </w:del>
      <w:r>
        <w:t>.</w:t>
      </w:r>
    </w:p>
    <w:p>
      <w:pPr>
        <w:pStyle w:val="6"/>
      </w:pPr>
      <w:r>
        <w:t xml:space="preserve">For solution 1a), the MNO has no visibility of data content. For solution 1b), the MNO has no or partial visibility of data content depending on the SLA. For solution 2 and 3, the MNO is able to have full visibility of the data content. </w:t>
      </w:r>
    </w:p>
    <w:p>
      <w:pPr>
        <w:pStyle w:val="6"/>
      </w:pPr>
      <w:bookmarkStart w:id="82" w:name="OLE_LINK145"/>
      <w:r>
        <w:t>Q5.2: Do companies agree that in solution 1a) MNO has no visibility of data content for UE-side data collection?</w:t>
      </w:r>
    </w:p>
    <w:bookmarkEnd w:id="82"/>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83" w:name="OLE_LINK147"/>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t>NEC</w:t>
            </w:r>
          </w:p>
        </w:tc>
        <w:tc>
          <w:tcPr>
            <w:tcW w:w="7178" w:type="dxa"/>
            <w:tcBorders>
              <w:top w:val="single" w:color="auto" w:sz="4" w:space="0"/>
              <w:left w:val="single" w:color="auto" w:sz="4" w:space="0"/>
              <w:bottom w:val="single" w:color="auto" w:sz="4" w:space="0"/>
              <w:right w:val="single" w:color="auto" w:sz="4" w:space="0"/>
            </w:tcBorders>
          </w:tcPr>
          <w:p>
            <w:pPr>
              <w:rPr>
                <w:sz w:val="20"/>
                <w:szCs w:val="20"/>
              </w:rPr>
            </w:pPr>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No. </w:t>
            </w:r>
          </w:p>
          <w:p>
            <w:r>
              <w:t>In solution 1a), it is still possible that part of data content compliance with regulations can be visible to MNO via offline engineering between particular pair of MNO and UE vendor. Thus, we suggest below change:</w:t>
            </w:r>
          </w:p>
          <w:p>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r>
              <w:t xml:space="preserve">[vivo] I agree we should be careful with the wording, but we do not think RAN2 is the right WG to make assessment on “compliance with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visibility for us mean awareness, access, and comprehend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 xml:space="preserve">Yes. While the MNO might be able to infer something about traffic to a certain IP address, the </w:t>
            </w:r>
            <w:r>
              <w:rPr>
                <w:u w:val="single"/>
              </w:rPr>
              <w:t>contents of the data</w:t>
            </w:r>
            <w:r>
              <w:t xml:space="preserve"> would be unknown to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F</w:t>
            </w:r>
            <w:r>
              <w:t>or full visibility, it means complete access to data content, without any conditions, so the wording "if needed" is unclear to us. In addition, with this wording "if needed", the boundary between partial visiblity and full visibility is unclear.</w:t>
            </w:r>
          </w:p>
          <w:p>
            <w:r>
              <w:t>So we suggest to remove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w:t>
            </w:r>
          </w:p>
        </w:tc>
      </w:tr>
      <w:bookmark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bookmarkStart w:id="84" w:name="OLE_LINK148"/>
            <w:r>
              <w:rPr>
                <w:rFonts w:hint="eastAsia"/>
              </w:rPr>
              <w:t>CATT</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S</w:t>
            </w:r>
            <w:r>
              <w:t>preadtrum</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Z</w:t>
            </w:r>
            <w:r>
              <w:t>TE</w:t>
            </w:r>
          </w:p>
        </w:tc>
        <w:tc>
          <w:tcPr>
            <w:tcW w:w="7178" w:type="dxa"/>
          </w:tcPr>
          <w:p>
            <w:r>
              <w:rPr>
                <w:rFonts w:hint="eastAsia"/>
              </w:rPr>
              <w:t>Y</w:t>
            </w:r>
            <w:r>
              <w:t>es with comments</w:t>
            </w:r>
          </w:p>
          <w:p>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It</w:t>
            </w:r>
            <w:r>
              <w:t>’</w:t>
            </w:r>
            <w:r>
              <w:rPr>
                <w:rFonts w:hint="eastAsia"/>
              </w:rPr>
              <w:t>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Xiaomi</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No.</w:t>
            </w:r>
          </w:p>
          <w:p>
            <w:r>
              <w:t xml:space="preserve">What is the meaning of “limited access/comprehension”? In our view, it should be “comprehend” or “not comprehend”, i.e., only two levels. </w:t>
            </w:r>
          </w:p>
          <w:p/>
          <w:p>
            <w:r>
              <w:t>Additionally, it should be clear that the term “visibility of data” refers to “standardized data format”.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Not required but can be provided if an SLA exists between MNO and vendor.</w:t>
            </w:r>
          </w:p>
          <w:p>
            <w:r>
              <w:t>Although there is no requirement of SLA for solution 1a). However, an SLA can exist between MNO and vendor, and based on the SLA there can be “Full visibility”, “Partial visibility”, or “No Visibility” as defined by rapp.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Yes, it is totally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Yes. Solution 1a in our understanding is transferred outside of 3GPP network (i.e. IP, WLAN, etc), hence, MNO has no visibility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t>Y</w:t>
            </w:r>
            <w:r>
              <w:rPr>
                <w:rFonts w:hint="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 but 1a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Verizon</w:t>
            </w:r>
          </w:p>
        </w:tc>
        <w:tc>
          <w:tcPr>
            <w:tcW w:w="7178" w:type="dxa"/>
          </w:tcPr>
          <w:p>
            <w:pPr>
              <w:rPr>
                <w:rFonts w:eastAsia="Yu Mincho"/>
                <w:lang w:eastAsia="ja-JP"/>
              </w:rPr>
            </w:pPr>
            <w:r>
              <w:rPr>
                <w:rFonts w:eastAsia="Yu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T-Mobile USA</w:t>
            </w:r>
          </w:p>
        </w:tc>
        <w:tc>
          <w:tcPr>
            <w:tcW w:w="7178" w:type="dxa"/>
          </w:tcPr>
          <w:p>
            <w:pPr>
              <w:rPr>
                <w:rFonts w:eastAsia="Yu Mincho"/>
                <w:lang w:eastAsia="ja-JP"/>
              </w:rPr>
            </w:pPr>
            <w:r>
              <w:rPr>
                <w:rFonts w:hint="eastAsia" w:eastAsia="Yu Mincho"/>
                <w:lang w:eastAsia="ja-JP"/>
              </w:rPr>
              <w:t>Y</w:t>
            </w:r>
            <w:r>
              <w:rPr>
                <w:rFonts w:eastAsia="Yu Mincho"/>
                <w:lang w:eastAsia="ja-JP"/>
              </w:rPr>
              <w:t>es, but 1a is out of 3GPP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vAlign w:val="top"/>
          </w:tcPr>
          <w:p>
            <w:pPr>
              <w:rPr>
                <w:rFonts w:hint="eastAsia"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Yes</w:t>
            </w:r>
          </w:p>
        </w:tc>
      </w:tr>
    </w:tbl>
    <w:p>
      <w:pPr>
        <w:pStyle w:val="6"/>
      </w:pPr>
    </w:p>
    <w:p>
      <w:pPr>
        <w:pStyle w:val="6"/>
      </w:pPr>
      <w:r>
        <w:t>Q5.3: Do companies agree that in solution 1b) MNO has no or partial visibility of data content for UE-side data collection depending on SLA?</w:t>
      </w:r>
    </w:p>
    <w:bookmarkEnd w:id="84"/>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85" w:name="OLE_LINK14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No, we think the data content should be visible to the CN entity as solution 2. </w:t>
            </w:r>
          </w:p>
          <w:p>
            <w:r>
              <w:t>[Rapp] This question is for solution 1b, not solution2.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 with comments:</w:t>
            </w:r>
          </w:p>
          <w:p>
            <w:pPr>
              <w:pStyle w:val="26"/>
              <w:numPr>
                <w:ilvl w:val="0"/>
                <w:numId w:val="29"/>
              </w:numPr>
              <w:ind w:firstLineChars="0"/>
            </w:pPr>
            <w: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pPr>
              <w:pStyle w:val="26"/>
              <w:numPr>
                <w:ilvl w:val="0"/>
                <w:numId w:val="29"/>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p>
            <w:r>
              <w:t>And similar to Q5.3, we think the partial visibility of data content should also fulfill compliance with regulations. Thus, we suggest below change:</w:t>
            </w:r>
          </w:p>
          <w:p>
            <w:r>
              <w:t xml:space="preserve">in solution 1b) MNO has no or partial visibility of data content </w:t>
            </w:r>
            <w:r>
              <w:rPr>
                <w:color w:val="FF0000"/>
                <w:u w:val="single"/>
              </w:rPr>
              <w:t>compliant with regulations</w:t>
            </w:r>
            <w:r>
              <w:t xml:space="preserve"> for UE-side data collection depending on SLA</w:t>
            </w:r>
          </w:p>
          <w:p>
            <w:r>
              <w:t>[vivo] I agree we should be careful with the wording, but we do not think RAN2 is the right WG to make assessment on “compliance with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 We consider UE-side data collector is inside the MNO network. Consequently, MNO has full visibility</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No. We think that no visibility, partial visibility, and full visibility are all options for solution 1b data collection. We think that partial visibility should also be defined.</w:t>
            </w:r>
          </w:p>
          <w:p/>
          <w:p>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rPr>
                <w:rFonts w:hint="eastAsia"/>
              </w:rPr>
              <w:t>I</w:t>
            </w:r>
            <w:r>
              <w:t>n Solution 1b), how MNO can access the data content is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p>
            <w:bookmarkStart w:id="86" w:name="OLE_LINK66"/>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F</w:t>
            </w:r>
            <w:r>
              <w:t>or solution 1b, the MNO should be able to have full control of the data content/type exchanged between UE and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W</w:t>
            </w:r>
            <w:r>
              <w:rPr>
                <w:rFonts w:hint="eastAsia"/>
              </w:rPr>
              <w:t xml:space="preserve">e tend to keep all options open for now, so </w:t>
            </w:r>
            <w:r>
              <w:t>visibility (full or partial) can be achieved for option 1b, as in the other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t>No, we think MNO cannot access to the data content. Maybe MNO can control/know what type of data is reported but cannot know the details of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rPr>
              <w:t>A</w:t>
            </w:r>
            <w:r>
              <w:t>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No, share the same view with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 In option 1b, MNO has no visibility of data content as the server for UE side data collection is outside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 xml:space="preserve">The level or granularity of data visibility for solution 1b) is not clear. </w:t>
            </w:r>
          </w:p>
          <w:p>
            <w:r>
              <w:t>Regarding the “data visibility depending on SLA”, this is discussion is not within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t>Partially</w:t>
            </w:r>
          </w:p>
          <w:p>
            <w:r>
              <w:rPr>
                <w:rFonts w:hint="eastAsia"/>
              </w:rPr>
              <w:t>Y</w:t>
            </w:r>
            <w:r>
              <w:t>es, to no visibility, wherein MNO only has controllability on the data transfer as in Q4.3.</w:t>
            </w:r>
          </w:p>
          <w:p>
            <w:r>
              <w:rPr>
                <w:rFonts w:hint="eastAsia"/>
              </w:rPr>
              <w:t>M</w:t>
            </w:r>
            <w:r>
              <w:t xml:space="preserve">aybe to partial/full visibility. Both are theoretically possible as commented by some companies. But then not sure what is the difference compared to solution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Yes. SLA between MNO and vendor is required. </w:t>
            </w:r>
          </w:p>
          <w:p>
            <w:pPr>
              <w:rPr>
                <w:sz w:val="20"/>
                <w:szCs w:val="20"/>
              </w:rPr>
            </w:pPr>
            <w:r>
              <w:t xml:space="preserve">The MNO can have “Full visibility”, “Partial Visibility” or “No Visibility” (as defined by rapp.) based on SLA between the MNO and vendor, regardless of whether server is inside/outside MNO.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It depends if the sever for UE-side data collection is inside or outside the MNO. At this point it should not be limited and all (full, partial, or no) visibility options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If the termination entity is outside of MNO, solution 1b) is the same as solution 1a), i.e. solution 1b) is no visibility.</w:t>
            </w:r>
          </w:p>
          <w:p>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No.</w:t>
            </w:r>
          </w:p>
          <w:p>
            <w:r>
              <w:t>C</w:t>
            </w:r>
            <w:r>
              <w:rPr>
                <w:rFonts w:hint="eastAsia"/>
              </w:rPr>
              <w:t xml:space="preserve">urrently, for 1b, </w:t>
            </w:r>
            <w:r>
              <w:t>MNO has no visibility of data content</w:t>
            </w:r>
            <w:r>
              <w:rPr>
                <w:rFonts w:hint="eastAsia"/>
              </w:rPr>
              <w:t xml:space="preserve"> no matter whether the UE server is inside or outside of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 xml:space="preserve">We think the difference from solution 1a is controllability (i.e., also no visibility of content of data in case 1b)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 xml:space="preserve">As we mentioned earlier, suggest removing Solution 1b) as it can be covered by Solution 2 and 3 (CMCC has a good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No. We think 1b can be made to have full visibility as what described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Yes, for partial visibility. Based on our response in Question 4.3, which refers to control at the PDU session level, we believe that at least partial visibility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o.</w:t>
            </w:r>
          </w:p>
          <w:p>
            <w:pPr>
              <w:rPr>
                <w:rFonts w:eastAsia="Yu Mincho"/>
                <w:lang w:eastAsia="ja-JP"/>
              </w:rPr>
            </w:pPr>
            <w:r>
              <w:rPr>
                <w:rFonts w:hint="eastAsia" w:eastAsia="Yu Mincho"/>
                <w:lang w:eastAsia="ja-JP"/>
              </w:rPr>
              <w:t>E</w:t>
            </w:r>
            <w:r>
              <w:rPr>
                <w:rFonts w:eastAsia="Yu Mincho"/>
                <w:lang w:eastAsia="ja-JP"/>
              </w:rPr>
              <w:t>ven 1b case, MNO should have full visivility.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No, it is not clear how MNO can have any visibility in Option 1b. Option 1b seems same as Option 1a in this regard.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Agree with BT, </w:t>
            </w:r>
          </w:p>
          <w:p/>
          <w:p>
            <w:r>
              <w:t>No. We consider UE-side data collector is inside the MNO network. Consequently, MNO has full visibility</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r>
              <w:rPr>
                <w:rFonts w:hint="eastAsia"/>
              </w:rPr>
              <w:t xml:space="preserve">Yes, </w:t>
            </w:r>
          </w:p>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t>If the server for UE-side data collection is inside of MNO,</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w:t>
            </w:r>
          </w:p>
        </w:tc>
      </w:tr>
      <w:bookmarkEnd w:id="85"/>
    </w:tbl>
    <w:p>
      <w:pPr>
        <w:pStyle w:val="6"/>
      </w:pPr>
    </w:p>
    <w:p>
      <w:pPr>
        <w:pStyle w:val="6"/>
      </w:pPr>
      <w:r>
        <w:t>Q5.4: Do companies agree that in solution 2 and 3 MNO is able to have full visibility of data content for UE-side data collection?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87" w:name="OLE_LINK153"/>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No, we think the data content should be visible to the CN entity for solution 2.</w:t>
            </w:r>
          </w:p>
          <w:p>
            <w:r>
              <w:t xml:space="preserve">It is FFS for Solution-3, which may be up to the discussion at SA5.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No, it depends on whether/how the data content is 3GPP specified: </w:t>
            </w:r>
          </w:p>
          <w:p>
            <w:pPr>
              <w:pStyle w:val="26"/>
              <w:numPr>
                <w:ilvl w:val="0"/>
                <w:numId w:val="30"/>
              </w:numPr>
              <w:ind w:firstLineChars="0"/>
            </w:pPr>
            <w:r>
              <w:t>If whole data content is UE vendor’s proprietary format, MNO has no visibility because MNO can’t comprehend it and thereby can’t use the data.</w:t>
            </w:r>
          </w:p>
          <w:p>
            <w:pPr>
              <w:pStyle w:val="26"/>
              <w:numPr>
                <w:ilvl w:val="0"/>
                <w:numId w:val="30"/>
              </w:numPr>
              <w:ind w:firstLineChars="0"/>
            </w:pPr>
            <w:r>
              <w:t>If some part of data content is UE vendor’s proprietary format (e.g. a container in RRC message) and other part is 3GPP specified format, MNO may have partial visibility.</w:t>
            </w:r>
          </w:p>
          <w:p>
            <w:pPr>
              <w:pStyle w:val="26"/>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pPr>
              <w:pStyle w:val="26"/>
              <w:numPr>
                <w:ilvl w:val="0"/>
                <w:numId w:val="30"/>
              </w:numPr>
              <w:ind w:firstLineChars="0"/>
            </w:pPr>
            <w:r>
              <w:t xml:space="preserve">If whole data content is 3GPP format (e.g. specified IE in RRC message), MNO may have full visibility. </w:t>
            </w:r>
          </w:p>
          <w:p>
            <w:r>
              <w:t xml:space="preserve">Since RAN1 is still discussing specification of data/metric for data collection, RAN2 can’t assume all data contents are 3GPP specified. If necessary, we can send LS to RAN1 for confirmation. </w:t>
            </w:r>
          </w:p>
          <w:p>
            <w:r>
              <w:t xml:space="preserve"> </w:t>
            </w:r>
          </w:p>
          <w:p>
            <w:r>
              <w:t>And similar to Q5.3 and 5.4, we think the partial/full visibility of data content should also fulfill compliance with regulations. Thus, we suggest below change:</w:t>
            </w:r>
          </w:p>
          <w:p>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r>
              <w:t>[vivo] 1) I agree we should be careful with the wording, but we do not think RAN2 is the right WG to make assessment on “compliance with regulations”. 2) I Agree whether the data content is 3GPP specified may be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 We consider UE-side data collector is inside the MNO network. Consequently, MNO has full visibility</w:t>
            </w:r>
          </w:p>
          <w:p>
            <w:bookmarkStart w:id="88" w:name="OLE_LINK167"/>
            <w:r>
              <w:t>[Rapp1] So the answer is yes, i.e., the MNO has full visibility?</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However, a transparent container has been discussed in the past to enable a “partial visibility” solution, at least for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N</w:t>
            </w:r>
            <w:r>
              <w:t>o.</w:t>
            </w:r>
          </w:p>
          <w:p>
            <w:r>
              <w:t>It depends on what data MNO is to collect.</w:t>
            </w:r>
          </w:p>
          <w:p>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r>
              <w:rPr>
                <w:rFonts w:hint="eastAsia"/>
              </w:rPr>
              <w:t>F</w:t>
            </w:r>
            <w:r>
              <w:t>or solution 2 and solution 3, all collected data is specified with open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 Standardization is not the sole method to achieve visibility of data content. Visibility can be granted to the MNO through business agreements, whereby the vendor discloses the data to the MNO that enters into such a business or cooperation contract.</w:t>
            </w:r>
          </w:p>
          <w:p>
            <w:r>
              <w:t>[Apple]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r>
              <w:t>[vivo] Standardization can achieve a common understanding on visibility. So we think taking standardized data content as starting point is the simple and safe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w:t>
            </w:r>
          </w:p>
        </w:tc>
      </w:tr>
      <w:bookmark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S</w:t>
            </w:r>
            <w:r>
              <w:t>preadtrum</w:t>
            </w:r>
          </w:p>
        </w:tc>
        <w:tc>
          <w:tcPr>
            <w:tcW w:w="7178" w:type="dxa"/>
          </w:tcPr>
          <w:p>
            <w:r>
              <w:rPr>
                <w:rFonts w:hint="eastAsia"/>
              </w:rPr>
              <w:t>Y</w:t>
            </w:r>
            <w:r>
              <w:t>es</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Z</w:t>
            </w:r>
            <w:r>
              <w:t>TE</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rFonts w:hint="eastAsia"/>
              </w:rPr>
              <w:t>X</w:t>
            </w:r>
            <w:r>
              <w:t>iaomi</w:t>
            </w:r>
          </w:p>
        </w:tc>
        <w:tc>
          <w:tcPr>
            <w:tcW w:w="7178" w:type="dxa"/>
          </w:tcPr>
          <w:p>
            <w:r>
              <w:rPr>
                <w:rFonts w:hint="eastAsia"/>
              </w:rPr>
              <w:t>I</w:t>
            </w:r>
            <w:r>
              <w:t>t depends on the signalling format defined. With data format explicitly specified, full visibility can be achieved. If container is used, there could be partial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No.</w:t>
            </w:r>
          </w:p>
          <w:p>
            <w:r>
              <w:t>Refer to answer to Q5.1. The discussion on data visibility is pending/depends on RAN1 discussion on data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t xml:space="preserve">Yes. This can be taken as the starting point to distinguish from solution 1b.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No.</w:t>
            </w:r>
          </w:p>
          <w:p>
            <w:r>
              <w:t xml:space="preserve">Defining all the parameters to be collected is infeasible, as training for target UE devices has more offline engineering aspects. Therefore, full visibility is infeasible for solution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 (it maybe clarified what is the scope, meaning and definition of ‘Full’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 xml:space="preserve">We agree with Apple that </w:t>
            </w:r>
            <w:r>
              <w:t>it depends on whether/how the data content is 3GPP specified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t>Intel</w:t>
            </w:r>
          </w:p>
        </w:tc>
        <w:tc>
          <w:tcPr>
            <w:tcW w:w="7178" w:type="dxa"/>
          </w:tcPr>
          <w:p>
            <w:r>
              <w:t xml:space="preserve">We need to further clarify whether visibility means standardization. </w:t>
            </w:r>
          </w:p>
          <w:p>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t>Y</w:t>
            </w:r>
            <w:r>
              <w:rPr>
                <w:rFonts w:hint="eastAsia"/>
              </w:rPr>
              <w:t>es for solution 3;</w:t>
            </w:r>
          </w:p>
          <w:p>
            <w:r>
              <w:rPr>
                <w:rFonts w:hint="eastAsia"/>
              </w:rPr>
              <w:t>Yes for solution 2 if CP solution is considered as said in Q4.4.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Not necessarily. For example, there may be some components of the data that is being collected that is proprietary to the UE vendor that should not be visible to the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We can agree if we change the statement from “</w:t>
            </w:r>
            <w:r>
              <w:rPr>
                <w:b/>
                <w:bCs/>
              </w:rPr>
              <w:t>have full visibility</w:t>
            </w:r>
            <w:r>
              <w:t>” to “</w:t>
            </w:r>
            <w:r>
              <w:rPr>
                <w:b/>
                <w:bCs/>
              </w:rPr>
              <w:t xml:space="preserve">have full </w:t>
            </w:r>
            <w:r>
              <w:rPr>
                <w:b/>
                <w:bCs/>
                <w:color w:val="C00000"/>
              </w:rPr>
              <w:t xml:space="preserve">or partial </w:t>
            </w:r>
            <w:r>
              <w:rPr>
                <w:b/>
                <w:bCs/>
              </w:rPr>
              <w:t>visibility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 xml:space="preserve">Yes. Full visibility in the last/final termination node. </w:t>
            </w:r>
          </w:p>
          <w:p>
            <w:r>
              <w:t>Depending on the protocol used for data transfer, some clarifications is needed whether the data is visible in the intermediate nodes terminating each protocol.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r>
              <w:t>No. We believe that depending on contents of data collected, Solutions 2 and 3 may still have partial visibility.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 but agree with China Unicom.</w:t>
            </w:r>
          </w:p>
          <w:p>
            <w:pPr>
              <w:rPr>
                <w:rFonts w:eastAsia="Yu Mincho"/>
                <w:lang w:eastAsia="ja-JP"/>
              </w:rPr>
            </w:pPr>
            <w:r>
              <w:t xml:space="preserve">We also agree that in solution 2 and 3 MNO </w:t>
            </w:r>
            <w:r>
              <w:rPr>
                <w:strike/>
              </w:rPr>
              <w:t>is able to</w:t>
            </w:r>
            <w:r>
              <w:t xml:space="preserve"> have full visibility of data content for UE-side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Verizon</w:t>
            </w:r>
          </w:p>
        </w:tc>
        <w:tc>
          <w:tcPr>
            <w:tcW w:w="7178" w:type="dxa"/>
          </w:tcPr>
          <w:p>
            <w:pPr>
              <w:rPr>
                <w:rFonts w:eastAsia="Yu Mincho"/>
                <w:lang w:eastAsia="ja-JP"/>
              </w:rPr>
            </w:pPr>
            <w:r>
              <w:rPr>
                <w:rFonts w:eastAsia="Yu Mincho"/>
                <w:lang w:eastAsia="ja-JP"/>
              </w:rPr>
              <w:t xml:space="preserve">Yes, for solutions 2/3, MNOs should have the ability for full visibility of 3GPP standardized data. Whether to allow proprietary data transfer using Solutions 2/3 and visibility of such data depends on business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T-Mobile USA</w:t>
            </w:r>
          </w:p>
        </w:tc>
        <w:tc>
          <w:tcPr>
            <w:tcW w:w="7178" w:type="dxa"/>
          </w:tcPr>
          <w:p>
            <w:pPr>
              <w:rPr>
                <w:rFonts w:eastAsia="Yu Mincho"/>
                <w:lang w:eastAsia="ja-JP"/>
              </w:rPr>
            </w:pPr>
            <w:r>
              <w:rPr>
                <w:rFonts w:eastAsia="Yu Mincho"/>
                <w:lang w:eastAsia="ja-JP"/>
              </w:rPr>
              <w:t xml:space="preserve">Yes </w:t>
            </w:r>
          </w:p>
          <w:p>
            <w:pPr>
              <w:rPr>
                <w:rFonts w:eastAsia="Yu Mincho"/>
                <w:lang w:eastAsia="ja-JP"/>
              </w:rPr>
            </w:pPr>
          </w:p>
          <w:p>
            <w:pPr>
              <w:rPr>
                <w:rFonts w:eastAsia="Yu Mincho"/>
                <w:lang w:eastAsia="ja-JP"/>
              </w:rPr>
            </w:pPr>
            <w:r>
              <w:rPr>
                <w:rFonts w:eastAsia="Yu Mincho"/>
                <w:lang w:eastAsia="ja-JP"/>
              </w:rPr>
              <w:t>Agree partially with Apple’s comment:</w:t>
            </w:r>
          </w:p>
          <w:p>
            <w:pPr>
              <w:rPr>
                <w:rFonts w:eastAsia="Yu Mincho"/>
                <w:lang w:eastAsia="ja-JP"/>
              </w:rPr>
            </w:pPr>
          </w:p>
          <w:p>
            <w:r>
              <w:t xml:space="preserve">It depends on whether/how the data content is 3GPP specified: </w:t>
            </w:r>
          </w:p>
          <w:p>
            <w:pPr>
              <w:pStyle w:val="26"/>
              <w:numPr>
                <w:ilvl w:val="0"/>
                <w:numId w:val="30"/>
              </w:numPr>
              <w:ind w:firstLineChars="0"/>
            </w:pPr>
            <w:r>
              <w:t>If whole data content is UE vendor’s proprietary format, MNO has no visibility because MNO can’t comprehend it and thereby can’t use the data.</w:t>
            </w:r>
          </w:p>
          <w:p>
            <w:pPr>
              <w:pStyle w:val="26"/>
              <w:numPr>
                <w:ilvl w:val="0"/>
                <w:numId w:val="30"/>
              </w:numPr>
              <w:ind w:firstLineChars="0"/>
            </w:pPr>
            <w:r>
              <w:t>If some part of data content is UE vendor’s proprietary format (e.g. a container in RRC message) and other part is 3GPP specified format, MNO may have partial visibility.</w:t>
            </w:r>
          </w:p>
          <w:p>
            <w:pPr>
              <w:pStyle w:val="26"/>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pPr>
              <w:pStyle w:val="26"/>
              <w:numPr>
                <w:ilvl w:val="0"/>
                <w:numId w:val="30"/>
              </w:numPr>
              <w:ind w:firstLineChars="0"/>
            </w:pPr>
            <w:r>
              <w:t xml:space="preserve">If whole data content is 3GPP format (e.g. specified IE in RRC message), MNO may have full visibility. </w:t>
            </w:r>
          </w:p>
          <w:p>
            <w:pPr>
              <w:rPr>
                <w:rFonts w:eastAsia="Yu Mincho"/>
                <w:lang w:eastAsia="ja-JP"/>
              </w:rPr>
            </w:pP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vAlign w:val="top"/>
          </w:tcPr>
          <w:p>
            <w:r>
              <w:rPr>
                <w:rFonts w:hint="eastAsia"/>
              </w:rPr>
              <w:t>Yes, with comments.</w:t>
            </w:r>
          </w:p>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rPr>
              <w:t xml:space="preserve">For </w:t>
            </w:r>
            <w:r>
              <w:t>solution 2 and 3</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it needs to be further discussed. </w:t>
            </w:r>
          </w:p>
        </w:tc>
      </w:tr>
    </w:tbl>
    <w:p/>
    <w:p>
      <w:pPr>
        <w:pStyle w:val="3"/>
        <w:rPr>
          <w:rFonts w:eastAsiaTheme="minorEastAsia"/>
          <w:lang w:eastAsia="zh-TW"/>
        </w:rPr>
      </w:pPr>
      <w:r>
        <w:rPr>
          <w:rFonts w:eastAsiaTheme="minorEastAsia"/>
          <w:lang w:eastAsia="zh-TW"/>
        </w:rPr>
        <w:t>2.6 Protocol layer for Data Transfer</w:t>
      </w:r>
    </w:p>
    <w:p>
      <w:pPr>
        <w:pStyle w:val="6"/>
      </w:pPr>
      <w:bookmarkStart w:id="89"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bookmarkEnd w:id="89"/>
    <w:p>
      <w:pPr>
        <w:pStyle w:val="6"/>
      </w:pPr>
      <w:bookmarkStart w:id="90" w:name="OLE_LINK154"/>
      <w:r>
        <w:t>Q6.1: Do companies agree that in solution 1a) and 1b) the data transfer from the UE to the server for UE-side data collection is through the application layer, utilizing a UP tunnel for transmission?</w:t>
      </w:r>
    </w:p>
    <w:bookmarkEnd w:id="90"/>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91" w:name="OLE_LINK159"/>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Apple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tc>
        <w:tc>
          <w:tcPr>
            <w:tcW w:w="7178"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Yes.</w:t>
            </w:r>
          </w:p>
          <w:p>
            <w:r>
              <w:t xml:space="preserve">This data will be considered as user plane. Therefore, it is the end customer who must pay for it (perhaps without being aware of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Is it further implied, then, that the protocol for data transmission is proprietary, or are there standardized solutions, e.g., in the case of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P</w:t>
            </w:r>
            <w:r>
              <w:rPr>
                <w:rFonts w:hint="eastAsia"/>
              </w:rPr>
              <w:t xml:space="preserve">artially Yes. </w:t>
            </w:r>
            <w:r>
              <w:t>O</w:t>
            </w:r>
            <w:r>
              <w:rPr>
                <w:rFonts w:hint="eastAsia"/>
              </w:rPr>
              <w:t>ption 1a can also refer to a training data delivery by WIFI or other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pPr>
              <w:pStyle w:val="26"/>
              <w:numPr>
                <w:ilvl w:val="0"/>
                <w:numId w:val="31"/>
              </w:numPr>
              <w:ind w:firstLineChars="0"/>
            </w:pPr>
            <w:r>
              <w:rPr>
                <w:rFonts w:hint="eastAsia"/>
              </w:rPr>
              <w:t>F</w:t>
            </w:r>
            <w:r>
              <w:t>or option 1a, Yes.</w:t>
            </w:r>
          </w:p>
          <w:p>
            <w:pPr>
              <w:pStyle w:val="26"/>
              <w:numPr>
                <w:ilvl w:val="0"/>
                <w:numId w:val="31"/>
              </w:numPr>
              <w:ind w:firstLineChars="0"/>
            </w:pPr>
            <w:r>
              <w:rPr>
                <w:rFonts w:hint="eastAsia"/>
              </w:rPr>
              <w:t>F</w:t>
            </w:r>
            <w:r>
              <w:t>or option 1b:</w:t>
            </w:r>
          </w:p>
          <w:p>
            <w:pPr>
              <w:pStyle w:val="26"/>
              <w:numPr>
                <w:ilvl w:val="1"/>
                <w:numId w:val="31"/>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pPr>
              <w:pStyle w:val="26"/>
              <w:numPr>
                <w:ilvl w:val="1"/>
                <w:numId w:val="31"/>
              </w:numPr>
              <w:ind w:firstLineChars="0"/>
            </w:pPr>
            <w:r>
              <w:t>In the case of the UE server for UE side data collection inside the MNO, we consider it can be either UP tunnel (Non-IP Data delivery) or CP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bookmarkStart w:id="92" w:name="OLE_LINK156"/>
            <w:bookmarkStart w:id="93" w:name="OLE_LINK160"/>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In our understanding, solution 1a is outside of 3GPP, i.e. not using UP tunnel. Solution 1b can use UP for data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t>Y</w:t>
            </w:r>
            <w:r>
              <w:rPr>
                <w:rFonts w:hint="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Ok to consider as baseline, but as commented in some of the questions above, protocol aspects can be discussed once after companies have a common understanding of all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Yes .. </w:t>
            </w:r>
            <w:r>
              <w:t>protocol aspects can be discussed once after companies have a common understanding of all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Yes</w:t>
            </w:r>
          </w:p>
        </w:tc>
      </w:tr>
      <w:bookmarkEnd w:id="91"/>
    </w:tbl>
    <w:p>
      <w:pPr>
        <w:pStyle w:val="6"/>
      </w:pPr>
      <w:r>
        <w:rPr>
          <w:rFonts w:hint="eastAsia"/>
        </w:rPr>
        <w:t>F</w:t>
      </w:r>
      <w:r>
        <w:t xml:space="preserve">or solution 2, the UE collects training data and transfers it to the CN, which then forwards the data to the UE-side server. </w:t>
      </w:r>
      <w:bookmarkEnd w:id="92"/>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bookmarkEnd w:id="93"/>
    <w:p>
      <w:pPr>
        <w:pStyle w:val="6"/>
      </w:pPr>
      <w:bookmarkStart w:id="94" w:name="OLE_LINK161"/>
      <w:r>
        <w:t xml:space="preserve">Q6.2: </w:t>
      </w:r>
      <w:bookmarkStart w:id="95" w:name="OLE_LINK158"/>
      <w:r>
        <w:t xml:space="preserve">Do companies agree that in solution 2, the baseline method for data transfer from the UE to the CN, is through the NAS layer, utilizing a CP tunnel for transmission? </w:t>
      </w:r>
      <w:bookmarkEnd w:id="9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rPr>
                <w:rFonts w:hint="eastAsia"/>
              </w:rPr>
              <w:t>C</w:t>
            </w:r>
            <w:r>
              <w:t xml:space="preserve">ompany </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the CP can be the baseline. On the other hand, RAN2 should keep the UP possibility on the table which is pending SA2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Not in a position to answer this question without knowing the data volume required for different AI/ML algorithms.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To properly differentiate between solution 1b and 2, we think that it is necessary to restrict solution 2 to NAS signaling between the UE and AMF. It is FFS whether additional signaling would be required between the AMF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W</w:t>
            </w:r>
            <w:r>
              <w:t>e think Solution 2 can take CP for discussions first, but no need to discuss signalling details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W</w:t>
            </w:r>
            <w:r>
              <w:t>e tend to focus on positioning for solution 2.</w:t>
            </w:r>
          </w:p>
          <w:p>
            <w:r>
              <w:rPr>
                <w:rFonts w:hint="eastAsia"/>
              </w:rPr>
              <w:t>T</w:t>
            </w:r>
            <w:r>
              <w:t>he data can be transferred from UE to LMF via LPP, which can utilize either CP or UP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CATT</w:t>
            </w:r>
          </w:p>
        </w:tc>
        <w:tc>
          <w:tcPr>
            <w:tcW w:w="7178" w:type="dxa"/>
            <w:tcBorders>
              <w:top w:val="single" w:color="auto" w:sz="4" w:space="0"/>
              <w:left w:val="single" w:color="auto" w:sz="4" w:space="0"/>
              <w:bottom w:val="single" w:color="auto" w:sz="4" w:space="0"/>
              <w:right w:val="single" w:color="auto" w:sz="4" w:space="0"/>
            </w:tcBorders>
          </w:tcPr>
          <w:p>
            <w:r>
              <w:t>O</w:t>
            </w:r>
            <w:r>
              <w:rPr>
                <w:rFonts w:hint="eastAsia"/>
              </w:rPr>
              <w:t>k to consider this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CP is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China Unicom</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for the CP solution, signalling design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 We think RAN2 can take CP solution as baseline, and may investigate UP solution if CP solution is not sufficient e.g. for large amount of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L</w:t>
            </w:r>
            <w:r>
              <w:t>enovo</w:t>
            </w:r>
            <w:r>
              <w:tab/>
            </w:r>
          </w:p>
        </w:tc>
        <w:tc>
          <w:tcPr>
            <w:tcW w:w="7178" w:type="dxa"/>
            <w:tcBorders>
              <w:top w:val="single" w:color="auto" w:sz="4" w:space="0"/>
              <w:left w:val="single" w:color="auto" w:sz="4" w:space="0"/>
              <w:bottom w:val="single" w:color="auto" w:sz="4" w:space="0"/>
              <w:right w:val="single" w:color="auto" w:sz="4" w:space="0"/>
            </w:tcBorders>
          </w:tcPr>
          <w:p>
            <w:r>
              <w:t xml:space="preserve">Mostly </w:t>
            </w:r>
            <w:r>
              <w:rPr>
                <w:rFonts w:hint="eastAsia"/>
              </w:rPr>
              <w:t>Y</w:t>
            </w:r>
            <w:r>
              <w:t>es, except that for positioning LPP over UP is also supported now. We are open to discuss other UP based solution with SA2’s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Sharp</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Yes, CP solution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 xml:space="preserve">Whether to use CP or UP to collect data from UE to CN should be up to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No, </w:t>
            </w:r>
          </w:p>
          <w:p>
            <w:r>
              <w:rPr>
                <w:rFonts w:hint="eastAsia"/>
              </w:rPr>
              <w:t>CP solution is the baseline. For whether to use NAS layer or RRC layer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Same answer as Q6.2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Futurewei</w:t>
            </w:r>
          </w:p>
        </w:tc>
        <w:tc>
          <w:tcPr>
            <w:tcW w:w="7178" w:type="dxa"/>
            <w:tcBorders>
              <w:top w:val="single" w:color="auto" w:sz="4" w:space="0"/>
              <w:left w:val="single" w:color="auto" w:sz="4" w:space="0"/>
              <w:bottom w:val="single" w:color="auto" w:sz="4" w:space="0"/>
              <w:right w:val="single" w:color="auto" w:sz="4" w:space="0"/>
            </w:tcBorders>
          </w:tcPr>
          <w:p>
            <w:r>
              <w:t>Agree with Ericsson and Intel; this is up to SA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DISH</w:t>
            </w:r>
          </w:p>
        </w:tc>
        <w:tc>
          <w:tcPr>
            <w:tcW w:w="7178" w:type="dxa"/>
            <w:tcBorders>
              <w:top w:val="single" w:color="auto" w:sz="4" w:space="0"/>
              <w:left w:val="single" w:color="auto" w:sz="4" w:space="0"/>
              <w:bottom w:val="single" w:color="auto" w:sz="4" w:space="0"/>
              <w:right w:val="single" w:color="auto" w:sz="4" w:space="0"/>
            </w:tcBorders>
          </w:tcPr>
          <w:p>
            <w:r>
              <w:t xml:space="preserve">Depends on the data volume.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lang w:eastAsia="ja-JP"/>
              </w:rPr>
            </w:pPr>
            <w:r>
              <w:rPr>
                <w:rFonts w:hint="eastAsia"/>
                <w:lang w:eastAsia="ja-JP"/>
              </w:rPr>
              <w:t>Kyocera</w:t>
            </w:r>
          </w:p>
        </w:tc>
        <w:tc>
          <w:tcPr>
            <w:tcW w:w="7178" w:type="dxa"/>
            <w:tcBorders>
              <w:top w:val="single" w:color="auto" w:sz="4" w:space="0"/>
              <w:left w:val="single" w:color="auto" w:sz="4" w:space="0"/>
              <w:bottom w:val="single" w:color="auto" w:sz="4" w:space="0"/>
              <w:right w:val="single" w:color="auto" w:sz="4" w:space="0"/>
            </w:tcBorders>
          </w:tcPr>
          <w:p>
            <w:r>
              <w:t>Yes,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D</w:t>
            </w:r>
            <w:r>
              <w:rPr>
                <w:rFonts w:eastAsia="Yu Mincho"/>
                <w:lang w:eastAsia="ja-JP"/>
              </w:rPr>
              <w:t>OCOMO</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Verizon</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This depends on data volume involved and too early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T-Mobile USA</w:t>
            </w:r>
          </w:p>
        </w:tc>
        <w:tc>
          <w:tcPr>
            <w:tcW w:w="7178"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Maybe...  Depends if NAS can collect layer 1 and layer 2 data.  CN is currently limited to cell or system level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t>Yes, the CP can be</w:t>
            </w:r>
            <w:r>
              <w:rPr>
                <w:rFonts w:hint="eastAsia"/>
              </w:rPr>
              <w:t xml:space="preserve"> considered</w:t>
            </w:r>
            <w:r>
              <w:t xml:space="preserve"> the baseline</w:t>
            </w:r>
            <w:r>
              <w:rPr>
                <w:rFonts w:hint="eastAsia"/>
              </w:rPr>
              <w:t>.</w:t>
            </w:r>
          </w:p>
        </w:tc>
      </w:tr>
      <w:bookmarkEnd w:id="94"/>
    </w:tbl>
    <w:p>
      <w:pPr>
        <w:pStyle w:val="6"/>
      </w:pPr>
    </w:p>
    <w:p>
      <w:pPr>
        <w:pStyle w:val="6"/>
      </w:pPr>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pPr>
        <w:pStyle w:val="6"/>
      </w:pPr>
      <w:bookmarkStart w:id="96" w:name="OLE_LINK11"/>
      <w:r>
        <w:t xml:space="preserve">Q6.3: </w:t>
      </w:r>
      <w:bookmarkStart w:id="97" w:name="OLE_LINK162"/>
      <w:r>
        <w:t xml:space="preserve">Do companies agree that in solution 3, the baseline method for data transfer from the UE to OAM via RAN node is through the RRC layer, utilizing a CP tunnel for transmission? </w:t>
      </w:r>
    </w:p>
    <w:bookmarkEnd w:id="96"/>
    <w:bookmarkEnd w:id="97"/>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bookmarkStart w:id="98" w:name="OLE_LINK12"/>
            <w:r>
              <w:rPr>
                <w:rFonts w:hint="eastAsia"/>
              </w:rPr>
              <w:t>C</w:t>
            </w:r>
            <w:r>
              <w:t>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NEC</w:t>
            </w:r>
          </w:p>
        </w:tc>
        <w:tc>
          <w:tcPr>
            <w:tcW w:w="7178" w:type="dxa"/>
            <w:tcBorders>
              <w:top w:val="single" w:color="auto" w:sz="4" w:space="0"/>
              <w:left w:val="single" w:color="auto" w:sz="4" w:space="0"/>
              <w:bottom w:val="single" w:color="auto" w:sz="4" w:space="0"/>
              <w:right w:val="single" w:color="auto" w:sz="4" w:space="0"/>
            </w:tcBorders>
          </w:tcPr>
          <w:p>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Apple </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Not in a position to answer this question without knowing the data volume required for different AI/ML algorithms.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Yes. We should reuse the legacy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Too early to say, agree with BT. For the reasons mentioned above related to NAS, the feasibility of other solutions should be assessed by SA2/SA5.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 with comments.</w:t>
            </w:r>
          </w:p>
          <w:p>
            <w:r>
              <w:rPr>
                <w:rFonts w:hint="eastAsia"/>
              </w:rPr>
              <w:t>W</w:t>
            </w:r>
            <w:r>
              <w:t>e think Solution 2 can take CP for discussions first, but no need to discuss signalling details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O</w:t>
            </w:r>
            <w:r>
              <w:t>PPO</w:t>
            </w:r>
          </w:p>
        </w:tc>
        <w:tc>
          <w:tcPr>
            <w:tcW w:w="7178" w:type="dxa"/>
            <w:tcBorders>
              <w:top w:val="single" w:color="auto" w:sz="4" w:space="0"/>
              <w:left w:val="single" w:color="auto" w:sz="4" w:space="0"/>
              <w:bottom w:val="single" w:color="auto" w:sz="4" w:space="0"/>
              <w:right w:val="single" w:color="auto" w:sz="4" w:space="0"/>
            </w:tcBorders>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Yes, we tend to focus on beam management for solution 2 and reuse MDT.</w:t>
            </w:r>
          </w:p>
        </w:tc>
      </w:tr>
      <w:bookmark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CATT</w:t>
            </w:r>
          </w:p>
        </w:tc>
        <w:tc>
          <w:tcPr>
            <w:tcW w:w="7178" w:type="dxa"/>
          </w:tcPr>
          <w:p>
            <w:r>
              <w:t>O</w:t>
            </w:r>
            <w:r>
              <w:rPr>
                <w:rFonts w:hint="eastAsia"/>
              </w:rPr>
              <w:t>k to consider this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S</w:t>
            </w:r>
            <w:r>
              <w:t>preadtrum</w:t>
            </w:r>
          </w:p>
        </w:tc>
        <w:tc>
          <w:tcPr>
            <w:tcW w:w="7178" w:type="dxa"/>
          </w:tcPr>
          <w:p>
            <w:r>
              <w:rPr>
                <w:rFonts w:hint="eastAsia"/>
              </w:rPr>
              <w:t>Y</w:t>
            </w:r>
            <w: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Z</w:t>
            </w:r>
            <w:r>
              <w:t>TE</w:t>
            </w:r>
          </w:p>
        </w:tc>
        <w:tc>
          <w:tcPr>
            <w:tcW w:w="7178" w:type="dxa"/>
          </w:tcPr>
          <w:p>
            <w:r>
              <w:rPr>
                <w:rFonts w:hint="eastAsia"/>
              </w:rPr>
              <w:t>Y</w:t>
            </w:r>
            <w:r>
              <w:t>es, CP is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China Unicom</w:t>
            </w:r>
          </w:p>
        </w:tc>
        <w:tc>
          <w:tcPr>
            <w:tcW w:w="7178" w:type="dxa"/>
          </w:tcPr>
          <w:p>
            <w:r>
              <w:rPr>
                <w:rFonts w:hint="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X</w:t>
            </w:r>
            <w:r>
              <w:t>iaomi</w:t>
            </w:r>
          </w:p>
        </w:tc>
        <w:tc>
          <w:tcPr>
            <w:tcW w:w="7178" w:type="dxa"/>
          </w:tcPr>
          <w:p>
            <w:r>
              <w:rPr>
                <w:rFonts w:hint="eastAsia"/>
              </w:rPr>
              <w:t>Y</w:t>
            </w:r>
            <w:r>
              <w:t xml:space="preserve">es with comments. Similar to Q6.2, we think RAN2 can take CP solution as baseline, and may investigate UP solution if CP solution is not sufficient e.g. for large amount of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Samsung </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L</w:t>
            </w:r>
            <w:r>
              <w:t>enovo</w:t>
            </w:r>
          </w:p>
        </w:tc>
        <w:tc>
          <w:tcPr>
            <w:tcW w:w="7178" w:type="dxa"/>
          </w:tcPr>
          <w:p>
            <w:r>
              <w:rPr>
                <w:rFonts w:hint="eastAsia"/>
              </w:rPr>
              <w:t>Y</w:t>
            </w:r>
            <w:r>
              <w:t xml:space="preserve">es as baseline. We are open to discuss other UP based solution with SA2’s involvement.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Qualcomm</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Sharp</w:t>
            </w:r>
          </w:p>
        </w:tc>
        <w:tc>
          <w:tcPr>
            <w:tcW w:w="7178" w:type="dxa"/>
          </w:tcPr>
          <w:p>
            <w:r>
              <w:t>Yes,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CMCC</w:t>
            </w:r>
          </w:p>
        </w:tc>
        <w:tc>
          <w:tcPr>
            <w:tcW w:w="7178" w:type="dxa"/>
          </w:tcPr>
          <w:p>
            <w:r>
              <w:rPr>
                <w:rFonts w:hint="eastAsia"/>
              </w:rPr>
              <w:t>Yes, CP solution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Intel</w:t>
            </w:r>
          </w:p>
        </w:tc>
        <w:tc>
          <w:tcPr>
            <w:tcW w:w="7178"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rPr>
                <w:rFonts w:hint="eastAsia"/>
              </w:rPr>
              <w:t>Fujitsu</w:t>
            </w:r>
          </w:p>
        </w:tc>
        <w:tc>
          <w:tcPr>
            <w:tcW w:w="7178" w:type="dxa"/>
          </w:tcPr>
          <w:p>
            <w:r>
              <w:t>Y</w:t>
            </w:r>
            <w:r>
              <w:rPr>
                <w:rFonts w:hint="eastAsia"/>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Interdigital</w:t>
            </w:r>
          </w:p>
        </w:tc>
        <w:tc>
          <w:tcPr>
            <w:tcW w:w="7178" w:type="dxa"/>
          </w:tcPr>
          <w:p>
            <w:r>
              <w:t>Same comment as Q6.2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Futurewei</w:t>
            </w:r>
          </w:p>
        </w:tc>
        <w:tc>
          <w:tcPr>
            <w:tcW w:w="7178" w:type="dxa"/>
          </w:tcPr>
          <w:p>
            <w:r>
              <w:t>Yes,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Depends on data volume.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lang w:eastAsia="ja-JP"/>
              </w:rPr>
            </w:pPr>
            <w:r>
              <w:rPr>
                <w:rFonts w:hint="eastAsia"/>
                <w:lang w:eastAsia="ja-JP"/>
              </w:rPr>
              <w:t>Kyocera</w:t>
            </w:r>
          </w:p>
        </w:tc>
        <w:tc>
          <w:tcPr>
            <w:tcW w:w="7178" w:type="dxa"/>
          </w:tcPr>
          <w:p>
            <w:r>
              <w:t>Yes,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hint="eastAsia" w:eastAsia="Yu Mincho"/>
                <w:lang w:eastAsia="ja-JP"/>
              </w:rPr>
              <w:t>D</w:t>
            </w:r>
            <w:r>
              <w:rPr>
                <w:rFonts w:eastAsia="Yu Mincho"/>
                <w:lang w:eastAsia="ja-JP"/>
              </w:rPr>
              <w:t>OCOMO</w:t>
            </w:r>
          </w:p>
        </w:tc>
        <w:tc>
          <w:tcPr>
            <w:tcW w:w="7178" w:type="dxa"/>
          </w:tcPr>
          <w:p>
            <w:pPr>
              <w:rPr>
                <w:rFonts w:eastAsia="Yu Mincho"/>
                <w:lang w:eastAsia="ja-JP"/>
              </w:rPr>
            </w:pPr>
            <w:r>
              <w:rPr>
                <w:rFonts w:hint="eastAsia" w:eastAsia="Yu Mincho"/>
                <w:lang w:eastAsia="ja-JP"/>
              </w:rPr>
              <w:t>Y</w:t>
            </w:r>
            <w:r>
              <w:rPr>
                <w:rFonts w:eastAsia="Yu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Verizon</w:t>
            </w:r>
          </w:p>
        </w:tc>
        <w:tc>
          <w:tcPr>
            <w:tcW w:w="7178" w:type="dxa"/>
          </w:tcPr>
          <w:p>
            <w:pPr>
              <w:rPr>
                <w:rFonts w:eastAsia="Yu Mincho"/>
                <w:lang w:eastAsia="ja-JP"/>
              </w:rPr>
            </w:pPr>
            <w:r>
              <w:rPr>
                <w:rFonts w:eastAsia="Yu Mincho"/>
                <w:lang w:eastAsia="ja-JP"/>
              </w:rPr>
              <w:t>This depends on data volume involved and too early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Yu Mincho"/>
                <w:lang w:eastAsia="ja-JP"/>
              </w:rPr>
            </w:pPr>
            <w:r>
              <w:rPr>
                <w:rFonts w:eastAsia="Yu Mincho"/>
                <w:lang w:eastAsia="ja-JP"/>
              </w:rPr>
              <w:t>T-Mobile USA</w:t>
            </w:r>
          </w:p>
        </w:tc>
        <w:tc>
          <w:tcPr>
            <w:tcW w:w="7178" w:type="dxa"/>
          </w:tcPr>
          <w:p>
            <w:pPr>
              <w:rPr>
                <w:rFonts w:eastAsia="Yu Mincho"/>
                <w:lang w:eastAsia="ja-JP"/>
              </w:rPr>
            </w:pPr>
            <w:r>
              <w:rPr>
                <w:rFonts w:eastAsia="Yu Mincho"/>
                <w:lang w:eastAsia="ja-JP"/>
              </w:rPr>
              <w:t xml:space="preserve">YES.. However NWDAF also supports data transfer to the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TCL</w:t>
            </w:r>
          </w:p>
        </w:tc>
        <w:tc>
          <w:tcPr>
            <w:tcW w:w="7178" w:type="dxa"/>
            <w:vAlign w:val="top"/>
          </w:tcPr>
          <w:p>
            <w:pPr>
              <w:rPr>
                <w:rFonts w:ascii="Times New Roman" w:hAnsi="Times New Roman" w:eastAsia="Yu Mincho" w:cstheme="minorBidi"/>
                <w:color w:val="000000" w:themeColor="text1"/>
                <w:sz w:val="21"/>
                <w:szCs w:val="22"/>
                <w:lang w:val="en-US" w:eastAsia="ja-JP" w:bidi="ar-SA"/>
                <w14:textFill>
                  <w14:solidFill>
                    <w14:schemeClr w14:val="tx1"/>
                  </w14:solidFill>
                </w14:textFill>
              </w:rPr>
            </w:pPr>
            <w:r>
              <w:rPr>
                <w:rFonts w:hint="eastAsia" w:eastAsia="宋体"/>
              </w:rPr>
              <w:t>Yes</w:t>
            </w:r>
          </w:p>
        </w:tc>
      </w:tr>
    </w:tbl>
    <w:p/>
    <w:p>
      <w:pPr>
        <w:pStyle w:val="6"/>
      </w:pPr>
      <w:r>
        <w:t>Q6.4: For solution 2 and 3, interested company please share their view on solution details of UP tunnel solutions.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Yes/No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Solutions other than NAS/RRC can be taken into account and assessed by SA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H</w:t>
            </w:r>
            <w:r>
              <w:t>uawei, HiSilicon</w:t>
            </w:r>
          </w:p>
        </w:tc>
        <w:tc>
          <w:tcPr>
            <w:tcW w:w="7178" w:type="dxa"/>
            <w:tcBorders>
              <w:top w:val="single" w:color="auto" w:sz="4" w:space="0"/>
              <w:left w:val="single" w:color="auto" w:sz="4" w:space="0"/>
              <w:bottom w:val="single" w:color="auto" w:sz="4" w:space="0"/>
              <w:right w:val="single" w:color="auto" w:sz="4" w:space="0"/>
            </w:tcBorders>
          </w:tcPr>
          <w:p>
            <w:r>
              <w:rPr>
                <w:rFonts w:hint="eastAsia"/>
              </w:rPr>
              <w:t>F</w:t>
            </w:r>
            <w:r>
              <w:t>or UP solutions for solution 2/3, the collected data is totally invisible to the intermediate node(s) (e.g. CN, OAM), then how to protect privacy is a big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Mediatek</w:t>
            </w:r>
          </w:p>
        </w:tc>
        <w:tc>
          <w:tcPr>
            <w:tcW w:w="7178" w:type="dxa"/>
            <w:tcBorders>
              <w:top w:val="single" w:color="auto" w:sz="4" w:space="0"/>
              <w:left w:val="single" w:color="auto" w:sz="4" w:space="0"/>
              <w:bottom w:val="single" w:color="auto" w:sz="4" w:space="0"/>
              <w:right w:val="single" w:color="auto" w:sz="4" w:space="0"/>
            </w:tcBorders>
          </w:tcPr>
          <w:p>
            <w:r>
              <w:t xml:space="preserve">For UP solution for solution 3, maybe we can have UP tunnel between UE and OAM. The data can be transferred to from UE to OAM through UP tunnel with RAN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rPr>
                <w:rFonts w:hint="eastAsia"/>
              </w:rPr>
              <w:t>S</w:t>
            </w:r>
            <w:r>
              <w:t>A2 already introduced the UP solution for LPP procedure between UE and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S</w:t>
            </w:r>
            <w:r>
              <w:t>preadtrum</w:t>
            </w:r>
          </w:p>
        </w:tc>
        <w:tc>
          <w:tcPr>
            <w:tcW w:w="7178" w:type="dxa"/>
            <w:tcBorders>
              <w:top w:val="single" w:color="auto" w:sz="4" w:space="0"/>
              <w:left w:val="single" w:color="auto" w:sz="4" w:space="0"/>
              <w:bottom w:val="single" w:color="auto" w:sz="4" w:space="0"/>
              <w:right w:val="single" w:color="auto" w:sz="4" w:space="0"/>
            </w:tcBorders>
          </w:tcPr>
          <w:p>
            <w:r>
              <w:rPr>
                <w:rFonts w:hint="eastAsia"/>
              </w:rPr>
              <w:t>It</w:t>
            </w:r>
            <w:r>
              <w:t xml:space="preserve"> may depend on SA2 discussion.</w:t>
            </w:r>
          </w:p>
          <w:p>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Z</w:t>
            </w:r>
            <w:r>
              <w:t>TE</w:t>
            </w:r>
          </w:p>
        </w:tc>
        <w:tc>
          <w:tcPr>
            <w:tcW w:w="7178" w:type="dxa"/>
            <w:tcBorders>
              <w:top w:val="single" w:color="auto" w:sz="4" w:space="0"/>
              <w:left w:val="single" w:color="auto" w:sz="4" w:space="0"/>
              <w:bottom w:val="single" w:color="auto" w:sz="4" w:space="0"/>
              <w:right w:val="single" w:color="auto" w:sz="4" w:space="0"/>
            </w:tcBorders>
          </w:tcPr>
          <w:p>
            <w:r>
              <w:rPr>
                <w:rFonts w:hint="eastAsia"/>
              </w:rPr>
              <w:t>U</w:t>
            </w:r>
            <w:r>
              <w:t>P solution for option 2 have some kind of existing structure to do that in SA2, the NEF based non-IP data delivery. However, we agree with HW that the privacy protec</w:t>
            </w:r>
            <w:bookmarkStart w:id="125" w:name="_GoBack"/>
            <w:bookmarkEnd w:id="125"/>
            <w:r>
              <w:t>tion is a big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X</w:t>
            </w:r>
            <w:r>
              <w:t>iaomi</w:t>
            </w:r>
          </w:p>
        </w:tc>
        <w:tc>
          <w:tcPr>
            <w:tcW w:w="7178" w:type="dxa"/>
            <w:tcBorders>
              <w:top w:val="single" w:color="auto" w:sz="4" w:space="0"/>
              <w:left w:val="single" w:color="auto" w:sz="4" w:space="0"/>
              <w:bottom w:val="single" w:color="auto" w:sz="4" w:space="0"/>
              <w:right w:val="single" w:color="auto" w:sz="4" w:space="0"/>
            </w:tcBorders>
          </w:tcPr>
          <w:p>
            <w:r>
              <w:rPr>
                <w:rFonts w:hint="eastAsia"/>
              </w:rPr>
              <w:t>T</w:t>
            </w:r>
            <w:r>
              <w:t>his is similar to positioning over user plane connection between UE and LMF (TS 23.273 clause 5.10 and TS 24.572).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CMCC</w:t>
            </w:r>
          </w:p>
        </w:tc>
        <w:tc>
          <w:tcPr>
            <w:tcW w:w="7178" w:type="dxa"/>
            <w:tcBorders>
              <w:top w:val="single" w:color="auto" w:sz="4" w:space="0"/>
              <w:left w:val="single" w:color="auto" w:sz="4" w:space="0"/>
              <w:bottom w:val="single" w:color="auto" w:sz="4" w:space="0"/>
              <w:right w:val="single" w:color="auto" w:sz="4" w:space="0"/>
            </w:tcBorders>
          </w:tcPr>
          <w:p>
            <w:r>
              <w:rPr>
                <w:rFonts w:hint="eastAsia"/>
              </w:rPr>
              <w:t xml:space="preserve">We </w:t>
            </w:r>
            <w:r>
              <w:t>agree with HW that the privacy protection is a big problem</w:t>
            </w:r>
            <w:r>
              <w:rPr>
                <w:rFonts w:hint="eastAsia"/>
              </w:rPr>
              <w:t xml:space="preserve"> for UP solution</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Intel</w:t>
            </w:r>
          </w:p>
        </w:tc>
        <w:tc>
          <w:tcPr>
            <w:tcW w:w="7178" w:type="dxa"/>
            <w:tcBorders>
              <w:top w:val="single" w:color="auto" w:sz="4" w:space="0"/>
              <w:left w:val="single" w:color="auto" w:sz="4" w:space="0"/>
              <w:bottom w:val="single" w:color="auto" w:sz="4" w:space="0"/>
              <w:right w:val="single" w:color="auto" w:sz="4" w:space="0"/>
            </w:tcBorders>
          </w:tcPr>
          <w:p>
            <w:r>
              <w:t>For solution 2, it is up to SA2 to decide how to support UP for data collection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rPr>
                <w:rFonts w:hint="eastAsia"/>
              </w:rPr>
              <w:t>Fujitsu</w:t>
            </w:r>
          </w:p>
        </w:tc>
        <w:tc>
          <w:tcPr>
            <w:tcW w:w="7178" w:type="dxa"/>
            <w:tcBorders>
              <w:top w:val="single" w:color="auto" w:sz="4" w:space="0"/>
              <w:left w:val="single" w:color="auto" w:sz="4" w:space="0"/>
              <w:bottom w:val="single" w:color="auto" w:sz="4" w:space="0"/>
              <w:right w:val="single" w:color="auto" w:sz="4" w:space="0"/>
            </w:tcBorders>
          </w:tcPr>
          <w:p>
            <w:r>
              <w:t>A</w:t>
            </w:r>
            <w:r>
              <w:rPr>
                <w:rFonts w:hint="eastAsia"/>
              </w:rPr>
              <w:t>gree with Apple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Verizon </w:t>
            </w:r>
          </w:p>
        </w:tc>
        <w:tc>
          <w:tcPr>
            <w:tcW w:w="7178" w:type="dxa"/>
            <w:tcBorders>
              <w:top w:val="single" w:color="auto" w:sz="4" w:space="0"/>
              <w:left w:val="single" w:color="auto" w:sz="4" w:space="0"/>
              <w:bottom w:val="single" w:color="auto" w:sz="4" w:space="0"/>
              <w:right w:val="single" w:color="auto" w:sz="4" w:space="0"/>
            </w:tcBorders>
          </w:tcPr>
          <w:p>
            <w:r>
              <w:t xml:space="preserve">Agree with Mediatek that a UP tunnel between UE and OAM with RAN control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T-Mobile USA</w:t>
            </w:r>
          </w:p>
        </w:tc>
        <w:tc>
          <w:tcPr>
            <w:tcW w:w="7178" w:type="dxa"/>
            <w:tcBorders>
              <w:top w:val="single" w:color="auto" w:sz="4" w:space="0"/>
              <w:left w:val="single" w:color="auto" w:sz="4" w:space="0"/>
              <w:bottom w:val="single" w:color="auto" w:sz="4" w:space="0"/>
              <w:right w:val="single" w:color="auto" w:sz="4" w:space="0"/>
            </w:tcBorders>
          </w:tcPr>
          <w:p>
            <w:r>
              <w:t>Needs further discussion, at the moment SA2 doesn’t have any plans to address UE data collection in R19.</w:t>
            </w:r>
          </w:p>
        </w:tc>
      </w:tr>
    </w:tbl>
    <w:p>
      <w:pPr>
        <w:pStyle w:val="3"/>
        <w:rPr>
          <w:rFonts w:eastAsiaTheme="minorEastAsia"/>
          <w:lang w:eastAsia="zh-TW"/>
        </w:rPr>
      </w:pPr>
      <w:r>
        <w:rPr>
          <w:rFonts w:eastAsiaTheme="minorEastAsia"/>
          <w:lang w:eastAsia="zh-TW"/>
        </w:rPr>
        <w:t>2.7 Privacy Concerns</w:t>
      </w:r>
    </w:p>
    <w:bookmarkEnd w:id="45"/>
    <w:p>
      <w:pPr>
        <w:pStyle w:val="6"/>
      </w:pPr>
      <w:bookmarkStart w:id="99" w:name="OLE_LINK1"/>
      <w:bookmarkStart w:id="100" w:name="OLE_LINK387"/>
      <w:bookmarkStart w:id="101" w:name="OLE_LINK351"/>
      <w:bookmarkStart w:id="102" w:name="OLE_LINK379"/>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pPr>
        <w:pStyle w:val="6"/>
      </w:pPr>
      <w:r>
        <w:t>MNO Privacy Concerns:</w:t>
      </w:r>
    </w:p>
    <w:p>
      <w:pPr>
        <w:pStyle w:val="6"/>
        <w:numPr>
          <w:ilvl w:val="0"/>
          <w:numId w:val="32"/>
        </w:numPr>
      </w:pPr>
      <w:r>
        <w:t xml:space="preserve">Network Information Disclosure: MNOs may inadvertently disclose sensitive network information, such as deployment strategies, network configurations, and performance metrics, to servers outside their network. </w:t>
      </w:r>
    </w:p>
    <w:p>
      <w:pPr>
        <w:pStyle w:val="6"/>
        <w:numPr>
          <w:ilvl w:val="0"/>
          <w:numId w:val="32"/>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pPr>
        <w:pStyle w:val="6"/>
      </w:pPr>
      <w:r>
        <w:t>Network Vendor Privacy Concerns:</w:t>
      </w:r>
    </w:p>
    <w:p>
      <w:pPr>
        <w:pStyle w:val="6"/>
        <w:numPr>
          <w:ilvl w:val="0"/>
          <w:numId w:val="32"/>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pPr>
        <w:pStyle w:val="6"/>
        <w:numPr>
          <w:ilvl w:val="0"/>
          <w:numId w:val="32"/>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pPr>
        <w:pStyle w:val="6"/>
      </w:pPr>
      <w:r>
        <w:t>Chipset Vendor Privacy Concerns:</w:t>
      </w:r>
    </w:p>
    <w:p>
      <w:pPr>
        <w:pStyle w:val="6"/>
        <w:numPr>
          <w:ilvl w:val="0"/>
          <w:numId w:val="32"/>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pPr>
        <w:pStyle w:val="6"/>
      </w:pPr>
      <w:r>
        <w:t>OEM Privacy Concerns:</w:t>
      </w:r>
    </w:p>
    <w:p>
      <w:pPr>
        <w:pStyle w:val="6"/>
        <w:numPr>
          <w:ilvl w:val="0"/>
          <w:numId w:val="32"/>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pPr>
        <w:pStyle w:val="6"/>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pPr>
        <w:pStyle w:val="6"/>
      </w:pPr>
      <w:bookmarkStart w:id="103"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104" w:name="OLE_LINK6"/>
      <w:r>
        <w:t xml:space="preserve">study. </w:t>
      </w:r>
    </w:p>
    <w:bookmarkEnd w:id="103"/>
    <w:p>
      <w:pPr>
        <w:pStyle w:val="6"/>
      </w:pPr>
      <w:r>
        <w:t>Q7: What’s your privacy concerns on the data collection?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Company</w:t>
            </w:r>
          </w:p>
        </w:tc>
        <w:tc>
          <w:tcPr>
            <w:tcW w:w="7178" w:type="dxa"/>
            <w:tcBorders>
              <w:top w:val="single" w:color="auto" w:sz="4" w:space="0"/>
              <w:left w:val="single" w:color="auto" w:sz="4" w:space="0"/>
              <w:bottom w:val="single" w:color="auto" w:sz="4" w:space="0"/>
              <w:right w:val="single" w:color="auto" w:sz="4" w:space="0"/>
            </w:tcBorders>
            <w:shd w:val="clear" w:color="auto" w:fill="AEAAAA" w:themeFill="background2" w:themeFillShade="BF"/>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Apple</w:t>
            </w:r>
          </w:p>
        </w:tc>
        <w:tc>
          <w:tcPr>
            <w:tcW w:w="7178" w:type="dxa"/>
            <w:tcBorders>
              <w:top w:val="single" w:color="auto" w:sz="4" w:space="0"/>
              <w:left w:val="single" w:color="auto" w:sz="4" w:space="0"/>
              <w:bottom w:val="single" w:color="auto" w:sz="4" w:space="0"/>
              <w:right w:val="single" w:color="auto" w:sz="4" w:space="0"/>
            </w:tcBorders>
          </w:tcPr>
          <w:p>
            <w:r>
              <w:t>As both UE vendor and chipset vendor, we have strong concerns on privacy from below aspects:</w:t>
            </w:r>
          </w:p>
          <w:p>
            <w:pPr>
              <w:pStyle w:val="26"/>
              <w:numPr>
                <w:ilvl w:val="0"/>
                <w:numId w:val="33"/>
              </w:numPr>
              <w:ind w:firstLineChars="0"/>
            </w:pPr>
            <w:r>
              <w:t xml:space="preserve">Concerns on UE Privacy: </w:t>
            </w:r>
          </w:p>
          <w:p>
            <w:pPr>
              <w:pStyle w:val="26"/>
              <w:numPr>
                <w:ilvl w:val="1"/>
                <w:numId w:val="33"/>
              </w:numPr>
              <w:ind w:firstLineChars="0"/>
            </w:pPr>
            <w:r>
              <w:t xml:space="preserve">As UE vendor, we have strong concern on exposure of UE privacy to unknown 3rd entity. We believe it is always most sensitive issue to all UE vendors, and it may violate privacy laws and damage the OEM's reputation. </w:t>
            </w:r>
          </w:p>
          <w:p>
            <w:pPr>
              <w:pStyle w:val="26"/>
              <w:numPr>
                <w:ilvl w:val="1"/>
                <w:numId w:val="33"/>
              </w:numPr>
              <w:ind w:firstLineChars="0"/>
            </w:pPr>
            <w:r>
              <w:t>The UE privacy at least includes UE Identities (SUPI, IP address, etc.), personal information, UE location, and UE trajectory information, etc.</w:t>
            </w:r>
          </w:p>
          <w:p>
            <w:pPr>
              <w:pStyle w:val="26"/>
              <w:numPr>
                <w:ilvl w:val="1"/>
                <w:numId w:val="33"/>
              </w:numPr>
              <w:ind w:firstLineChars="0"/>
            </w:pPr>
            <w:r>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pPr>
              <w:pStyle w:val="26"/>
            </w:pPr>
          </w:p>
          <w:p>
            <w:pPr>
              <w:pStyle w:val="26"/>
              <w:numPr>
                <w:ilvl w:val="0"/>
                <w:numId w:val="33"/>
              </w:numPr>
              <w:ind w:firstLineChars="0"/>
            </w:pPr>
            <w:r>
              <w:t xml:space="preserve">Concern on exposure of proprietary implementation to other vendors: </w:t>
            </w:r>
          </w:p>
          <w:p>
            <w:pPr>
              <w:pStyle w:val="26"/>
              <w:numPr>
                <w:ilvl w:val="1"/>
                <w:numId w:val="33"/>
              </w:numPr>
              <w:ind w:firstLineChars="0"/>
            </w:pPr>
            <w:r>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pPr>
              <w:pStyle w:val="26"/>
              <w:numPr>
                <w:ilvl w:val="1"/>
                <w:numId w:val="33"/>
              </w:numPr>
              <w:ind w:firstLineChars="0"/>
            </w:pPr>
            <w:r>
              <w:t>As chipset vendor, we have strong concern on exposure of our proprietary implementation to other vendors, including other chipset vendors, UE vendors, NW vendors, MNOs, and any 3</w:t>
            </w:r>
            <w:r>
              <w:rPr>
                <w:vertAlign w:val="superscript"/>
              </w:rPr>
              <w:t>rd</w:t>
            </w:r>
            <w:r>
              <w:t xml:space="preserve"> entity. </w:t>
            </w:r>
          </w:p>
          <w:p>
            <w:pPr>
              <w:pStyle w:val="26"/>
              <w:numPr>
                <w:ilvl w:val="1"/>
                <w:numId w:val="33"/>
              </w:numPr>
              <w:ind w:firstLineChars="0"/>
            </w:pPr>
            <w: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BT</w:t>
            </w:r>
          </w:p>
        </w:tc>
        <w:tc>
          <w:tcPr>
            <w:tcW w:w="7178" w:type="dxa"/>
            <w:tcBorders>
              <w:top w:val="single" w:color="auto" w:sz="4" w:space="0"/>
              <w:left w:val="single" w:color="auto" w:sz="4" w:space="0"/>
              <w:bottom w:val="single" w:color="auto" w:sz="4" w:space="0"/>
              <w:right w:val="single" w:color="auto" w:sz="4" w:space="0"/>
            </w:tcBorders>
          </w:tcPr>
          <w:p>
            <w: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r>
              <w:t>Option 1a is the only one that exempts operators from any responsibility, but that solution is totally outside 3GPP. It cannot be even considered as baseline.</w:t>
            </w:r>
          </w:p>
          <w:p>
            <w:r>
              <w:t>Collected data will expose our network design and network strategy. Any disclaim of that information will have a negative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Nokia</w:t>
            </w:r>
          </w:p>
        </w:tc>
        <w:tc>
          <w:tcPr>
            <w:tcW w:w="7178" w:type="dxa"/>
            <w:tcBorders>
              <w:top w:val="single" w:color="auto" w:sz="4" w:space="0"/>
              <w:left w:val="single" w:color="auto" w:sz="4" w:space="0"/>
              <w:bottom w:val="single" w:color="auto" w:sz="4" w:space="0"/>
              <w:right w:val="single" w:color="auto" w:sz="4" w:space="0"/>
            </w:tcBorders>
          </w:tcPr>
          <w:p>
            <w:r>
              <w:t>An additional privacy concern on Network Vendor that is not covered here is that radio topology and radio specific settings can be disclosed, and standard should not enable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Ericsson</w:t>
            </w:r>
          </w:p>
        </w:tc>
        <w:tc>
          <w:tcPr>
            <w:tcW w:w="7178" w:type="dxa"/>
            <w:tcBorders>
              <w:top w:val="single" w:color="auto" w:sz="4" w:space="0"/>
              <w:left w:val="single" w:color="auto" w:sz="4" w:space="0"/>
              <w:bottom w:val="single" w:color="auto" w:sz="4" w:space="0"/>
              <w:right w:val="single" w:color="auto" w:sz="4" w:space="0"/>
            </w:tcBorders>
          </w:tcPr>
          <w:p>
            <w:r>
              <w:t>All the concerns above can be taken into account. Agree with Nokia, about adding NW vendor privacy concerns.</w:t>
            </w:r>
          </w:p>
          <w:p>
            <w:r>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Huawei, HiSilicon</w:t>
            </w:r>
          </w:p>
        </w:tc>
        <w:tc>
          <w:tcPr>
            <w:tcW w:w="7178" w:type="dxa"/>
            <w:tcBorders>
              <w:top w:val="single" w:color="auto" w:sz="4" w:space="0"/>
              <w:left w:val="single" w:color="auto" w:sz="4" w:space="0"/>
              <w:bottom w:val="single" w:color="auto" w:sz="4" w:space="0"/>
              <w:right w:val="single" w:color="auto" w:sz="4" w:space="0"/>
            </w:tcBorders>
          </w:tcPr>
          <w:p>
            <w:r>
              <w:t>For the above bullets, our comments are as below:</w:t>
            </w:r>
          </w:p>
          <w:p>
            <w:r>
              <w:t>For Network Vendor Privacy Concerns:</w:t>
            </w:r>
          </w:p>
          <w:p>
            <w:r>
              <w:t>Suggest to add the following bullet:</w:t>
            </w:r>
          </w:p>
          <w:p>
            <w:r>
              <w:t>•</w:t>
            </w:r>
            <w:r>
              <w:tab/>
            </w:r>
            <w:r>
              <w:t>Violation of user privacy regulation: The equipment of the network vendor may be used for collecting user’s data without getting approval/consent from the user in advance, and this behaviour may violate the local regulations and risks the sales of the equipment.</w:t>
            </w:r>
          </w:p>
          <w:p/>
          <w:p>
            <w:r>
              <w:t>For Chipset Vendor Privacy Concerns:</w:t>
            </w:r>
          </w:p>
          <w:p>
            <w:r>
              <w:t>Add more description for Proprietary Technology Exposure:</w:t>
            </w:r>
          </w:p>
          <w:p>
            <w:r>
              <w:t>Another risk is that some sensitive data of a chipset vendor may be exposed to a second vendor without the knowledge of the chipset vendor.</w:t>
            </w:r>
          </w:p>
          <w:p/>
          <w:p>
            <w:r>
              <w:t>For OEM Privacy Concerns:</w:t>
            </w:r>
          </w:p>
          <w:p>
            <w:r>
              <w:t>Suggest to add the following bullet:</w:t>
            </w:r>
          </w:p>
          <w:p>
            <w:r>
              <w:t>•</w:t>
            </w:r>
            <w:r>
              <w:tab/>
            </w:r>
            <w:r>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p/>
          <w:p>
            <w:r>
              <w:t>We have more comments for listed solutions:</w:t>
            </w:r>
          </w:p>
          <w:p>
            <w:r>
              <w:t>For Solution 1a), if user consent is used via implementation, we understand that all the user data are delivered within the user itself, with the 3GPP entities involved as transparent path, so we observe no privacy issues.</w:t>
            </w:r>
          </w:p>
          <w:p>
            <w:r>
              <w:t>For Solution 1b), as we commented in section 2.4 and 2.5, this solution can not achieve "full" controllability and visibility, so there may be privacy issues.</w:t>
            </w:r>
          </w:p>
          <w:p>
            <w:r>
              <w:t>For Solution 2 and 3, as we commented above, some sensitive data of a chipset/OEM vendor may be exposed to a second vendor without the knowledge of the chipset/OEM vendor, so there may be privacy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OPPO</w:t>
            </w:r>
          </w:p>
        </w:tc>
        <w:tc>
          <w:tcPr>
            <w:tcW w:w="7178" w:type="dxa"/>
            <w:tcBorders>
              <w:top w:val="single" w:color="auto" w:sz="4" w:space="0"/>
              <w:left w:val="single" w:color="auto" w:sz="4" w:space="0"/>
              <w:bottom w:val="single" w:color="auto" w:sz="4" w:space="0"/>
              <w:right w:val="single" w:color="auto" w:sz="4" w:space="0"/>
            </w:tcBorders>
          </w:tcPr>
          <w:p>
            <w:pPr>
              <w:rPr>
                <w:b/>
              </w:rPr>
            </w:pPr>
            <w:r>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vivo</w:t>
            </w:r>
          </w:p>
        </w:tc>
        <w:tc>
          <w:tcPr>
            <w:tcW w:w="7178" w:type="dxa"/>
            <w:tcBorders>
              <w:top w:val="single" w:color="auto" w:sz="4" w:space="0"/>
              <w:left w:val="single" w:color="auto" w:sz="4" w:space="0"/>
              <w:bottom w:val="single" w:color="auto" w:sz="4" w:space="0"/>
              <w:right w:val="single" w:color="auto" w:sz="4" w:space="0"/>
            </w:tcBorders>
          </w:tcPr>
          <w:p>
            <w:r>
              <w:t>1. User data exposure without user consent. And user consent should guarantee specified data collection from UE.</w:t>
            </w:r>
          </w:p>
          <w:p>
            <w:r>
              <w:t>2. UE vendor-specific info exposed to other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Spreadtrum</w:t>
            </w:r>
          </w:p>
        </w:tc>
        <w:tc>
          <w:tcPr>
            <w:tcW w:w="7178" w:type="dxa"/>
            <w:tcBorders>
              <w:top w:val="single" w:color="auto" w:sz="4" w:space="0"/>
              <w:left w:val="single" w:color="auto" w:sz="4" w:space="0"/>
              <w:bottom w:val="single" w:color="auto" w:sz="4" w:space="0"/>
              <w:right w:val="single" w:color="auto" w:sz="4" w:space="0"/>
            </w:tcBorders>
          </w:tcPr>
          <w:p>
            <w:r>
              <w:t>Rapporteur’s views on privacy concern make sense.</w:t>
            </w:r>
          </w:p>
          <w:p>
            <w:r>
              <w:t>As chipset vendor, we hope our hardware design and associated algorithms can be protected and do not been exposed.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ZTE</w:t>
            </w:r>
          </w:p>
        </w:tc>
        <w:tc>
          <w:tcPr>
            <w:tcW w:w="7178" w:type="dxa"/>
            <w:tcBorders>
              <w:top w:val="single" w:color="auto" w:sz="4" w:space="0"/>
              <w:left w:val="single" w:color="auto" w:sz="4" w:space="0"/>
              <w:bottom w:val="single" w:color="auto" w:sz="4" w:space="0"/>
              <w:right w:val="single" w:color="auto" w:sz="4" w:space="0"/>
            </w:tcBorders>
          </w:tcPr>
          <w:p>
            <w:r>
              <w:t>The same view with Nokia, the radio related setting shall not be disclosed by the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China Unicom</w:t>
            </w:r>
          </w:p>
        </w:tc>
        <w:tc>
          <w:tcPr>
            <w:tcW w:w="7178" w:type="dxa"/>
            <w:tcBorders>
              <w:top w:val="single" w:color="auto" w:sz="4" w:space="0"/>
              <w:left w:val="single" w:color="auto" w:sz="4" w:space="0"/>
              <w:bottom w:val="single" w:color="auto" w:sz="4" w:space="0"/>
              <w:right w:val="single" w:color="auto" w:sz="4" w:space="0"/>
            </w:tcBorders>
          </w:tcPr>
          <w:p>
            <w:pPr>
              <w:pStyle w:val="26"/>
              <w:numPr>
                <w:ilvl w:val="0"/>
                <w:numId w:val="34"/>
              </w:numPr>
              <w:ind w:firstLineChars="0"/>
            </w:pPr>
            <w:r>
              <w:t>Concerns on the network design and network strategy exposure.</w:t>
            </w:r>
          </w:p>
          <w:p>
            <w:pPr>
              <w:pStyle w:val="26"/>
              <w:numPr>
                <w:ilvl w:val="0"/>
                <w:numId w:val="34"/>
              </w:numPr>
              <w:ind w:firstLineChars="0"/>
            </w:pPr>
            <w:r>
              <w:t>Concerns on the private data leak, and user behavior exposure, which may violate the regulation and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Xiaomi</w:t>
            </w:r>
          </w:p>
        </w:tc>
        <w:tc>
          <w:tcPr>
            <w:tcW w:w="7178" w:type="dxa"/>
            <w:tcBorders>
              <w:top w:val="single" w:color="auto" w:sz="4" w:space="0"/>
              <w:left w:val="single" w:color="auto" w:sz="4" w:space="0"/>
              <w:bottom w:val="single" w:color="auto" w:sz="4" w:space="0"/>
              <w:right w:val="single" w:color="auto" w:sz="4" w:space="0"/>
            </w:tcBorders>
          </w:tcPr>
          <w:p>
            <w:r>
              <w:t>In general, all stakeholders’ privacy concerns should be respected. Specifically for UE side data collection, our understanding is that UE cannot collect data related to MNO privacy (e.g. deployment strategy) and network vendor privacy (e.g. hardware and software design). Therefore chipset vendor and OEM privacy concern are more relevant for UE side data collection. Data should be only accessible to MNO or third parties when there are user consent and SLA in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 xml:space="preserve">Samsung </w:t>
            </w:r>
          </w:p>
        </w:tc>
        <w:tc>
          <w:tcPr>
            <w:tcW w:w="7178" w:type="dxa"/>
            <w:tcBorders>
              <w:top w:val="single" w:color="auto" w:sz="4" w:space="0"/>
              <w:left w:val="single" w:color="auto" w:sz="4" w:space="0"/>
              <w:bottom w:val="single" w:color="auto" w:sz="4" w:space="0"/>
              <w:right w:val="single" w:color="auto" w:sz="4" w:space="0"/>
            </w:tcBorders>
          </w:tcPr>
          <w:p>
            <w:r>
              <w:t xml:space="preserve">As we explained in </w:t>
            </w:r>
            <w:r>
              <w:fldChar w:fldCharType="begin"/>
            </w:r>
            <w:r>
              <w:instrText xml:space="preserve"> HYPERLINK "https://www.3gpp.org/ftp/Meetings_3GPP_SYNC/RAN2/Docs/R2-2402375.zip" </w:instrText>
            </w:r>
            <w:r>
              <w:fldChar w:fldCharType="separate"/>
            </w:r>
            <w:r>
              <w:rPr>
                <w:rStyle w:val="17"/>
                <w:rFonts w:cs="Times New Roman"/>
                <w:szCs w:val="21"/>
              </w:rPr>
              <w:t>R2-2402375</w:t>
            </w:r>
            <w:r>
              <w:rPr>
                <w:rStyle w:val="17"/>
                <w:rFonts w:cs="Times New Roman"/>
                <w:szCs w:val="21"/>
              </w:rPr>
              <w:fldChar w:fldCharType="end"/>
            </w:r>
            <w:r>
              <w:t>, one of the major privacy concern is related to:</w:t>
            </w:r>
          </w:p>
          <w:p>
            <w:r>
              <w:t xml:space="preserve">Disclosure of user data to a third party (Option 1b, 2 and 3): </w:t>
            </w:r>
          </w:p>
          <w:p>
            <w:pPr>
              <w:pStyle w:val="26"/>
              <w:numPr>
                <w:ilvl w:val="0"/>
                <w:numId w:val="35"/>
              </w:numPr>
              <w:ind w:firstLineChars="0"/>
            </w:pPr>
            <w:r>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pPr>
              <w:pStyle w:val="26"/>
              <w:numPr>
                <w:ilvl w:val="0"/>
                <w:numId w:val="35"/>
              </w:numPr>
              <w:ind w:firstLineChars="0"/>
            </w:pPr>
            <w:r>
              <w:t>Moreover, the “Chipset Vendor Privacy Concerns”, should be modified to “UE vendor” to encompass both Chipset Vendor and UE 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Lenovo</w:t>
            </w:r>
          </w:p>
        </w:tc>
        <w:tc>
          <w:tcPr>
            <w:tcW w:w="7178" w:type="dxa"/>
            <w:tcBorders>
              <w:top w:val="single" w:color="auto" w:sz="4" w:space="0"/>
              <w:left w:val="single" w:color="auto" w:sz="4" w:space="0"/>
              <w:bottom w:val="single" w:color="auto" w:sz="4" w:space="0"/>
              <w:right w:val="single" w:color="auto" w:sz="4" w:space="0"/>
            </w:tcBorders>
          </w:tcPr>
          <w:p>
            <w:r>
              <w:t>Agree that all the concerns mentioned by rapporteur and other companies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Qualcomm</w:t>
            </w:r>
          </w:p>
        </w:tc>
        <w:tc>
          <w:tcPr>
            <w:tcW w:w="7178" w:type="dxa"/>
            <w:tcBorders>
              <w:top w:val="single" w:color="auto" w:sz="4" w:space="0"/>
              <w:left w:val="single" w:color="auto" w:sz="4" w:space="0"/>
              <w:bottom w:val="single" w:color="auto" w:sz="4" w:space="0"/>
              <w:right w:val="single" w:color="auto" w:sz="4" w:space="0"/>
            </w:tcBorders>
          </w:tcPr>
          <w:p>
            <w:r>
              <w:t xml:space="preserve">As we mentioned, in our contribution paper [24], we have concerns with the sharing of UE proprietary information with other UE vendors, infra vendors, MNO (without SLA), and third parties. </w:t>
            </w:r>
          </w:p>
          <w:p/>
          <w:p>
            <w:r>
              <w:t>We have similar understanding/concerns, as raised by Apple</w:t>
            </w:r>
          </w:p>
          <w:p>
            <w:pPr>
              <w:pStyle w:val="26"/>
              <w:numPr>
                <w:ilvl w:val="0"/>
                <w:numId w:val="22"/>
              </w:numPr>
              <w:ind w:firstLineChars="0"/>
            </w:pPr>
            <w:r>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pPr>
              <w:pStyle w:val="26"/>
              <w:numPr>
                <w:ilvl w:val="0"/>
                <w:numId w:val="22"/>
              </w:numPr>
              <w:ind w:firstLineChars="0"/>
            </w:pPr>
            <w:r>
              <w:t>We have concerns about the exposure of our proprietary implementation to other vendors, including, other UE vendors, NW vendors, MNOs (without SLA), and any 3</w:t>
            </w:r>
            <w:r>
              <w:rPr>
                <w:vertAlign w:val="superscript"/>
              </w:rPr>
              <w:t>rd</w:t>
            </w:r>
            <w:r>
              <w:t xml:space="preserve"> entity. </w:t>
            </w:r>
          </w:p>
          <w:p/>
          <w:p>
            <w:r>
              <w:t>Therefore, from the UE vendor perspective, as we mentioned in our paper [24], the below should be the baseline requirement:</w:t>
            </w:r>
          </w:p>
          <w:p>
            <w:r>
              <w:t xml:space="preserve">The data collected from/by one UE vendor cannot be shared with other UE vendors, network vendors, MNO (without SLA), or third parties.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CMCC</w:t>
            </w:r>
          </w:p>
        </w:tc>
        <w:tc>
          <w:tcPr>
            <w:tcW w:w="7178" w:type="dxa"/>
            <w:tcBorders>
              <w:top w:val="single" w:color="auto" w:sz="4" w:space="0"/>
              <w:left w:val="single" w:color="auto" w:sz="4" w:space="0"/>
              <w:bottom w:val="single" w:color="auto" w:sz="4" w:space="0"/>
              <w:right w:val="single" w:color="auto" w:sz="4" w:space="0"/>
            </w:tcBorders>
          </w:tcPr>
          <w:p>
            <w:r>
              <w:t>We share the same view with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r>
              <w:t>Interdigital</w:t>
            </w:r>
          </w:p>
        </w:tc>
        <w:tc>
          <w:tcPr>
            <w:tcW w:w="7178" w:type="dxa"/>
            <w:tcBorders>
              <w:top w:val="single" w:color="auto" w:sz="4" w:space="0"/>
              <w:left w:val="single" w:color="auto" w:sz="4" w:space="0"/>
              <w:bottom w:val="single" w:color="auto" w:sz="4" w:space="0"/>
              <w:right w:val="single" w:color="auto" w:sz="4" w:space="0"/>
            </w:tcBorders>
          </w:tcPr>
          <w:p>
            <w:r>
              <w:t>We think rapporteur’s summary have captured the major concerns. Specifically, the main privacy concerns are:</w:t>
            </w:r>
          </w:p>
          <w:p>
            <w:pPr>
              <w:pStyle w:val="26"/>
              <w:numPr>
                <w:ilvl w:val="0"/>
                <w:numId w:val="19"/>
              </w:numPr>
              <w:ind w:firstLineChars="0"/>
            </w:pPr>
            <w:r>
              <w:t xml:space="preserve">exposure of data without UE consent (e.g., identity, location, etc.), </w:t>
            </w:r>
          </w:p>
          <w:p>
            <w:pPr>
              <w:pStyle w:val="26"/>
              <w:numPr>
                <w:ilvl w:val="0"/>
                <w:numId w:val="19"/>
              </w:numPr>
              <w:ind w:firstLineChars="0"/>
            </w:pPr>
            <w:r>
              <w:t xml:space="preserve">exposure of network deployment/configuration, </w:t>
            </w:r>
          </w:p>
          <w:p>
            <w:pPr>
              <w:pStyle w:val="26"/>
              <w:numPr>
                <w:ilvl w:val="0"/>
                <w:numId w:val="19"/>
              </w:numPr>
              <w:ind w:firstLineChars="0"/>
            </w:pPr>
            <w:r>
              <w:t>exposure of UE vendor’s proprietary information (e.g., implementation related, configuration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DISH</w:t>
            </w:r>
          </w:p>
        </w:tc>
        <w:tc>
          <w:tcPr>
            <w:tcW w:w="7178" w:type="dxa"/>
          </w:tcPr>
          <w:p>
            <w:r>
              <w:t>Agree that privacy concerns listed by the moderators need to be considered when in evaluating solutions. Solutions should be designed to satisfy those privacy aspects.</w:t>
            </w:r>
          </w:p>
          <w:p/>
          <w:p>
            <w:r>
              <w:t>In addition, we would like to understand companies’ (RAN2) understanding with regard to the ownership of the data generated in/by the UE (device) and in this case, collected/transferred to a “server” for the purpose of AI/ML training.</w:t>
            </w:r>
          </w:p>
          <w:p>
            <w:r>
              <w:t>Our understanding is that MNO owns and reserves the right to use those data for any network optimizations and/or device/user experience improvement effort (including by AI/ML with UE sided training, NW sided training or combination of the two). Therefore MNO is responsible to ensure that all the privacy/security aspects are enforced whenever this data is transferred from UE to a server. The legal agreement for this should be covered in user contract to use MNO’s network. (or different MNO may have different way of enforcing user policy agreement)</w:t>
            </w:r>
            <w:r>
              <w:br w:type="textWrapping"/>
            </w:r>
            <w: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br w:type="textWrapping"/>
            </w:r>
            <w:r>
              <w:t xml:space="preserve">Maybe clarifying this aspect may help to understand why MNOs think that it’s important to have solution with full controllability and visibility.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Verizon</w:t>
            </w:r>
          </w:p>
        </w:tc>
        <w:tc>
          <w:tcPr>
            <w:tcW w:w="7178" w:type="dxa"/>
          </w:tcPr>
          <w:p>
            <w:r>
              <w:t xml:space="preserve">Agree with BT. Operators are under regulatory control and held responsible to protect the privacy of customer proprietary network information. Leakage of such data can lead to severe penalties/restrictions for operators. It is essential for MNOs to have the necessary tools to protect data leakage. Therefor it is important to have the first termination of data collection within the MNO network (CN or OAM).  </w:t>
            </w:r>
          </w:p>
        </w:tc>
      </w:tr>
    </w:tbl>
    <w:p>
      <w:pPr>
        <w:pStyle w:val="6"/>
      </w:pPr>
    </w:p>
    <w:p>
      <w:pPr>
        <w:pStyle w:val="2"/>
      </w:pPr>
      <w:r>
        <w:t>3</w:t>
      </w:r>
      <w:r>
        <w:tab/>
      </w:r>
      <w:r>
        <w:t>Appendix</w:t>
      </w:r>
    </w:p>
    <w:p>
      <w:pPr>
        <w:pStyle w:val="6"/>
        <w:sectPr>
          <w:pgSz w:w="11906" w:h="16838"/>
          <w:pgMar w:top="1440" w:right="1440" w:bottom="1440" w:left="1440" w:header="720" w:footer="720" w:gutter="0"/>
          <w:cols w:space="720" w:num="1"/>
          <w:docGrid w:type="lines" w:linePitch="312" w:charSpace="0"/>
        </w:sectPr>
      </w:pPr>
    </w:p>
    <w:bookmarkEnd w:id="99"/>
    <w:bookmarkEnd w:id="100"/>
    <w:bookmarkEnd w:id="104"/>
    <w:p>
      <w:pPr>
        <w:rPr>
          <w:lang w:val="en-GB"/>
        </w:rPr>
      </w:pPr>
      <w:r>
        <w:rPr>
          <w:rFonts w:hint="eastAsia"/>
          <w:lang w:val="en-GB"/>
        </w:rPr>
        <w:t>T</w:t>
      </w:r>
      <w:r>
        <w:rPr>
          <w:lang w:val="en-GB"/>
        </w:rPr>
        <w:t>able 1 Comparative analysis among different data collection approaches</w:t>
      </w:r>
    </w:p>
    <w:tbl>
      <w:tblPr>
        <w:tblStyle w:val="14"/>
        <w:tblW w:w="13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2993"/>
        <w:gridCol w:w="3126"/>
        <w:gridCol w:w="2817"/>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shd w:val="clear" w:color="auto" w:fill="AEAAAA" w:themeFill="background2" w:themeFillShade="BF"/>
          </w:tcPr>
          <w:p>
            <w:pPr>
              <w:rPr>
                <w:lang w:val="en-GB"/>
              </w:rPr>
            </w:pPr>
            <w:bookmarkStart w:id="105" w:name="_Hlk164374534"/>
            <w:bookmarkStart w:id="106" w:name="_Hlk164375983"/>
            <w:bookmarkStart w:id="107" w:name="OLE_LINK397"/>
            <w:r>
              <w:rPr>
                <w:lang w:val="en-GB"/>
              </w:rPr>
              <w:t>Aspects</w:t>
            </w:r>
          </w:p>
        </w:tc>
        <w:tc>
          <w:tcPr>
            <w:tcW w:w="3118" w:type="dxa"/>
            <w:shd w:val="clear" w:color="auto" w:fill="AEAAAA" w:themeFill="background2" w:themeFillShade="BF"/>
          </w:tcPr>
          <w:p>
            <w:pPr>
              <w:rPr>
                <w:lang w:val="en-GB"/>
              </w:rPr>
            </w:pPr>
            <w:r>
              <w:rPr>
                <w:lang w:val="en-GB"/>
              </w:rPr>
              <w:t>1a) OTT (3GPP Transparent)</w:t>
            </w:r>
          </w:p>
        </w:tc>
        <w:tc>
          <w:tcPr>
            <w:tcW w:w="3272" w:type="dxa"/>
            <w:shd w:val="clear" w:color="auto" w:fill="AEAAAA" w:themeFill="background2" w:themeFillShade="BF"/>
          </w:tcPr>
          <w:p>
            <w:pPr>
              <w:rPr>
                <w:lang w:val="sv-SE"/>
              </w:rPr>
            </w:pPr>
            <w:r>
              <w:rPr>
                <w:lang w:val="sv-SE"/>
              </w:rPr>
              <w:t>1b) OTT (Non-3GPP Transparent)</w:t>
            </w:r>
          </w:p>
        </w:tc>
        <w:tc>
          <w:tcPr>
            <w:tcW w:w="2790" w:type="dxa"/>
            <w:shd w:val="clear" w:color="auto" w:fill="AEAAAA" w:themeFill="background2" w:themeFillShade="BF"/>
          </w:tcPr>
          <w:p>
            <w:pPr>
              <w:rPr>
                <w:lang w:val="en-GB"/>
              </w:rPr>
            </w:pPr>
            <w:r>
              <w:rPr>
                <w:lang w:val="en-GB"/>
              </w:rPr>
              <w:t>2. Transfer via Core Network</w:t>
            </w:r>
          </w:p>
        </w:tc>
        <w:tc>
          <w:tcPr>
            <w:tcW w:w="2792" w:type="dxa"/>
            <w:shd w:val="clear" w:color="auto" w:fill="AEAAAA" w:themeFill="background2" w:themeFillShade="BF"/>
          </w:tcPr>
          <w:p>
            <w:pPr>
              <w:rPr>
                <w:lang w:val="en-GB"/>
              </w:rPr>
            </w:pPr>
            <w:r>
              <w:rPr>
                <w:lang w:val="en-GB"/>
              </w:rPr>
              <w:t>3. Transfer via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bookmarkStart w:id="108" w:name="OLE_LINK85"/>
            <w:r>
              <w:rPr>
                <w:lang w:val="en-GB"/>
              </w:rPr>
              <w:t>Termination Entity</w:t>
            </w:r>
            <w:bookmarkEnd w:id="108"/>
          </w:p>
        </w:tc>
        <w:tc>
          <w:tcPr>
            <w:tcW w:w="3118" w:type="dxa"/>
          </w:tcPr>
          <w:p>
            <w:pPr>
              <w:rPr>
                <w:lang w:val="en-GB"/>
              </w:rPr>
            </w:pPr>
            <w:bookmarkStart w:id="109" w:name="OLE_LINK367"/>
            <w:r>
              <w:rPr>
                <w:lang w:val="en-GB"/>
              </w:rPr>
              <w:t>UE-side OTT server</w:t>
            </w:r>
            <w:bookmarkEnd w:id="109"/>
          </w:p>
        </w:tc>
        <w:tc>
          <w:tcPr>
            <w:tcW w:w="3272" w:type="dxa"/>
          </w:tcPr>
          <w:p>
            <w:pPr>
              <w:rPr>
                <w:lang w:val="en-GB"/>
              </w:rPr>
            </w:pPr>
            <w:r>
              <w:rPr>
                <w:lang w:val="en-GB"/>
              </w:rPr>
              <w:t>UE-side OTT server</w:t>
            </w:r>
          </w:p>
        </w:tc>
        <w:tc>
          <w:tcPr>
            <w:tcW w:w="2790" w:type="dxa"/>
          </w:tcPr>
          <w:p>
            <w:pPr>
              <w:rPr>
                <w:lang w:val="en-GB"/>
              </w:rPr>
            </w:pPr>
            <w:r>
              <w:rPr>
                <w:lang w:val="en-GB"/>
              </w:rPr>
              <w:t>CN</w:t>
            </w:r>
          </w:p>
        </w:tc>
        <w:tc>
          <w:tcPr>
            <w:tcW w:w="2792" w:type="dxa"/>
          </w:tcPr>
          <w:p>
            <w:pPr>
              <w:rPr>
                <w:lang w:val="en-GB"/>
              </w:rPr>
            </w:pPr>
            <w:r>
              <w:rPr>
                <w:lang w:val="en-GB"/>
              </w:rPr>
              <w:t>OAM</w:t>
            </w:r>
          </w:p>
        </w:tc>
      </w:tr>
      <w:bookmark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rPr>
                <w:lang w:val="en-GB"/>
              </w:rPr>
              <w:t>Inside/outside MNO’s network</w:t>
            </w:r>
          </w:p>
        </w:tc>
        <w:tc>
          <w:tcPr>
            <w:tcW w:w="3118" w:type="dxa"/>
          </w:tcPr>
          <w:p>
            <w:pPr>
              <w:rPr>
                <w:lang w:val="en-GB"/>
              </w:rPr>
            </w:pPr>
            <w:r>
              <w:rPr>
                <w:lang w:val="en-GB"/>
              </w:rPr>
              <w:t>Outside</w:t>
            </w:r>
          </w:p>
        </w:tc>
        <w:tc>
          <w:tcPr>
            <w:tcW w:w="3272" w:type="dxa"/>
          </w:tcPr>
          <w:p>
            <w:pPr>
              <w:rPr>
                <w:lang w:val="en-GB"/>
              </w:rPr>
            </w:pPr>
            <w:r>
              <w:rPr>
                <w:lang w:val="en-GB"/>
              </w:rPr>
              <w:t>Inside/Outside</w:t>
            </w:r>
          </w:p>
        </w:tc>
        <w:tc>
          <w:tcPr>
            <w:tcW w:w="2790" w:type="dxa"/>
          </w:tcPr>
          <w:p>
            <w:pPr>
              <w:rPr>
                <w:lang w:val="en-GB"/>
              </w:rPr>
            </w:pPr>
            <w:r>
              <w:rPr>
                <w:lang w:val="en-GB"/>
              </w:rPr>
              <w:t>Inside/outside</w:t>
            </w:r>
          </w:p>
        </w:tc>
        <w:tc>
          <w:tcPr>
            <w:tcW w:w="2792" w:type="dxa"/>
          </w:tcPr>
          <w:p>
            <w:pPr>
              <w:rPr>
                <w:lang w:val="en-GB"/>
              </w:rPr>
            </w:pPr>
            <w:r>
              <w:rPr>
                <w:lang w:val="en-GB"/>
              </w:rPr>
              <w:t>Inside/outside</w:t>
            </w:r>
          </w:p>
        </w:tc>
      </w:tr>
      <w:bookmark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bookmarkStart w:id="110" w:name="OLE_LINK87"/>
            <w:r>
              <w:rPr>
                <w:lang w:val="en-GB"/>
              </w:rPr>
              <w:t>Transport Tunnel</w:t>
            </w:r>
            <w:bookmarkEnd w:id="110"/>
          </w:p>
        </w:tc>
        <w:tc>
          <w:tcPr>
            <w:tcW w:w="3118" w:type="dxa"/>
          </w:tcPr>
          <w:p>
            <w:pPr>
              <w:rPr>
                <w:lang w:val="en-GB"/>
              </w:rPr>
            </w:pPr>
            <w:r>
              <w:rPr>
                <w:lang w:val="en-GB"/>
              </w:rPr>
              <w:t>UP tunnel (</w:t>
            </w:r>
            <w:bookmarkStart w:id="111"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111"/>
            <w:r>
              <w:rPr>
                <w:lang w:val="en-GB"/>
              </w:rPr>
              <w:t>)</w:t>
            </w:r>
          </w:p>
        </w:tc>
        <w:tc>
          <w:tcPr>
            <w:tcW w:w="3272" w:type="dxa"/>
          </w:tcPr>
          <w:p>
            <w:pPr>
              <w:rPr>
                <w:lang w:val="en-GB"/>
              </w:rPr>
            </w:pPr>
            <w:r>
              <w:rPr>
                <w:lang w:val="en-GB"/>
              </w:rPr>
              <w:t>UP tunnel (Note: data collection may be charged as normal traffic.)</w:t>
            </w:r>
          </w:p>
        </w:tc>
        <w:tc>
          <w:tcPr>
            <w:tcW w:w="2790" w:type="dxa"/>
          </w:tcPr>
          <w:p>
            <w:pPr>
              <w:rPr>
                <w:lang w:val="en-GB"/>
              </w:rPr>
            </w:pPr>
            <w:r>
              <w:rPr>
                <w:lang w:val="en-GB"/>
              </w:rPr>
              <w:t xml:space="preserve">CP tunnel </w:t>
            </w:r>
            <w:bookmarkStart w:id="112" w:name="OLE_LINK383"/>
            <w:r>
              <w:rPr>
                <w:lang w:val="en-GB"/>
              </w:rPr>
              <w:t>(FFS: UP tunnel)</w:t>
            </w:r>
            <w:bookmarkEnd w:id="112"/>
          </w:p>
        </w:tc>
        <w:tc>
          <w:tcPr>
            <w:tcW w:w="2792" w:type="dxa"/>
          </w:tcPr>
          <w:p>
            <w:pPr>
              <w:rPr>
                <w:lang w:val="en-GB"/>
              </w:rPr>
            </w:pPr>
            <w:r>
              <w:rPr>
                <w:lang w:val="en-GB"/>
              </w:rPr>
              <w:t>CP tunnel (FFS: UP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bookmarkStart w:id="113" w:name="OLE_LINK86"/>
            <w:r>
              <w:rPr>
                <w:lang w:val="en-GB"/>
              </w:rPr>
              <w:t>Protocol layer for data transfer</w:t>
            </w:r>
            <w:bookmarkEnd w:id="113"/>
          </w:p>
        </w:tc>
        <w:tc>
          <w:tcPr>
            <w:tcW w:w="3118" w:type="dxa"/>
          </w:tcPr>
          <w:p>
            <w:pPr>
              <w:rPr>
                <w:lang w:val="en-GB"/>
              </w:rPr>
            </w:pPr>
            <w:r>
              <w:rPr>
                <w:lang w:val="en-GB"/>
              </w:rPr>
              <w:t>Application layer</w:t>
            </w:r>
          </w:p>
        </w:tc>
        <w:tc>
          <w:tcPr>
            <w:tcW w:w="3272" w:type="dxa"/>
          </w:tcPr>
          <w:p>
            <w:pPr>
              <w:rPr>
                <w:lang w:val="en-GB"/>
              </w:rPr>
            </w:pPr>
            <w:r>
              <w:rPr>
                <w:lang w:val="en-GB"/>
              </w:rPr>
              <w:t>Application layer</w:t>
            </w:r>
          </w:p>
        </w:tc>
        <w:tc>
          <w:tcPr>
            <w:tcW w:w="2790" w:type="dxa"/>
          </w:tcPr>
          <w:p>
            <w:pPr>
              <w:rPr>
                <w:lang w:val="en-GB"/>
              </w:rPr>
            </w:pPr>
            <w:r>
              <w:rPr>
                <w:lang w:val="en-GB"/>
              </w:rPr>
              <w:t xml:space="preserve">NAS or RRC layer </w:t>
            </w:r>
            <w:bookmarkStart w:id="114" w:name="OLE_LINK384"/>
            <w:r>
              <w:rPr>
                <w:lang w:val="en-GB"/>
              </w:rPr>
              <w:t>(FFS: transport layer of UP tunnel)</w:t>
            </w:r>
            <w:bookmarkEnd w:id="114"/>
          </w:p>
        </w:tc>
        <w:tc>
          <w:tcPr>
            <w:tcW w:w="2792" w:type="dxa"/>
          </w:tcPr>
          <w:p>
            <w:pPr>
              <w:rPr>
                <w:lang w:val="en-GB"/>
              </w:rPr>
            </w:pPr>
            <w:r>
              <w:rPr>
                <w:lang w:val="en-GB"/>
              </w:rPr>
              <w:t>RRC layer (FFS: transport layer of UP 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rPr>
                <w:lang w:val="en-GB"/>
              </w:rPr>
              <w:t>Data Collection Controller</w:t>
            </w:r>
          </w:p>
        </w:tc>
        <w:tc>
          <w:tcPr>
            <w:tcW w:w="3118" w:type="dxa"/>
          </w:tcPr>
          <w:p>
            <w:pPr>
              <w:rPr>
                <w:lang w:val="en-GB"/>
              </w:rPr>
            </w:pPr>
            <w:r>
              <w:rPr>
                <w:lang w:val="en-GB"/>
              </w:rPr>
              <w:t>UE-side OTT server</w:t>
            </w:r>
          </w:p>
        </w:tc>
        <w:tc>
          <w:tcPr>
            <w:tcW w:w="3272" w:type="dxa"/>
          </w:tcPr>
          <w:p>
            <w:pPr>
              <w:rPr>
                <w:lang w:val="fr-FR"/>
              </w:rPr>
            </w:pPr>
            <w:r>
              <w:rPr>
                <w:lang w:val="fr-FR"/>
              </w:rPr>
              <w:t>CN (certain NF, e.g., DCAF)</w:t>
            </w:r>
          </w:p>
        </w:tc>
        <w:tc>
          <w:tcPr>
            <w:tcW w:w="2790" w:type="dxa"/>
          </w:tcPr>
          <w:p>
            <w:pPr>
              <w:rPr>
                <w:lang w:val="en-GB"/>
              </w:rPr>
            </w:pPr>
            <w:r>
              <w:rPr>
                <w:lang w:val="en-GB"/>
              </w:rPr>
              <w:t>CN</w:t>
            </w:r>
          </w:p>
        </w:tc>
        <w:tc>
          <w:tcPr>
            <w:tcW w:w="2792" w:type="dxa"/>
          </w:tcPr>
          <w:p>
            <w:pPr>
              <w:rPr>
                <w:lang w:val="en-GB"/>
              </w:rPr>
            </w:pPr>
            <w:r>
              <w:rPr>
                <w:lang w:val="en-GB"/>
              </w:rPr>
              <w:t>OAM/RAN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rPr>
                <w:lang w:val="en-GB"/>
              </w:rPr>
              <w:t>Control Granularity by NW</w:t>
            </w:r>
          </w:p>
        </w:tc>
        <w:tc>
          <w:tcPr>
            <w:tcW w:w="3118" w:type="dxa"/>
          </w:tcPr>
          <w:p>
            <w:pPr>
              <w:rPr>
                <w:lang w:val="en-GB"/>
              </w:rPr>
            </w:pPr>
            <w:r>
              <w:rPr>
                <w:lang w:val="en-GB"/>
              </w:rPr>
              <w:t>NA, the OTT server can directly request data from the UE.</w:t>
            </w:r>
          </w:p>
        </w:tc>
        <w:tc>
          <w:tcPr>
            <w:tcW w:w="3272" w:type="dxa"/>
          </w:tcPr>
          <w:p>
            <w:pPr>
              <w:rPr>
                <w:lang w:val="en-GB"/>
              </w:rPr>
            </w:pPr>
            <w:r>
              <w:rPr>
                <w:lang w:val="en-GB"/>
              </w:rPr>
              <w:t>Coarse e.g., based on SLA</w:t>
            </w:r>
          </w:p>
        </w:tc>
        <w:tc>
          <w:tcPr>
            <w:tcW w:w="2790" w:type="dxa"/>
          </w:tcPr>
          <w:p>
            <w:pPr>
              <w:rPr>
                <w:lang w:val="it-IT"/>
              </w:rPr>
            </w:pPr>
            <w:r>
              <w:rPr>
                <w:lang w:val="it-IT"/>
              </w:rPr>
              <w:t>Finer (e.g., per NAS procedure)</w:t>
            </w:r>
          </w:p>
        </w:tc>
        <w:tc>
          <w:tcPr>
            <w:tcW w:w="2792" w:type="dxa"/>
          </w:tcPr>
          <w:p>
            <w:pPr>
              <w:rPr>
                <w:lang w:val="it-IT"/>
              </w:rPr>
            </w:pPr>
            <w:r>
              <w:rPr>
                <w:lang w:val="it-IT"/>
              </w:rPr>
              <w:t>Finer (e.g., per RRC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r>
              <w:rPr>
                <w:lang w:val="en-GB"/>
              </w:rPr>
              <w:t xml:space="preserve">RAN Intervene </w:t>
            </w:r>
          </w:p>
        </w:tc>
        <w:tc>
          <w:tcPr>
            <w:tcW w:w="3118" w:type="dxa"/>
          </w:tcPr>
          <w:p>
            <w:pPr>
              <w:rPr>
                <w:lang w:val="en-GB"/>
              </w:rPr>
            </w:pPr>
            <w:r>
              <w:rPr>
                <w:lang w:val="en-GB"/>
              </w:rPr>
              <w:t>No</w:t>
            </w:r>
          </w:p>
        </w:tc>
        <w:tc>
          <w:tcPr>
            <w:tcW w:w="3272" w:type="dxa"/>
          </w:tcPr>
          <w:p>
            <w:pPr>
              <w:rPr>
                <w:lang w:val="en-GB"/>
              </w:rPr>
            </w:pPr>
            <w:r>
              <w:rPr>
                <w:lang w:val="en-GB"/>
              </w:rPr>
              <w:t>No</w:t>
            </w:r>
          </w:p>
        </w:tc>
        <w:tc>
          <w:tcPr>
            <w:tcW w:w="2790" w:type="dxa"/>
          </w:tcPr>
          <w:p>
            <w:r>
              <w:rPr>
                <w:lang w:val="en-GB"/>
              </w:rPr>
              <w:t xml:space="preserve">Possible </w:t>
            </w:r>
          </w:p>
        </w:tc>
        <w:tc>
          <w:tcPr>
            <w:tcW w:w="2792" w:type="dxa"/>
          </w:tcPr>
          <w:p>
            <w:pPr>
              <w:rPr>
                <w:lang w:val="en-GB"/>
              </w:rPr>
            </w:pPr>
            <w:r>
              <w:rPr>
                <w:lang w:val="en-GB"/>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rPr>
                <w:lang w:val="en-GB"/>
              </w:rPr>
              <w:t>Radio Resource Efficiency</w:t>
            </w:r>
          </w:p>
        </w:tc>
        <w:tc>
          <w:tcPr>
            <w:tcW w:w="3118" w:type="dxa"/>
          </w:tcPr>
          <w:p>
            <w:pPr>
              <w:rPr>
                <w:lang w:val="en-GB"/>
              </w:rPr>
            </w:pPr>
            <w:bookmarkStart w:id="115" w:name="OLE_LINK371"/>
            <w:r>
              <w:rPr>
                <w:lang w:val="en-GB"/>
              </w:rPr>
              <w:t>Low, as the network cannot optimize radio resource usage for data transfer</w:t>
            </w:r>
            <w:bookmarkEnd w:id="115"/>
          </w:p>
        </w:tc>
        <w:tc>
          <w:tcPr>
            <w:tcW w:w="3272" w:type="dxa"/>
          </w:tcPr>
          <w:p>
            <w:pPr>
              <w:rPr>
                <w:lang w:val="en-GB"/>
              </w:rPr>
            </w:pPr>
            <w:r>
              <w:rPr>
                <w:lang w:val="en-GB"/>
              </w:rPr>
              <w:t>Low, as the network cannot optimize radio resource usage for data transfer</w:t>
            </w:r>
          </w:p>
        </w:tc>
        <w:tc>
          <w:tcPr>
            <w:tcW w:w="2790" w:type="dxa"/>
          </w:tcPr>
          <w:p>
            <w:pPr>
              <w:rPr>
                <w:lang w:val="en-GB"/>
              </w:rPr>
            </w:pPr>
            <w:r>
              <w:rPr>
                <w:lang w:val="en-GB"/>
              </w:rPr>
              <w:t>Higher, due to the possibility of RAN intervene</w:t>
            </w:r>
          </w:p>
        </w:tc>
        <w:tc>
          <w:tcPr>
            <w:tcW w:w="2792" w:type="dxa"/>
          </w:tcPr>
          <w:p>
            <w:pPr>
              <w:rPr>
                <w:lang w:val="en-GB"/>
              </w:rPr>
            </w:pPr>
            <w:r>
              <w:rPr>
                <w:lang w:val="en-GB"/>
              </w:rPr>
              <w:t>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r>
              <w:t>Data format</w:t>
            </w:r>
          </w:p>
        </w:tc>
        <w:tc>
          <w:tcPr>
            <w:tcW w:w="3118" w:type="dxa"/>
          </w:tcPr>
          <w:p>
            <w:pPr>
              <w:rPr>
                <w:lang w:val="en-GB"/>
              </w:rPr>
            </w:pPr>
            <w:r>
              <w:rPr>
                <w:lang w:val="en-GB"/>
              </w:rPr>
              <w:t xml:space="preserve">Non-standardized </w:t>
            </w:r>
          </w:p>
        </w:tc>
        <w:tc>
          <w:tcPr>
            <w:tcW w:w="3272" w:type="dxa"/>
          </w:tcPr>
          <w:p>
            <w:pPr>
              <w:rPr>
                <w:lang w:val="en-GB"/>
              </w:rPr>
            </w:pPr>
            <w:r>
              <w:rPr>
                <w:lang w:val="en-GB"/>
              </w:rPr>
              <w:t>Non-standardized</w:t>
            </w:r>
          </w:p>
        </w:tc>
        <w:tc>
          <w:tcPr>
            <w:tcW w:w="2790" w:type="dxa"/>
          </w:tcPr>
          <w:p>
            <w:pPr>
              <w:rPr>
                <w:lang w:val="en-GB"/>
              </w:rPr>
            </w:pPr>
            <w:bookmarkStart w:id="116" w:name="OLE_LINK386"/>
            <w:r>
              <w:rPr>
                <w:lang w:val="en-GB"/>
              </w:rPr>
              <w:t>Standardized/non-standardized</w:t>
            </w:r>
            <w:bookmarkEnd w:id="116"/>
          </w:p>
        </w:tc>
        <w:tc>
          <w:tcPr>
            <w:tcW w:w="2792" w:type="dxa"/>
          </w:tcPr>
          <w:p>
            <w:pPr>
              <w:rPr>
                <w:lang w:val="en-GB"/>
              </w:rPr>
            </w:pPr>
            <w:r>
              <w:rPr>
                <w:lang w:val="en-GB"/>
              </w:rPr>
              <w:t>Standardized/non-standardized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pPr>
              <w:rPr>
                <w:lang w:val="en-GB"/>
              </w:rPr>
            </w:pPr>
            <w:r>
              <w:t>Network Awareness of the data Content</w:t>
            </w:r>
          </w:p>
        </w:tc>
        <w:tc>
          <w:tcPr>
            <w:tcW w:w="3118" w:type="dxa"/>
          </w:tcPr>
          <w:p>
            <w:pPr>
              <w:rPr>
                <w:lang w:val="en-GB"/>
              </w:rPr>
            </w:pPr>
            <w:r>
              <w:rPr>
                <w:lang w:val="en-GB"/>
              </w:rPr>
              <w:t>No</w:t>
            </w:r>
          </w:p>
        </w:tc>
        <w:tc>
          <w:tcPr>
            <w:tcW w:w="3272" w:type="dxa"/>
          </w:tcPr>
          <w:p>
            <w:pPr>
              <w:rPr>
                <w:lang w:val="en-GB"/>
              </w:rPr>
            </w:pPr>
            <w:r>
              <w:rPr>
                <w:lang w:val="en-GB"/>
              </w:rPr>
              <w:t>No</w:t>
            </w:r>
          </w:p>
        </w:tc>
        <w:tc>
          <w:tcPr>
            <w:tcW w:w="2790" w:type="dxa"/>
          </w:tcPr>
          <w:p>
            <w:pPr>
              <w:rPr>
                <w:lang w:val="en-GB"/>
              </w:rPr>
            </w:pPr>
            <w:bookmarkStart w:id="117" w:name="OLE_LINK378"/>
            <w:r>
              <w:rPr>
                <w:lang w:val="en-GB"/>
              </w:rPr>
              <w:t xml:space="preserve">Yes, </w:t>
            </w:r>
            <w:bookmarkStart w:id="118" w:name="OLE_LINK370"/>
            <w:r>
              <w:rPr>
                <w:lang w:val="en-GB"/>
              </w:rPr>
              <w:t xml:space="preserve">if the data content is standardized </w:t>
            </w:r>
            <w:bookmarkEnd w:id="118"/>
            <w:r>
              <w:rPr>
                <w:lang w:val="en-GB"/>
              </w:rPr>
              <w:t xml:space="preserve">or disclosed to MNO. </w:t>
            </w:r>
            <w:bookmarkEnd w:id="117"/>
          </w:p>
        </w:tc>
        <w:tc>
          <w:tcPr>
            <w:tcW w:w="2792" w:type="dxa"/>
          </w:tcPr>
          <w:p>
            <w:pPr>
              <w:rPr>
                <w:lang w:val="en-GB"/>
              </w:rPr>
            </w:pPr>
            <w:r>
              <w:rPr>
                <w:lang w:val="en-GB"/>
              </w:rPr>
              <w:t>Yes, if the data content is standardized or disclosed to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80" w:type="dxa"/>
          </w:tcPr>
          <w:p>
            <w:bookmarkStart w:id="119" w:name="OLE_LINK372"/>
            <w:r>
              <w:t>RAN configuration/condition</w:t>
            </w:r>
            <w:bookmarkEnd w:id="119"/>
            <w:r>
              <w:t xml:space="preserve"> acquisition</w:t>
            </w:r>
          </w:p>
        </w:tc>
        <w:tc>
          <w:tcPr>
            <w:tcW w:w="3118" w:type="dxa"/>
          </w:tcPr>
          <w:p>
            <w:pPr>
              <w:rPr>
                <w:lang w:val="en-GB"/>
              </w:rPr>
            </w:pPr>
            <w:bookmarkStart w:id="120" w:name="OLE_LINK373"/>
            <w:r>
              <w:rPr>
                <w:lang w:val="en-GB"/>
              </w:rPr>
              <w:t xml:space="preserve">Unclear whether the RAN configuration/condition acquired by the UE can be transferred to the UE-side OTT server. </w:t>
            </w:r>
            <w:bookmarkEnd w:id="120"/>
          </w:p>
        </w:tc>
        <w:tc>
          <w:tcPr>
            <w:tcW w:w="3272" w:type="dxa"/>
          </w:tcPr>
          <w:p>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pPr>
              <w:rPr>
                <w:lang w:val="en-GB"/>
              </w:rPr>
            </w:pPr>
            <w:bookmarkStart w:id="121" w:name="OLE_LINK385"/>
            <w:r>
              <w:t>Controlled by MNO</w:t>
            </w:r>
            <w:bookmarkEnd w:id="121"/>
          </w:p>
        </w:tc>
        <w:tc>
          <w:tcPr>
            <w:tcW w:w="2792" w:type="dxa"/>
          </w:tcPr>
          <w:p>
            <w:pPr>
              <w:rPr>
                <w:lang w:val="en-GB"/>
              </w:rPr>
            </w:pPr>
            <w:r>
              <w:t>Controlled by MNO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r>
              <w:rPr>
                <w:lang w:val="en-GB"/>
              </w:rPr>
              <w:t>Spec Impact</w:t>
            </w:r>
          </w:p>
        </w:tc>
        <w:tc>
          <w:tcPr>
            <w:tcW w:w="3118" w:type="dxa"/>
          </w:tcPr>
          <w:p>
            <w:pPr>
              <w:rPr>
                <w:lang w:val="en-GB"/>
              </w:rPr>
            </w:pPr>
            <w:r>
              <w:rPr>
                <w:lang w:val="en-GB"/>
              </w:rPr>
              <w:t>No</w:t>
            </w:r>
          </w:p>
        </w:tc>
        <w:tc>
          <w:tcPr>
            <w:tcW w:w="3272" w:type="dxa"/>
          </w:tcPr>
          <w:p>
            <w:pPr>
              <w:rPr>
                <w:lang w:val="en-GB"/>
              </w:rPr>
            </w:pPr>
            <w:r>
              <w:rPr>
                <w:lang w:val="en-GB"/>
              </w:rPr>
              <w:t>Limited</w:t>
            </w:r>
          </w:p>
        </w:tc>
        <w:tc>
          <w:tcPr>
            <w:tcW w:w="2790" w:type="dxa"/>
          </w:tcPr>
          <w:p>
            <w:pPr>
              <w:rPr>
                <w:lang w:val="en-GB"/>
              </w:rPr>
            </w:pPr>
            <w:r>
              <w:rPr>
                <w:lang w:val="en-GB"/>
              </w:rPr>
              <w:t>High</w:t>
            </w:r>
          </w:p>
        </w:tc>
        <w:tc>
          <w:tcPr>
            <w:tcW w:w="2792" w:type="dxa"/>
          </w:tcPr>
          <w:p>
            <w:pPr>
              <w:rPr>
                <w:lang w:val="en-GB"/>
              </w:rPr>
            </w:pPr>
            <w:r>
              <w:rPr>
                <w:lang w:val="en-GB"/>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r>
              <w:rPr>
                <w:lang w:val="en-GB"/>
              </w:rPr>
              <w:t>Security and Privacy Risk</w:t>
            </w:r>
          </w:p>
        </w:tc>
        <w:tc>
          <w:tcPr>
            <w:tcW w:w="3118" w:type="dxa"/>
          </w:tcPr>
          <w:p>
            <w:pPr>
              <w:rPr>
                <w:lang w:val="en-GB"/>
              </w:rPr>
            </w:pPr>
            <w:r>
              <w:rPr>
                <w:lang w:val="en-GB"/>
              </w:rPr>
              <w:t>High, managed by the OTT application, with potential risks if not 3GPP compliant</w:t>
            </w:r>
          </w:p>
        </w:tc>
        <w:tc>
          <w:tcPr>
            <w:tcW w:w="3272" w:type="dxa"/>
          </w:tcPr>
          <w:p>
            <w:pPr>
              <w:rPr>
                <w:lang w:val="en-GB"/>
              </w:rPr>
            </w:pPr>
            <w:r>
              <w:rPr>
                <w:lang w:val="en-GB"/>
              </w:rPr>
              <w:t>Lower, managed by the OTT application and NF based on SLA.</w:t>
            </w:r>
          </w:p>
        </w:tc>
        <w:tc>
          <w:tcPr>
            <w:tcW w:w="2790" w:type="dxa"/>
          </w:tcPr>
          <w:p>
            <w:pPr>
              <w:rPr>
                <w:lang w:val="en-GB"/>
              </w:rPr>
            </w:pPr>
            <w:bookmarkStart w:id="122" w:name="OLE_LINK375"/>
            <w:r>
              <w:rPr>
                <w:lang w:val="en-GB"/>
              </w:rPr>
              <w:t>Minimum, NW can enforce security and privacy protection.</w:t>
            </w:r>
            <w:bookmarkEnd w:id="122"/>
          </w:p>
        </w:tc>
        <w:tc>
          <w:tcPr>
            <w:tcW w:w="2792" w:type="dxa"/>
          </w:tcPr>
          <w:p>
            <w:pPr>
              <w:rPr>
                <w:lang w:val="en-GB"/>
              </w:rPr>
            </w:pPr>
            <w:r>
              <w:rPr>
                <w:lang w:val="en-GB"/>
              </w:rPr>
              <w:t>Minimum, NW can enforce security and privacy protection.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80" w:type="dxa"/>
          </w:tcPr>
          <w:p>
            <w:pPr>
              <w:rPr>
                <w:lang w:val="en-GB"/>
              </w:rPr>
            </w:pPr>
            <w:r>
              <w:rPr>
                <w:lang w:val="en-GB"/>
              </w:rPr>
              <w:t>Involved WGs</w:t>
            </w:r>
          </w:p>
        </w:tc>
        <w:tc>
          <w:tcPr>
            <w:tcW w:w="3118" w:type="dxa"/>
          </w:tcPr>
          <w:p>
            <w:pPr>
              <w:rPr>
                <w:lang w:val="en-GB"/>
              </w:rPr>
            </w:pPr>
            <w:r>
              <w:rPr>
                <w:lang w:val="en-GB"/>
              </w:rPr>
              <w:t>No</w:t>
            </w:r>
          </w:p>
        </w:tc>
        <w:tc>
          <w:tcPr>
            <w:tcW w:w="3272" w:type="dxa"/>
          </w:tcPr>
          <w:p>
            <w:pPr>
              <w:rPr>
                <w:lang w:val="en-GB"/>
              </w:rPr>
            </w:pPr>
            <w:r>
              <w:rPr>
                <w:lang w:val="en-GB"/>
              </w:rPr>
              <w:t>SA2</w:t>
            </w:r>
          </w:p>
        </w:tc>
        <w:tc>
          <w:tcPr>
            <w:tcW w:w="2790" w:type="dxa"/>
          </w:tcPr>
          <w:p>
            <w:pPr>
              <w:rPr>
                <w:lang w:val="en-GB"/>
              </w:rPr>
            </w:pPr>
            <w:r>
              <w:rPr>
                <w:lang w:val="en-GB"/>
              </w:rPr>
              <w:t>RAN2, SA2</w:t>
            </w:r>
          </w:p>
        </w:tc>
        <w:tc>
          <w:tcPr>
            <w:tcW w:w="2792" w:type="dxa"/>
          </w:tcPr>
          <w:p>
            <w:pPr>
              <w:rPr>
                <w:lang w:val="en-GB"/>
              </w:rPr>
            </w:pPr>
            <w:r>
              <w:rPr>
                <w:lang w:val="en-GB"/>
              </w:rPr>
              <w:t>RAN2, SA2, SA5</w:t>
            </w:r>
          </w:p>
        </w:tc>
      </w:tr>
      <w:bookmarkEnd w:id="107"/>
    </w:tbl>
    <w:p>
      <w:pPr>
        <w:rPr>
          <w:lang w:val="en-GB"/>
        </w:rPr>
        <w:sectPr>
          <w:pgSz w:w="16838" w:h="11906" w:orient="landscape"/>
          <w:pgMar w:top="1440" w:right="1440" w:bottom="1440" w:left="1440" w:header="720" w:footer="720" w:gutter="0"/>
          <w:cols w:space="720" w:num="1"/>
          <w:docGrid w:linePitch="312" w:charSpace="0"/>
        </w:sectPr>
      </w:pPr>
    </w:p>
    <w:bookmarkEnd w:id="18"/>
    <w:bookmarkEnd w:id="101"/>
    <w:bookmarkEnd w:id="102"/>
    <w:p>
      <w:pPr>
        <w:pStyle w:val="2"/>
      </w:pPr>
      <w:bookmarkStart w:id="123" w:name="OLE_LINK325"/>
      <w:r>
        <w:t>4 Conclusion</w:t>
      </w:r>
    </w:p>
    <w:bookmarkEnd w:id="123"/>
    <w:p>
      <w:pPr>
        <w:pStyle w:val="26"/>
        <w:numPr>
          <w:ilvl w:val="0"/>
          <w:numId w:val="36"/>
        </w:numPr>
        <w:ind w:firstLineChars="0"/>
        <w:rPr>
          <w:lang w:val="en-GB"/>
        </w:rPr>
      </w:pPr>
      <w:bookmarkStart w:id="124" w:name="OLE_LINK48"/>
    </w:p>
    <w:bookmarkEnd w:id="124"/>
    <w:p>
      <w:pPr>
        <w:pStyle w:val="2"/>
      </w:pPr>
      <w:r>
        <w:t>5 Reference</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"file:///C:\\Users\\panidx\\OneDrive%20-%20InterDigital%20Communications,%20Inc\\Documents\\3GPP%20RAN\\TSGR2_125bis\\Docs\\R2-2403967.zip" </w:instrText>
      </w:r>
      <w:r>
        <w:fldChar w:fldCharType="separate"/>
      </w:r>
      <w:r>
        <w:rPr>
          <w:rFonts w:cs="Times New Roman"/>
          <w:sz w:val="20"/>
          <w:szCs w:val="20"/>
          <w:lang w:val="en-GB"/>
        </w:rPr>
        <w:t>R2-2403967</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Definition of Different UE Side Data Collection Solutions</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"file:///C:\\Users\\panidx\\OneDrive%20-%20InterDigital%20Communications,%20Inc\\Documents\\3GPP%20RAN\\TSGR2_125bis\\Docs\\R2-2402364.zip" </w:instrText>
      </w:r>
      <w:r>
        <w:fldChar w:fldCharType="separate"/>
      </w:r>
      <w:r>
        <w:rPr>
          <w:rFonts w:cs="Times New Roman"/>
          <w:sz w:val="20"/>
          <w:szCs w:val="20"/>
          <w:lang w:val="en-GB"/>
        </w:rPr>
        <w:t>R2-2402364</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 xml:space="preserve">Data Collection for UE Side Model Training </w:t>
      </w:r>
      <w:r>
        <w:rPr>
          <w:rFonts w:cs="Times New Roman"/>
          <w:sz w:val="20"/>
          <w:szCs w:val="20"/>
          <w:lang w:val="en-GB"/>
        </w:rPr>
        <w:tab/>
      </w:r>
      <w:r>
        <w:rPr>
          <w:rFonts w:cs="Times New Roman"/>
          <w:sz w:val="20"/>
          <w:szCs w:val="20"/>
          <w:lang w:val="en-GB"/>
        </w:rPr>
        <w:t>MediaTek Inc.</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"file:///C:\\Users\\panidx\\OneDrive%20-%20InterDigital%20Communications,%20Inc\\Documents\\3GPP%20RAN\\TSGR2_125bis\\Docs\\R2-2403235.zip" </w:instrText>
      </w:r>
      <w:r>
        <w:fldChar w:fldCharType="separate"/>
      </w:r>
      <w:r>
        <w:rPr>
          <w:rFonts w:cs="Times New Roman"/>
          <w:sz w:val="20"/>
          <w:szCs w:val="20"/>
          <w:lang w:val="en-GB"/>
        </w:rPr>
        <w:t>R2-2403235</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UE-Side Model Training</w:t>
      </w:r>
      <w:r>
        <w:rPr>
          <w:rFonts w:cs="Times New Roman"/>
          <w:sz w:val="20"/>
          <w:szCs w:val="20"/>
          <w:lang w:val="en-GB"/>
        </w:rPr>
        <w:tab/>
      </w:r>
      <w:r>
        <w:rPr>
          <w:rFonts w:cs="Times New Roman"/>
          <w:sz w:val="20"/>
          <w:szCs w:val="20"/>
          <w:lang w:val="en-GB"/>
        </w:rPr>
        <w:t>Interdigital Inc.</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"file:///C:\\Users\\panidx\\OneDrive%20-%20InterDigital%20Communications,%20Inc\\Documents\\3GPP%20RAN\\TSGR2_125bis\\Docs\\R2-2403473.zip" </w:instrText>
      </w:r>
      <w:r>
        <w:fldChar w:fldCharType="separate"/>
      </w:r>
      <w:r>
        <w:rPr>
          <w:rFonts w:cs="Times New Roman"/>
          <w:sz w:val="20"/>
          <w:szCs w:val="20"/>
          <w:lang w:val="en-GB"/>
        </w:rPr>
        <w:t>R2-2403473</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Data Collection for UE-side Model Training</w:t>
      </w:r>
      <w:r>
        <w:rPr>
          <w:rFonts w:cs="Times New Roman"/>
          <w:sz w:val="20"/>
          <w:szCs w:val="20"/>
          <w:lang w:val="en-GB"/>
        </w:rPr>
        <w:tab/>
      </w:r>
      <w:r>
        <w:rPr>
          <w:rFonts w:cs="Times New Roman"/>
          <w:sz w:val="20"/>
          <w:szCs w:val="20"/>
          <w:lang w:val="en-GB"/>
        </w:rPr>
        <w:t>Futurewei Technologies</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"file:///C:\\Users\\panidx\\OneDrive%20-%20InterDigital%20Communications,%20Inc\\Documents\\3GPP%20RAN\\TSGR2_125bis\\Docs\\R2-2403378.zip" </w:instrText>
      </w:r>
      <w:r>
        <w:fldChar w:fldCharType="separate"/>
      </w:r>
      <w:r>
        <w:rPr>
          <w:rFonts w:cs="Times New Roman"/>
          <w:sz w:val="20"/>
          <w:szCs w:val="20"/>
          <w:lang w:val="en-GB"/>
        </w:rPr>
        <w:t>R2-2403378</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Consideration on UE Side Data Colection</w:t>
      </w:r>
      <w:r>
        <w:rPr>
          <w:rFonts w:cs="Times New Roman"/>
          <w:sz w:val="20"/>
          <w:szCs w:val="20"/>
          <w:lang w:val="en-GB"/>
        </w:rPr>
        <w:tab/>
      </w:r>
      <w:r>
        <w:rPr>
          <w:rFonts w:cs="Times New Roman"/>
          <w:sz w:val="20"/>
          <w:szCs w:val="20"/>
          <w:lang w:val="en-GB"/>
        </w:rPr>
        <w:t>ZTE Corporation,Sanechips</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"file:///C:\\Users\\panidx\\OneDrive%20-%20InterDigital%20Communications,%20Inc\\Documents\\3GPP%20RAN\\TSGR2_125bis\\Docs\\R2-2403492.zip" </w:instrText>
      </w:r>
      <w:r>
        <w:fldChar w:fldCharType="separate"/>
      </w:r>
      <w:r>
        <w:rPr>
          <w:rFonts w:cs="Times New Roman"/>
          <w:sz w:val="20"/>
          <w:szCs w:val="20"/>
          <w:lang w:val="en-GB"/>
        </w:rPr>
        <w:t>R2-2403492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AI/ML Data Collection Requirements</w:t>
      </w:r>
      <w:r>
        <w:rPr>
          <w:rFonts w:cs="Times New Roman"/>
          <w:sz w:val="20"/>
          <w:szCs w:val="20"/>
          <w:lang w:val="en-GB"/>
        </w:rPr>
        <w:tab/>
      </w:r>
      <w:r>
        <w:rPr>
          <w:rFonts w:cs="Times New Roman"/>
          <w:sz w:val="20"/>
          <w:szCs w:val="20"/>
          <w:lang w:val="en-GB"/>
        </w:rPr>
        <w:t>T-Mobile USA, Verizon, Charter, NTT DOCOMO, Deutsche Telekom, Turkcell, BT, AT&amp;T, Nokia, Telecom Italia, CMCC</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"file:///C:\\Users\\panidx\\OneDrive%20-%20InterDigital%20Communications,%20Inc\\Documents\\3GPP%20RAN\\TSGR2_125bis\\Docs\\R2-2403230.zip" </w:instrText>
      </w:r>
      <w:r>
        <w:fldChar w:fldCharType="separate"/>
      </w:r>
      <w:r>
        <w:rPr>
          <w:rFonts w:cs="Times New Roman"/>
          <w:sz w:val="20"/>
          <w:szCs w:val="20"/>
          <w:lang w:val="en-GB"/>
        </w:rPr>
        <w:t>R2-2403230</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 xml:space="preserve">Discussion on UE Side Data Collection </w:t>
      </w:r>
      <w:r>
        <w:rPr>
          <w:rFonts w:cs="Times New Roman"/>
          <w:sz w:val="20"/>
          <w:szCs w:val="20"/>
          <w:lang w:val="en-GB"/>
        </w:rPr>
        <w:tab/>
      </w:r>
      <w:r>
        <w:rPr>
          <w:rFonts w:cs="Times New Roman"/>
          <w:sz w:val="20"/>
          <w:szCs w:val="20"/>
          <w:lang w:val="en-GB"/>
        </w:rPr>
        <w:t>Qualcomm Incorporated</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"file:///C:\\Users\\panidx\\OneDrive%20-%20InterDigital%20Communications,%20Inc\\Documents\\3GPP%20RAN\\TSGR2_125bis\\Docs\\R2-2402375.zip" </w:instrText>
      </w:r>
      <w:r>
        <w:fldChar w:fldCharType="separate"/>
      </w:r>
      <w:r>
        <w:rPr>
          <w:rFonts w:cs="Times New Roman"/>
          <w:sz w:val="20"/>
          <w:szCs w:val="20"/>
          <w:lang w:val="en-GB"/>
        </w:rPr>
        <w:t>R2-2402375</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UE-side model training</w:t>
      </w:r>
      <w:r>
        <w:rPr>
          <w:rFonts w:cs="Times New Roman"/>
          <w:sz w:val="20"/>
          <w:szCs w:val="20"/>
          <w:lang w:val="en-GB"/>
        </w:rPr>
        <w:tab/>
      </w:r>
      <w:r>
        <w:rPr>
          <w:rFonts w:cs="Times New Roman"/>
          <w:sz w:val="20"/>
          <w:szCs w:val="20"/>
          <w:lang w:val="en-GB"/>
        </w:rPr>
        <w:t>Samsung</w:t>
      </w:r>
      <w:r>
        <w:rPr>
          <w:rFonts w:cs="Times New Roman"/>
          <w:sz w:val="20"/>
          <w:szCs w:val="20"/>
          <w:lang w:val="en-GB"/>
        </w:rPr>
        <w:tab/>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"file:///C:\\Users\\panidx\\OneDrive%20-%20InterDigital%20Communications,%20Inc\\Documents\\3GPP%20RAN\\TSGR2_125bis\\Docs\\R2-2402962.zip" </w:instrText>
      </w:r>
      <w:r>
        <w:fldChar w:fldCharType="separate"/>
      </w:r>
      <w:r>
        <w:rPr>
          <w:rFonts w:cs="Times New Roman"/>
          <w:sz w:val="20"/>
          <w:szCs w:val="20"/>
          <w:lang w:val="en-GB"/>
        </w:rPr>
        <w:t>R2-2402962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Training of UE-side AI/ML Models</w:t>
      </w:r>
      <w:r>
        <w:rPr>
          <w:rFonts w:cs="Times New Roman"/>
          <w:sz w:val="20"/>
          <w:szCs w:val="20"/>
          <w:lang w:val="en-GB"/>
        </w:rPr>
        <w:tab/>
      </w:r>
      <w:r>
        <w:rPr>
          <w:rFonts w:cs="Times New Roman"/>
          <w:sz w:val="20"/>
          <w:szCs w:val="20"/>
          <w:lang w:val="en-GB"/>
        </w:rPr>
        <w:t>Nokia</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"file:///C:\\Users\\panidx\\OneDrive%20-%20InterDigital%20Communications,%20Inc\\Documents\\3GPP%20RAN\\TSGR2_125bis\\Docs\\R2-2403567.zip" </w:instrText>
      </w:r>
      <w:r>
        <w:fldChar w:fldCharType="separate"/>
      </w:r>
      <w:r>
        <w:rPr>
          <w:rFonts w:cs="Times New Roman"/>
          <w:sz w:val="20"/>
          <w:szCs w:val="20"/>
          <w:lang w:val="en-GB"/>
        </w:rPr>
        <w:t>R2-2403567</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China Unicom</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"file:///C:\\Users\\panidx\\OneDrive%20-%20InterDigital%20Communications,%20Inc\\Documents\\3GPP%20RAN\\TSGR2_125bis\\Docs\\R2-2402171.zip" </w:instrText>
      </w:r>
      <w:r>
        <w:fldChar w:fldCharType="separate"/>
      </w:r>
      <w:r>
        <w:rPr>
          <w:rFonts w:cs="Times New Roman"/>
          <w:sz w:val="20"/>
          <w:szCs w:val="20"/>
          <w:lang w:val="en-GB"/>
        </w:rPr>
        <w:t>R2-2402171</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 Side Model Training</w:t>
      </w:r>
      <w:r>
        <w:rPr>
          <w:rFonts w:cs="Times New Roman"/>
          <w:sz w:val="20"/>
          <w:szCs w:val="20"/>
          <w:lang w:val="en-GB"/>
        </w:rPr>
        <w:tab/>
      </w:r>
      <w:r>
        <w:rPr>
          <w:rFonts w:cs="Times New Roman"/>
          <w:sz w:val="20"/>
          <w:szCs w:val="20"/>
          <w:lang w:val="en-GB"/>
        </w:rPr>
        <w:t>OPPO</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"file:///C:\\Users\\panidx\\OneDrive%20-%20InterDigital%20Communications,%20Inc\\Documents\\3GPP%20RAN\\TSGR2_125bis\\Docs\\R2-2402302.zip" </w:instrText>
      </w:r>
      <w:r>
        <w:fldChar w:fldCharType="separate"/>
      </w:r>
      <w:r>
        <w:rPr>
          <w:rFonts w:cs="Times New Roman"/>
          <w:sz w:val="20"/>
          <w:szCs w:val="20"/>
          <w:lang w:val="en-GB"/>
        </w:rPr>
        <w:t>R2-2402302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Consideration on UE side data collection</w:t>
      </w:r>
      <w:r>
        <w:rPr>
          <w:rFonts w:cs="Times New Roman"/>
          <w:sz w:val="20"/>
          <w:szCs w:val="20"/>
          <w:lang w:val="en-GB"/>
        </w:rPr>
        <w:tab/>
      </w:r>
      <w:r>
        <w:rPr>
          <w:rFonts w:cs="Times New Roman"/>
          <w:sz w:val="20"/>
          <w:szCs w:val="20"/>
          <w:lang w:val="en-GB"/>
        </w:rPr>
        <w:t>CATT</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"file:///C:\\Users\\panidx\\OneDrive%20-%20InterDigital%20Communications,%20Inc\\Documents\\3GPP%20RAN\\TSGR2_125bis\\Docs\\R2-2402316.zip" </w:instrText>
      </w:r>
      <w:r>
        <w:fldChar w:fldCharType="separate"/>
      </w:r>
      <w:r>
        <w:rPr>
          <w:rFonts w:cs="Times New Roman"/>
          <w:sz w:val="20"/>
          <w:szCs w:val="20"/>
          <w:lang w:val="en-GB"/>
        </w:rPr>
        <w:t>R2-2402316</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 side model training</w:t>
      </w:r>
      <w:r>
        <w:rPr>
          <w:rFonts w:cs="Times New Roman"/>
          <w:sz w:val="20"/>
          <w:szCs w:val="20"/>
          <w:lang w:val="en-GB"/>
        </w:rPr>
        <w:tab/>
      </w:r>
      <w:r>
        <w:rPr>
          <w:rFonts w:cs="Times New Roman"/>
          <w:sz w:val="20"/>
          <w:szCs w:val="20"/>
          <w:lang w:val="en-GB"/>
        </w:rPr>
        <w:t>Xiaomi</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"file:///C:\\Users\\panidx\\OneDrive%20-%20InterDigital%20Communications,%20Inc\\Documents\\3GPP%20RAN\\TSGR2_125bis\\Docs\\R2-2402342.zip" </w:instrText>
      </w:r>
      <w:r>
        <w:fldChar w:fldCharType="separate"/>
      </w:r>
      <w:r>
        <w:rPr>
          <w:rFonts w:cs="Times New Roman"/>
          <w:sz w:val="20"/>
          <w:szCs w:val="20"/>
          <w:lang w:val="en-GB"/>
        </w:rPr>
        <w:t>R2-2402342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Spreadtrum Communications</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"file:///C:\\Users\\panidx\\OneDrive%20-%20InterDigital%20Communications,%20Inc\\Documents\\3GPP%20RAN\\TSGR2_125bis\\Docs\\R2-2402375.zip" </w:instrText>
      </w:r>
      <w:r>
        <w:fldChar w:fldCharType="separate"/>
      </w:r>
      <w:r>
        <w:rPr>
          <w:rFonts w:cs="Times New Roman"/>
          <w:sz w:val="20"/>
          <w:szCs w:val="20"/>
          <w:lang w:val="en-GB"/>
        </w:rPr>
        <w:t>R2-2402375</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UE-side model training</w:t>
      </w:r>
      <w:r>
        <w:rPr>
          <w:rFonts w:cs="Times New Roman"/>
          <w:sz w:val="20"/>
          <w:szCs w:val="20"/>
          <w:lang w:val="en-GB"/>
        </w:rPr>
        <w:tab/>
      </w:r>
      <w:r>
        <w:rPr>
          <w:rFonts w:cs="Times New Roman"/>
          <w:sz w:val="20"/>
          <w:szCs w:val="20"/>
          <w:lang w:val="en-GB"/>
        </w:rPr>
        <w:t>Samsung</w:t>
      </w:r>
      <w:r>
        <w:rPr>
          <w:rFonts w:cs="Times New Roman"/>
          <w:sz w:val="20"/>
          <w:szCs w:val="20"/>
          <w:lang w:val="en-GB"/>
        </w:rPr>
        <w:tab/>
      </w:r>
      <w:r>
        <w:rPr>
          <w:rFonts w:cs="Times New Roman"/>
          <w:sz w:val="20"/>
          <w:szCs w:val="20"/>
          <w:lang w:val="en-GB"/>
        </w:rPr>
        <w:t>discussion</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"file:///C:\\Users\\panidx\\OneDrive%20-%20InterDigital%20Communications,%20Inc\\Documents\\3GPP%20RAN\\TSGR2_125bis\\Docs\\R2-2402478.zip" </w:instrText>
      </w:r>
      <w:r>
        <w:fldChar w:fldCharType="separate"/>
      </w:r>
      <w:r>
        <w:rPr>
          <w:rFonts w:cs="Times New Roman"/>
          <w:sz w:val="20"/>
          <w:szCs w:val="20"/>
          <w:lang w:val="en-GB"/>
        </w:rPr>
        <w:t>R2-2402478</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Label Dataset Transfer for Positioning UE-sided model training</w:t>
      </w:r>
      <w:r>
        <w:rPr>
          <w:rFonts w:cs="Times New Roman"/>
          <w:sz w:val="20"/>
          <w:szCs w:val="20"/>
          <w:lang w:val="en-GB"/>
        </w:rPr>
        <w:tab/>
      </w:r>
      <w:r>
        <w:rPr>
          <w:rFonts w:cs="Times New Roman"/>
          <w:sz w:val="20"/>
          <w:szCs w:val="20"/>
          <w:lang w:val="en-GB"/>
        </w:rPr>
        <w:t>Intel Corporation</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"file:///C:\\Users\\panidx\\OneDrive%20-%20InterDigital%20Communications,%20Inc\\Documents\\3GPP%20RAN\\TSGR2_125bis\\Docs\\R2-2402489.zip" </w:instrText>
      </w:r>
      <w:r>
        <w:fldChar w:fldCharType="separate"/>
      </w:r>
      <w:r>
        <w:rPr>
          <w:rFonts w:cs="Times New Roman"/>
          <w:sz w:val="20"/>
          <w:szCs w:val="20"/>
          <w:lang w:val="en-GB"/>
        </w:rPr>
        <w:t>R2-2402489</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vivo</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"file:///C:\\Users\\panidx\\OneDrive%20-%20InterDigital%20Communications,%20Inc\\Documents\\3GPP%20RAN\\TSGR2_125bis\\Docs\\R2-2402669.zip" </w:instrText>
      </w:r>
      <w:r>
        <w:fldChar w:fldCharType="separate"/>
      </w:r>
      <w:r>
        <w:rPr>
          <w:rFonts w:cs="Times New Roman"/>
          <w:sz w:val="20"/>
          <w:szCs w:val="20"/>
          <w:lang w:val="en-GB"/>
        </w:rPr>
        <w:t>R2-2402669</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Data Collection for UE side Model training</w:t>
      </w:r>
      <w:r>
        <w:rPr>
          <w:rFonts w:cs="Times New Roman"/>
          <w:sz w:val="20"/>
          <w:szCs w:val="20"/>
          <w:lang w:val="en-GB"/>
        </w:rPr>
        <w:tab/>
      </w:r>
      <w:r>
        <w:rPr>
          <w:rFonts w:cs="Times New Roman"/>
          <w:sz w:val="20"/>
          <w:szCs w:val="20"/>
          <w:lang w:val="en-GB"/>
        </w:rPr>
        <w:t>NEC</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"file:///C:\\Users\\panidx\\OneDrive%20-%20InterDigital%20Communications,%20Inc\\Documents\\3GPP%20RAN\\TSGR2_125bis\\Docs\\R2-2402732.zip" </w:instrText>
      </w:r>
      <w:r>
        <w:fldChar w:fldCharType="separate"/>
      </w:r>
      <w:r>
        <w:rPr>
          <w:rFonts w:cs="Times New Roman"/>
          <w:sz w:val="20"/>
          <w:szCs w:val="20"/>
          <w:lang w:val="en-GB"/>
        </w:rPr>
        <w:t>R2-2402732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data collection for UE-sided model</w:t>
      </w:r>
      <w:r>
        <w:rPr>
          <w:rFonts w:cs="Times New Roman"/>
          <w:sz w:val="20"/>
          <w:szCs w:val="20"/>
          <w:lang w:val="en-GB"/>
        </w:rPr>
        <w:tab/>
      </w:r>
      <w:r>
        <w:rPr>
          <w:rFonts w:cs="Times New Roman"/>
          <w:sz w:val="20"/>
          <w:szCs w:val="20"/>
          <w:lang w:val="en-GB"/>
        </w:rPr>
        <w:t>Lenovo</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"file:///C:\\Users\\panidx\\OneDrive%20-%20InterDigital%20Communications,%20Inc\\Documents\\3GPP%20RAN\\TSGR2_125bis\\Docs\\R2-2402864.zip" </w:instrText>
      </w:r>
      <w:r>
        <w:fldChar w:fldCharType="separate"/>
      </w:r>
      <w:r>
        <w:rPr>
          <w:rFonts w:cs="Times New Roman"/>
          <w:sz w:val="20"/>
          <w:szCs w:val="20"/>
          <w:lang w:val="en-GB"/>
        </w:rPr>
        <w:t>R2-2402864</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UE-sided data collection</w:t>
      </w:r>
      <w:r>
        <w:rPr>
          <w:rFonts w:cs="Times New Roman"/>
          <w:sz w:val="20"/>
          <w:szCs w:val="20"/>
          <w:lang w:val="en-GB"/>
        </w:rPr>
        <w:tab/>
      </w:r>
      <w:r>
        <w:rPr>
          <w:rFonts w:cs="Times New Roman"/>
          <w:sz w:val="20"/>
          <w:szCs w:val="20"/>
          <w:lang w:val="en-GB"/>
        </w:rPr>
        <w:t>Apple</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"file:///C:\\Users\\panidx\\OneDrive%20-%20InterDigital%20Communications,%20Inc\\Documents\\3GPP%20RAN\\TSGR2_125bis\\Docs\\R2-2403022.zip" </w:instrText>
      </w:r>
      <w:r>
        <w:fldChar w:fldCharType="separate"/>
      </w:r>
      <w:r>
        <w:rPr>
          <w:rFonts w:cs="Times New Roman"/>
          <w:sz w:val="20"/>
          <w:szCs w:val="20"/>
          <w:lang w:val="en-GB"/>
        </w:rPr>
        <w:t>R2-2403022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data collection for UE-sided model training</w:t>
      </w:r>
      <w:r>
        <w:rPr>
          <w:rFonts w:cs="Times New Roman"/>
          <w:sz w:val="20"/>
          <w:szCs w:val="20"/>
          <w:lang w:val="en-GB"/>
        </w:rPr>
        <w:tab/>
      </w:r>
      <w:r>
        <w:rPr>
          <w:rFonts w:cs="Times New Roman"/>
          <w:sz w:val="20"/>
          <w:szCs w:val="20"/>
          <w:lang w:val="en-GB"/>
        </w:rPr>
        <w:t>CMCC</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"file:///C:\\Users\\panidx\\OneDrive%20-%20InterDigital%20Communications,%20Inc\\Documents\\3GPP%20RAN\\TSGR2_125bis\\Docs\\R2-2403122.zip" </w:instrText>
      </w:r>
      <w:r>
        <w:fldChar w:fldCharType="separate"/>
      </w:r>
      <w:r>
        <w:rPr>
          <w:rFonts w:cs="Times New Roman"/>
          <w:sz w:val="20"/>
          <w:szCs w:val="20"/>
          <w:lang w:val="en-GB"/>
        </w:rPr>
        <w:t>R2-2403122</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UE-side data collection</w:t>
      </w:r>
      <w:r>
        <w:rPr>
          <w:rFonts w:cs="Times New Roman"/>
          <w:sz w:val="20"/>
          <w:szCs w:val="20"/>
          <w:lang w:val="en-GB"/>
        </w:rPr>
        <w:tab/>
      </w:r>
      <w:r>
        <w:rPr>
          <w:rFonts w:cs="Times New Roman"/>
          <w:sz w:val="20"/>
          <w:szCs w:val="20"/>
          <w:lang w:val="en-GB"/>
        </w:rPr>
        <w:t>Fraunhofer HHI, Fraunhofer IIS</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"file:///C:\\Users\\panidx\\OneDrive%20-%20InterDigital%20Communications,%20Inc\\Documents\\3GPP%20RAN\\TSGR2_125bis\\Docs\\R2-2403163.zip" </w:instrText>
      </w:r>
      <w:r>
        <w:fldChar w:fldCharType="separate"/>
      </w:r>
      <w:r>
        <w:rPr>
          <w:rFonts w:cs="Times New Roman"/>
          <w:sz w:val="20"/>
          <w:szCs w:val="20"/>
          <w:lang w:val="en-GB"/>
        </w:rPr>
        <w:t>R2-2403163</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UE-sided data collection for training</w:t>
      </w:r>
      <w:r>
        <w:rPr>
          <w:rFonts w:cs="Times New Roman"/>
          <w:sz w:val="20"/>
          <w:szCs w:val="20"/>
          <w:lang w:val="en-GB"/>
        </w:rPr>
        <w:tab/>
      </w:r>
      <w:r>
        <w:rPr>
          <w:rFonts w:cs="Times New Roman"/>
          <w:sz w:val="20"/>
          <w:szCs w:val="20"/>
          <w:lang w:val="en-GB"/>
        </w:rPr>
        <w:t>Huawei, HiSilicon</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"file:///C:\\Users\\panidx\\OneDrive%20-%20InterDigital%20Communications,%20Inc\\Documents\\3GPP%20RAN\\TSGR2_125bis\\Docs\\R2-2403230.zip" </w:instrText>
      </w:r>
      <w:r>
        <w:fldChar w:fldCharType="separate"/>
      </w:r>
      <w:r>
        <w:rPr>
          <w:rFonts w:cs="Times New Roman"/>
          <w:sz w:val="20"/>
          <w:szCs w:val="20"/>
          <w:lang w:val="en-GB"/>
        </w:rPr>
        <w:t>R2-2403230</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 xml:space="preserve">Discussion on UE Side Data Collection </w:t>
      </w:r>
      <w:r>
        <w:rPr>
          <w:rFonts w:cs="Times New Roman"/>
          <w:sz w:val="20"/>
          <w:szCs w:val="20"/>
          <w:lang w:val="en-GB"/>
        </w:rPr>
        <w:tab/>
      </w:r>
      <w:r>
        <w:rPr>
          <w:rFonts w:cs="Times New Roman"/>
          <w:sz w:val="20"/>
          <w:szCs w:val="20"/>
          <w:lang w:val="en-GB"/>
        </w:rPr>
        <w:t xml:space="preserve">Qualcomm Incorporated </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"file:///C:\\Users\\panidx\\OneDrive%20-%20InterDigital%20Communications,%20Inc\\Documents\\3GPP%20RAN\\TSGR2_125bis\\Docs\\R2-2403567.zip" </w:instrText>
      </w:r>
      <w:r>
        <w:fldChar w:fldCharType="separate"/>
      </w:r>
      <w:r>
        <w:rPr>
          <w:rFonts w:cs="Times New Roman"/>
          <w:sz w:val="20"/>
          <w:szCs w:val="20"/>
          <w:lang w:val="en-GB"/>
        </w:rPr>
        <w:t>R2-2403567</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China Unicom</w:t>
      </w:r>
      <w:r>
        <w:rPr>
          <w:rFonts w:cs="Times New Roman"/>
          <w:sz w:val="20"/>
          <w:szCs w:val="20"/>
          <w:lang w:val="en-GB"/>
        </w:rPr>
        <w:tab/>
      </w:r>
      <w:r>
        <w:rPr>
          <w:rFonts w:cs="Times New Roman"/>
          <w:sz w:val="20"/>
          <w:szCs w:val="20"/>
          <w:lang w:val="en-GB"/>
        </w:rPr>
        <w:t>discussion</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"file:///C:\\Users\\panidx\\OneDrive%20-%20InterDigital%20Communications,%20Inc\\Documents\\3GPP%20RAN\\TSGR2_125bis\\Docs\\R2-2403573.zip" </w:instrText>
      </w:r>
      <w:r>
        <w:fldChar w:fldCharType="separate"/>
      </w:r>
      <w:r>
        <w:rPr>
          <w:rFonts w:cs="Times New Roman"/>
          <w:sz w:val="20"/>
          <w:szCs w:val="20"/>
          <w:lang w:val="en-GB"/>
        </w:rPr>
        <w:t>R2-2403573</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UE side data collection</w:t>
      </w:r>
      <w:r>
        <w:rPr>
          <w:rFonts w:cs="Times New Roman"/>
          <w:sz w:val="20"/>
          <w:szCs w:val="20"/>
          <w:lang w:val="en-GB"/>
        </w:rPr>
        <w:tab/>
      </w:r>
      <w:r>
        <w:rPr>
          <w:rFonts w:cs="Times New Roman"/>
          <w:sz w:val="20"/>
          <w:szCs w:val="20"/>
          <w:lang w:val="en-GB"/>
        </w:rPr>
        <w:t>LG Electronics</w:t>
      </w:r>
      <w:r>
        <w:rPr>
          <w:rFonts w:cs="Times New Roman"/>
          <w:sz w:val="20"/>
          <w:szCs w:val="20"/>
          <w:lang w:val="en-GB"/>
        </w:rPr>
        <w:tab/>
      </w:r>
      <w:r>
        <w:rPr>
          <w:rFonts w:cs="Times New Roman"/>
          <w:sz w:val="20"/>
          <w:szCs w:val="20"/>
          <w:lang w:val="en-GB"/>
        </w:rPr>
        <w:t>discussion</w:t>
      </w:r>
      <w:r>
        <w:rPr>
          <w:rFonts w:cs="Times New Roman"/>
          <w:sz w:val="20"/>
          <w:szCs w:val="20"/>
          <w:lang w:val="en-GB"/>
        </w:rPr>
        <w:tab/>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"file:///C:\\Users\\panidx\\OneDrive%20-%20InterDigital%20Communications,%20Inc\\Documents\\3GPP%20RAN\\TSGR2_125bis\\Docs\\R2-2403658.zip" </w:instrText>
      </w:r>
      <w:r>
        <w:fldChar w:fldCharType="separate"/>
      </w:r>
      <w:r>
        <w:rPr>
          <w:rFonts w:cs="Times New Roman"/>
          <w:sz w:val="20"/>
          <w:szCs w:val="20"/>
          <w:lang w:val="en-GB"/>
        </w:rPr>
        <w:t>R2-2403658</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Discussion on UE side data collection</w:t>
      </w:r>
      <w:r>
        <w:rPr>
          <w:rFonts w:cs="Times New Roman"/>
          <w:sz w:val="20"/>
          <w:szCs w:val="20"/>
          <w:lang w:val="en-GB"/>
        </w:rPr>
        <w:tab/>
      </w:r>
      <w:r>
        <w:rPr>
          <w:rFonts w:cs="Times New Roman"/>
          <w:sz w:val="20"/>
          <w:szCs w:val="20"/>
          <w:lang w:val="en-GB"/>
        </w:rPr>
        <w:t>Indian Institute of Tech (M), IIT Kanpur</w:t>
      </w:r>
    </w:p>
    <w:p>
      <w:pPr>
        <w:pStyle w:val="26"/>
        <w:numPr>
          <w:ilvl w:val="0"/>
          <w:numId w:val="37"/>
        </w:numPr>
        <w:ind w:firstLineChars="0"/>
        <w:rPr>
          <w:rFonts w:cs="Times New Roman"/>
          <w:sz w:val="20"/>
          <w:szCs w:val="20"/>
          <w:lang w:val="en-GB"/>
        </w:rPr>
      </w:pPr>
      <w:r>
        <w:fldChar w:fldCharType="begin"/>
      </w:r>
      <w:r>
        <w:instrText xml:space="preserve"> HYPERLINK "file:///C:\\Users\\panidx\\OneDrive%20-%20InterDigital%20Communications,%20Inc\\Documents\\3GPP%20RAN\\TSGR2_125bis\\Docs\\R2-2403661.zip" </w:instrText>
      </w:r>
      <w:r>
        <w:fldChar w:fldCharType="separate"/>
      </w:r>
      <w:r>
        <w:rPr>
          <w:rFonts w:cs="Times New Roman"/>
          <w:sz w:val="20"/>
          <w:szCs w:val="20"/>
          <w:lang w:val="en-GB"/>
        </w:rPr>
        <w:t>R2-2403661</w:t>
      </w:r>
      <w:r>
        <w:rPr>
          <w:rFonts w:cs="Times New Roman"/>
          <w:sz w:val="20"/>
          <w:szCs w:val="20"/>
          <w:lang w:val="en-GB"/>
        </w:rPr>
        <w:fldChar w:fldCharType="end"/>
      </w:r>
      <w:r>
        <w:rPr>
          <w:rFonts w:cs="Times New Roman"/>
          <w:sz w:val="20"/>
          <w:szCs w:val="20"/>
          <w:lang w:val="en-GB"/>
        </w:rPr>
        <w:tab/>
      </w:r>
      <w:r>
        <w:rPr>
          <w:rFonts w:cs="Times New Roman"/>
          <w:sz w:val="20"/>
          <w:szCs w:val="20"/>
          <w:lang w:val="en-GB"/>
        </w:rPr>
        <w:t>UE-side Data Collection</w:t>
      </w:r>
      <w:r>
        <w:rPr>
          <w:rFonts w:cs="Times New Roman"/>
          <w:sz w:val="20"/>
          <w:szCs w:val="20"/>
          <w:lang w:val="en-GB"/>
        </w:rPr>
        <w:tab/>
      </w:r>
      <w:r>
        <w:rPr>
          <w:rFonts w:cs="Times New Roman"/>
          <w:sz w:val="20"/>
          <w:szCs w:val="20"/>
          <w:lang w:val="en-GB"/>
        </w:rPr>
        <w:t>Ericsson</w:t>
      </w:r>
      <w:r>
        <w:rPr>
          <w:rFonts w:cs="Times New Roman"/>
          <w:sz w:val="20"/>
          <w:szCs w:val="20"/>
          <w:lang w:val="en-GB"/>
        </w:rPr>
        <w:tab/>
      </w:r>
      <w:r>
        <w:rPr>
          <w:rFonts w:cs="Times New Roman"/>
          <w:sz w:val="20"/>
          <w:szCs w:val="20"/>
          <w:lang w:val="en-GB"/>
        </w:rPr>
        <w:tab/>
      </w:r>
    </w:p>
    <w:sectPr>
      <w:pgSz w:w="11906" w:h="16838"/>
      <w:pgMar w:top="1440" w:right="1440" w:bottom="1440" w:left="144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8159E"/>
    <w:multiLevelType w:val="multilevel"/>
    <w:tmpl w:val="03981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DF729B"/>
    <w:multiLevelType w:val="multilevel"/>
    <w:tmpl w:val="05DF72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700691"/>
    <w:multiLevelType w:val="multilevel"/>
    <w:tmpl w:val="077006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5D1B48"/>
    <w:multiLevelType w:val="multilevel"/>
    <w:tmpl w:val="085D1B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7261A7"/>
    <w:multiLevelType w:val="multilevel"/>
    <w:tmpl w:val="0A7261A7"/>
    <w:lvl w:ilvl="0" w:tentative="0">
      <w:start w:val="1"/>
      <w:numFmt w:val="decimal"/>
      <w:lvlText w:val="%1)"/>
      <w:lvlJc w:val="left"/>
      <w:pPr>
        <w:ind w:left="720" w:hanging="360"/>
      </w:pPr>
      <w:rPr>
        <w:rFonts w:hint="default" w:cstheme="minorBidi"/>
        <w:b/>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BF97C88"/>
    <w:multiLevelType w:val="multilevel"/>
    <w:tmpl w:val="0BF97C8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CE3016D"/>
    <w:multiLevelType w:val="multilevel"/>
    <w:tmpl w:val="0CE3016D"/>
    <w:lvl w:ilvl="0" w:tentative="0">
      <w:start w:val="1"/>
      <w:numFmt w:val="decimal"/>
      <w:lvlText w:val="%1)"/>
      <w:lvlJc w:val="left"/>
      <w:pPr>
        <w:ind w:left="360" w:hanging="360"/>
      </w:pPr>
      <w:rPr>
        <w:rFonts w:hint="default"/>
      </w:r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0FF97A64"/>
    <w:multiLevelType w:val="multilevel"/>
    <w:tmpl w:val="0FF97A64"/>
    <w:lvl w:ilvl="0" w:tentative="0">
      <w:start w:val="3"/>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0B346E1"/>
    <w:multiLevelType w:val="multilevel"/>
    <w:tmpl w:val="10B346E1"/>
    <w:lvl w:ilvl="0" w:tentative="0">
      <w:start w:val="3"/>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67B13EA"/>
    <w:multiLevelType w:val="multilevel"/>
    <w:tmpl w:val="167B13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77E06"/>
    <w:multiLevelType w:val="multilevel"/>
    <w:tmpl w:val="18F77E0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9DA078A"/>
    <w:multiLevelType w:val="multilevel"/>
    <w:tmpl w:val="19DA078A"/>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B193C1A"/>
    <w:multiLevelType w:val="multilevel"/>
    <w:tmpl w:val="1B193C1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E251A00"/>
    <w:multiLevelType w:val="multilevel"/>
    <w:tmpl w:val="1E251A0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FCB7190"/>
    <w:multiLevelType w:val="multilevel"/>
    <w:tmpl w:val="1FCB719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31F207D"/>
    <w:multiLevelType w:val="multilevel"/>
    <w:tmpl w:val="231F20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5FC60A5"/>
    <w:multiLevelType w:val="multilevel"/>
    <w:tmpl w:val="25FC60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B603343"/>
    <w:multiLevelType w:val="multilevel"/>
    <w:tmpl w:val="2B6033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02A01C4"/>
    <w:multiLevelType w:val="multilevel"/>
    <w:tmpl w:val="302A01C4"/>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9">
    <w:nsid w:val="3AA46647"/>
    <w:multiLevelType w:val="multilevel"/>
    <w:tmpl w:val="3AA46647"/>
    <w:lvl w:ilvl="0" w:tentative="0">
      <w:start w:val="1"/>
      <w:numFmt w:val="decimal"/>
      <w:pStyle w:val="30"/>
      <w:lvlText w:val="Proposal %1"/>
      <w:lvlJc w:val="left"/>
      <w:pPr>
        <w:tabs>
          <w:tab w:val="left" w:pos="1304"/>
        </w:tabs>
        <w:ind w:left="1304" w:hanging="1304"/>
      </w:pPr>
      <w:rPr>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21F44A7"/>
    <w:multiLevelType w:val="multilevel"/>
    <w:tmpl w:val="521F44A7"/>
    <w:lvl w:ilvl="0" w:tentative="0">
      <w:start w:val="1"/>
      <w:numFmt w:val="bullet"/>
      <w:pStyle w:val="3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27104D4"/>
    <w:multiLevelType w:val="multilevel"/>
    <w:tmpl w:val="527104D4"/>
    <w:lvl w:ilvl="0" w:tentative="0">
      <w:start w:val="1"/>
      <w:numFmt w:val="decimal"/>
      <w:lvlText w:val="%1."/>
      <w:lvlJc w:val="left"/>
      <w:pPr>
        <w:ind w:left="360" w:hanging="360"/>
      </w:p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52BF1D56"/>
    <w:multiLevelType w:val="multilevel"/>
    <w:tmpl w:val="52BF1D56"/>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7D84BE6"/>
    <w:multiLevelType w:val="multilevel"/>
    <w:tmpl w:val="57D84BE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826622D"/>
    <w:multiLevelType w:val="multilevel"/>
    <w:tmpl w:val="5826622D"/>
    <w:lvl w:ilvl="0" w:tentative="0">
      <w:start w:val="0"/>
      <w:numFmt w:val="bullet"/>
      <w:lvlText w:val="-"/>
      <w:lvlJc w:val="left"/>
      <w:pPr>
        <w:ind w:left="720" w:hanging="360"/>
      </w:pPr>
      <w:rPr>
        <w:rFonts w:hint="default" w:ascii="Times New Roman" w:hAnsi="Times New Roman" w:cs="Times New Roman" w:eastAsiaTheme="minorEastAsia"/>
        <w:b/>
        <w:sz w:val="21"/>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8C8496B"/>
    <w:multiLevelType w:val="multilevel"/>
    <w:tmpl w:val="58C8496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FC8524B"/>
    <w:multiLevelType w:val="multilevel"/>
    <w:tmpl w:val="5FC852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1555767"/>
    <w:multiLevelType w:val="multilevel"/>
    <w:tmpl w:val="615557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61802F34"/>
    <w:multiLevelType w:val="multilevel"/>
    <w:tmpl w:val="61802F3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46B2075"/>
    <w:multiLevelType w:val="multilevel"/>
    <w:tmpl w:val="646B207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651C31BE"/>
    <w:multiLevelType w:val="multilevel"/>
    <w:tmpl w:val="651C31B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5BA4E0B"/>
    <w:multiLevelType w:val="multilevel"/>
    <w:tmpl w:val="65BA4E0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78D567F"/>
    <w:multiLevelType w:val="multilevel"/>
    <w:tmpl w:val="678D567F"/>
    <w:lvl w:ilvl="0" w:tentative="0">
      <w:start w:val="3"/>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F2656DC"/>
    <w:multiLevelType w:val="multilevel"/>
    <w:tmpl w:val="6F265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5CF5E40"/>
    <w:multiLevelType w:val="multilevel"/>
    <w:tmpl w:val="75CF5E40"/>
    <w:lvl w:ilvl="0" w:tentative="0">
      <w:start w:val="6"/>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BA2523B"/>
    <w:multiLevelType w:val="multilevel"/>
    <w:tmpl w:val="7BA252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C301F91"/>
    <w:multiLevelType w:val="multilevel"/>
    <w:tmpl w:val="7C301F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0"/>
  </w:num>
  <w:num w:numId="7">
    <w:abstractNumId w:val="5"/>
  </w:num>
  <w:num w:numId="8">
    <w:abstractNumId w:val="24"/>
  </w:num>
  <w:num w:numId="9">
    <w:abstractNumId w:val="25"/>
  </w:num>
  <w:num w:numId="10">
    <w:abstractNumId w:val="11"/>
  </w:num>
  <w:num w:numId="11">
    <w:abstractNumId w:val="4"/>
  </w:num>
  <w:num w:numId="12">
    <w:abstractNumId w:val="26"/>
  </w:num>
  <w:num w:numId="13">
    <w:abstractNumId w:val="12"/>
  </w:num>
  <w:num w:numId="14">
    <w:abstractNumId w:val="16"/>
  </w:num>
  <w:num w:numId="15">
    <w:abstractNumId w:val="27"/>
  </w:num>
  <w:num w:numId="16">
    <w:abstractNumId w:val="29"/>
  </w:num>
  <w:num w:numId="17">
    <w:abstractNumId w:val="14"/>
  </w:num>
  <w:num w:numId="18">
    <w:abstractNumId w:val="0"/>
  </w:num>
  <w:num w:numId="19">
    <w:abstractNumId w:val="34"/>
  </w:num>
  <w:num w:numId="20">
    <w:abstractNumId w:val="21"/>
  </w:num>
  <w:num w:numId="21">
    <w:abstractNumId w:val="18"/>
  </w:num>
  <w:num w:numId="22">
    <w:abstractNumId w:val="22"/>
  </w:num>
  <w:num w:numId="23">
    <w:abstractNumId w:val="17"/>
  </w:num>
  <w:num w:numId="24">
    <w:abstractNumId w:val="31"/>
  </w:num>
  <w:num w:numId="25">
    <w:abstractNumId w:val="8"/>
  </w:num>
  <w:num w:numId="26">
    <w:abstractNumId w:val="3"/>
  </w:num>
  <w:num w:numId="27">
    <w:abstractNumId w:val="36"/>
  </w:num>
  <w:num w:numId="28">
    <w:abstractNumId w:val="35"/>
  </w:num>
  <w:num w:numId="29">
    <w:abstractNumId w:val="2"/>
  </w:num>
  <w:num w:numId="30">
    <w:abstractNumId w:val="33"/>
  </w:num>
  <w:num w:numId="31">
    <w:abstractNumId w:val="23"/>
  </w:num>
  <w:num w:numId="32">
    <w:abstractNumId w:val="7"/>
  </w:num>
  <w:num w:numId="33">
    <w:abstractNumId w:val="6"/>
  </w:num>
  <w:num w:numId="34">
    <w:abstractNumId w:val="13"/>
  </w:num>
  <w:num w:numId="35">
    <w:abstractNumId w:val="10"/>
  </w:num>
  <w:num w:numId="36">
    <w:abstractNumId w:val="3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ZWJmZDc1M2RhMDJlMzFiZTAyMzYwOGVlNTMwMjYifQ=="/>
  </w:docVars>
  <w:rsids>
    <w:rsidRoot w:val="003C4A88"/>
    <w:rsid w:val="00012706"/>
    <w:rsid w:val="000179F4"/>
    <w:rsid w:val="00026AC2"/>
    <w:rsid w:val="00030D33"/>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3F5D"/>
    <w:rsid w:val="00096A5F"/>
    <w:rsid w:val="000A0415"/>
    <w:rsid w:val="000A0D7E"/>
    <w:rsid w:val="000A3C5D"/>
    <w:rsid w:val="000A450D"/>
    <w:rsid w:val="000B00A7"/>
    <w:rsid w:val="000B2A6F"/>
    <w:rsid w:val="000B380F"/>
    <w:rsid w:val="000B4CB7"/>
    <w:rsid w:val="000B59FB"/>
    <w:rsid w:val="000B5AA3"/>
    <w:rsid w:val="000C2F3D"/>
    <w:rsid w:val="000C3BBC"/>
    <w:rsid w:val="000C5900"/>
    <w:rsid w:val="000D183A"/>
    <w:rsid w:val="000D27A7"/>
    <w:rsid w:val="000D47D3"/>
    <w:rsid w:val="000D76C4"/>
    <w:rsid w:val="000E7BAB"/>
    <w:rsid w:val="000F5109"/>
    <w:rsid w:val="000F591B"/>
    <w:rsid w:val="000F61C1"/>
    <w:rsid w:val="000F7FED"/>
    <w:rsid w:val="001044A6"/>
    <w:rsid w:val="001058F5"/>
    <w:rsid w:val="00105CF9"/>
    <w:rsid w:val="00106100"/>
    <w:rsid w:val="0010660D"/>
    <w:rsid w:val="001103DA"/>
    <w:rsid w:val="001124FC"/>
    <w:rsid w:val="0011442B"/>
    <w:rsid w:val="001151A6"/>
    <w:rsid w:val="00116242"/>
    <w:rsid w:val="00122E9E"/>
    <w:rsid w:val="00125A1B"/>
    <w:rsid w:val="00130F7D"/>
    <w:rsid w:val="001319EA"/>
    <w:rsid w:val="00132EE2"/>
    <w:rsid w:val="001350D5"/>
    <w:rsid w:val="00140AD7"/>
    <w:rsid w:val="00140E53"/>
    <w:rsid w:val="00141056"/>
    <w:rsid w:val="00142801"/>
    <w:rsid w:val="00145CE7"/>
    <w:rsid w:val="00146A21"/>
    <w:rsid w:val="001470DB"/>
    <w:rsid w:val="00151B89"/>
    <w:rsid w:val="00151C32"/>
    <w:rsid w:val="00166109"/>
    <w:rsid w:val="0017365E"/>
    <w:rsid w:val="00176C7A"/>
    <w:rsid w:val="00180B13"/>
    <w:rsid w:val="001813C4"/>
    <w:rsid w:val="001826AA"/>
    <w:rsid w:val="001856C8"/>
    <w:rsid w:val="0019376B"/>
    <w:rsid w:val="00197117"/>
    <w:rsid w:val="001A27E1"/>
    <w:rsid w:val="001A3D2B"/>
    <w:rsid w:val="001B02E8"/>
    <w:rsid w:val="001B0BF2"/>
    <w:rsid w:val="001B4065"/>
    <w:rsid w:val="001B5AF4"/>
    <w:rsid w:val="001C0739"/>
    <w:rsid w:val="001C1A7E"/>
    <w:rsid w:val="001C4583"/>
    <w:rsid w:val="001C5446"/>
    <w:rsid w:val="001D060F"/>
    <w:rsid w:val="001D221C"/>
    <w:rsid w:val="001D24DE"/>
    <w:rsid w:val="001D51F6"/>
    <w:rsid w:val="001D68F3"/>
    <w:rsid w:val="001D7A5D"/>
    <w:rsid w:val="001E5156"/>
    <w:rsid w:val="001E6093"/>
    <w:rsid w:val="001F0D6A"/>
    <w:rsid w:val="001F19AB"/>
    <w:rsid w:val="00201A04"/>
    <w:rsid w:val="0020264C"/>
    <w:rsid w:val="00202B8C"/>
    <w:rsid w:val="002044B8"/>
    <w:rsid w:val="0020532D"/>
    <w:rsid w:val="002109BA"/>
    <w:rsid w:val="002122C2"/>
    <w:rsid w:val="00216C24"/>
    <w:rsid w:val="00220533"/>
    <w:rsid w:val="00223627"/>
    <w:rsid w:val="0022550C"/>
    <w:rsid w:val="002264E3"/>
    <w:rsid w:val="00230DDD"/>
    <w:rsid w:val="0023423C"/>
    <w:rsid w:val="002379EA"/>
    <w:rsid w:val="00241460"/>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3559"/>
    <w:rsid w:val="0029405B"/>
    <w:rsid w:val="0029625A"/>
    <w:rsid w:val="002974F0"/>
    <w:rsid w:val="002A0032"/>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4B7A"/>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3F6FBA"/>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588"/>
    <w:rsid w:val="00463CB7"/>
    <w:rsid w:val="00464776"/>
    <w:rsid w:val="004658E0"/>
    <w:rsid w:val="00465B87"/>
    <w:rsid w:val="004733CB"/>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43AA"/>
    <w:rsid w:val="004C4798"/>
    <w:rsid w:val="004C49F3"/>
    <w:rsid w:val="004C4E49"/>
    <w:rsid w:val="004C78AE"/>
    <w:rsid w:val="004C7EFD"/>
    <w:rsid w:val="004D0387"/>
    <w:rsid w:val="004D0670"/>
    <w:rsid w:val="004D0B7C"/>
    <w:rsid w:val="004E03C5"/>
    <w:rsid w:val="004E39C6"/>
    <w:rsid w:val="004E5199"/>
    <w:rsid w:val="004F113E"/>
    <w:rsid w:val="004F5224"/>
    <w:rsid w:val="005007E0"/>
    <w:rsid w:val="00501ED1"/>
    <w:rsid w:val="00516F61"/>
    <w:rsid w:val="0051711C"/>
    <w:rsid w:val="0052282F"/>
    <w:rsid w:val="00524806"/>
    <w:rsid w:val="00527E03"/>
    <w:rsid w:val="00530ED6"/>
    <w:rsid w:val="005317D6"/>
    <w:rsid w:val="00534506"/>
    <w:rsid w:val="005345EE"/>
    <w:rsid w:val="00534A8E"/>
    <w:rsid w:val="00540E6F"/>
    <w:rsid w:val="00542B22"/>
    <w:rsid w:val="00544EB2"/>
    <w:rsid w:val="005502B2"/>
    <w:rsid w:val="0055599C"/>
    <w:rsid w:val="00555A9B"/>
    <w:rsid w:val="0055610E"/>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B759B"/>
    <w:rsid w:val="005C229C"/>
    <w:rsid w:val="005C5E4E"/>
    <w:rsid w:val="005D2C81"/>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14A4"/>
    <w:rsid w:val="00632099"/>
    <w:rsid w:val="0063483E"/>
    <w:rsid w:val="006348FE"/>
    <w:rsid w:val="0063544F"/>
    <w:rsid w:val="00640AE5"/>
    <w:rsid w:val="00644C62"/>
    <w:rsid w:val="00645930"/>
    <w:rsid w:val="00646CBC"/>
    <w:rsid w:val="006535F7"/>
    <w:rsid w:val="006602FA"/>
    <w:rsid w:val="00663591"/>
    <w:rsid w:val="0067037D"/>
    <w:rsid w:val="00673775"/>
    <w:rsid w:val="00674C3E"/>
    <w:rsid w:val="006803FD"/>
    <w:rsid w:val="0068166F"/>
    <w:rsid w:val="006838D0"/>
    <w:rsid w:val="00683A8E"/>
    <w:rsid w:val="006851F2"/>
    <w:rsid w:val="00686043"/>
    <w:rsid w:val="00695A6C"/>
    <w:rsid w:val="00697025"/>
    <w:rsid w:val="0069706D"/>
    <w:rsid w:val="00697697"/>
    <w:rsid w:val="006A2E03"/>
    <w:rsid w:val="006B2961"/>
    <w:rsid w:val="006B2A5D"/>
    <w:rsid w:val="006B586B"/>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6B1C"/>
    <w:rsid w:val="00717B82"/>
    <w:rsid w:val="00722AEB"/>
    <w:rsid w:val="00723F4B"/>
    <w:rsid w:val="00732005"/>
    <w:rsid w:val="00734DC2"/>
    <w:rsid w:val="00736AEE"/>
    <w:rsid w:val="00737B47"/>
    <w:rsid w:val="007401D0"/>
    <w:rsid w:val="00742A78"/>
    <w:rsid w:val="00742C77"/>
    <w:rsid w:val="007458D4"/>
    <w:rsid w:val="00746F06"/>
    <w:rsid w:val="007541E4"/>
    <w:rsid w:val="007572C7"/>
    <w:rsid w:val="0076656C"/>
    <w:rsid w:val="007667CD"/>
    <w:rsid w:val="00770CAD"/>
    <w:rsid w:val="00771524"/>
    <w:rsid w:val="00772018"/>
    <w:rsid w:val="00772DCD"/>
    <w:rsid w:val="00773CDF"/>
    <w:rsid w:val="00780E35"/>
    <w:rsid w:val="0078220D"/>
    <w:rsid w:val="007839E9"/>
    <w:rsid w:val="00783ED8"/>
    <w:rsid w:val="00783F03"/>
    <w:rsid w:val="00785507"/>
    <w:rsid w:val="007902F9"/>
    <w:rsid w:val="00792A2E"/>
    <w:rsid w:val="00795352"/>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2D16"/>
    <w:rsid w:val="007E5BBD"/>
    <w:rsid w:val="007E5D34"/>
    <w:rsid w:val="007F04D5"/>
    <w:rsid w:val="007F33A1"/>
    <w:rsid w:val="007F49FF"/>
    <w:rsid w:val="00803F2C"/>
    <w:rsid w:val="008067B1"/>
    <w:rsid w:val="0081072E"/>
    <w:rsid w:val="0081448D"/>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1287"/>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3AFB"/>
    <w:rsid w:val="009542E0"/>
    <w:rsid w:val="00957FD9"/>
    <w:rsid w:val="00966419"/>
    <w:rsid w:val="00970DD4"/>
    <w:rsid w:val="00970EB3"/>
    <w:rsid w:val="009718A0"/>
    <w:rsid w:val="00973988"/>
    <w:rsid w:val="009826B2"/>
    <w:rsid w:val="0098382A"/>
    <w:rsid w:val="009844BB"/>
    <w:rsid w:val="00985C5B"/>
    <w:rsid w:val="009878AD"/>
    <w:rsid w:val="009959DE"/>
    <w:rsid w:val="009A1968"/>
    <w:rsid w:val="009A23CE"/>
    <w:rsid w:val="009B0B18"/>
    <w:rsid w:val="009B1AB8"/>
    <w:rsid w:val="009B3334"/>
    <w:rsid w:val="009B53D8"/>
    <w:rsid w:val="009B63C6"/>
    <w:rsid w:val="009B6961"/>
    <w:rsid w:val="009B7653"/>
    <w:rsid w:val="009C0CAD"/>
    <w:rsid w:val="009C3F32"/>
    <w:rsid w:val="009C5BC8"/>
    <w:rsid w:val="009C7208"/>
    <w:rsid w:val="009D3CB8"/>
    <w:rsid w:val="009D4DD3"/>
    <w:rsid w:val="009E0C4C"/>
    <w:rsid w:val="009E1A03"/>
    <w:rsid w:val="009E71AF"/>
    <w:rsid w:val="009F1D6E"/>
    <w:rsid w:val="009F3C94"/>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4348D"/>
    <w:rsid w:val="00A5021D"/>
    <w:rsid w:val="00A51E88"/>
    <w:rsid w:val="00A53465"/>
    <w:rsid w:val="00A53526"/>
    <w:rsid w:val="00A60CFA"/>
    <w:rsid w:val="00A6585D"/>
    <w:rsid w:val="00A66E55"/>
    <w:rsid w:val="00A71255"/>
    <w:rsid w:val="00A766F5"/>
    <w:rsid w:val="00A770E8"/>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43DD"/>
    <w:rsid w:val="00B05A24"/>
    <w:rsid w:val="00B10EFB"/>
    <w:rsid w:val="00B15111"/>
    <w:rsid w:val="00B15B42"/>
    <w:rsid w:val="00B16133"/>
    <w:rsid w:val="00B2024E"/>
    <w:rsid w:val="00B2599C"/>
    <w:rsid w:val="00B27AE7"/>
    <w:rsid w:val="00B37499"/>
    <w:rsid w:val="00B4164B"/>
    <w:rsid w:val="00B4303D"/>
    <w:rsid w:val="00B4616A"/>
    <w:rsid w:val="00B502CB"/>
    <w:rsid w:val="00B522B7"/>
    <w:rsid w:val="00B54189"/>
    <w:rsid w:val="00B5491F"/>
    <w:rsid w:val="00B54B2F"/>
    <w:rsid w:val="00B5515D"/>
    <w:rsid w:val="00B64036"/>
    <w:rsid w:val="00B70602"/>
    <w:rsid w:val="00B72E07"/>
    <w:rsid w:val="00B7486E"/>
    <w:rsid w:val="00B81159"/>
    <w:rsid w:val="00B818F2"/>
    <w:rsid w:val="00B829EC"/>
    <w:rsid w:val="00B8411D"/>
    <w:rsid w:val="00B84E88"/>
    <w:rsid w:val="00B874CC"/>
    <w:rsid w:val="00B90829"/>
    <w:rsid w:val="00B93D9A"/>
    <w:rsid w:val="00B9493E"/>
    <w:rsid w:val="00B97E24"/>
    <w:rsid w:val="00BA463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E66B2"/>
    <w:rsid w:val="00BF0C6F"/>
    <w:rsid w:val="00BF51F6"/>
    <w:rsid w:val="00BF5BC2"/>
    <w:rsid w:val="00C06A12"/>
    <w:rsid w:val="00C102C4"/>
    <w:rsid w:val="00C1048B"/>
    <w:rsid w:val="00C14C05"/>
    <w:rsid w:val="00C15228"/>
    <w:rsid w:val="00C2169B"/>
    <w:rsid w:val="00C21C3A"/>
    <w:rsid w:val="00C229DC"/>
    <w:rsid w:val="00C23BE3"/>
    <w:rsid w:val="00C246D4"/>
    <w:rsid w:val="00C25B07"/>
    <w:rsid w:val="00C30596"/>
    <w:rsid w:val="00C312A0"/>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45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18D"/>
    <w:rsid w:val="00CE35D3"/>
    <w:rsid w:val="00CE61A6"/>
    <w:rsid w:val="00CE63A4"/>
    <w:rsid w:val="00CF03AC"/>
    <w:rsid w:val="00CF369D"/>
    <w:rsid w:val="00CF4828"/>
    <w:rsid w:val="00D01DE4"/>
    <w:rsid w:val="00D03195"/>
    <w:rsid w:val="00D06448"/>
    <w:rsid w:val="00D06F02"/>
    <w:rsid w:val="00D14F80"/>
    <w:rsid w:val="00D1631B"/>
    <w:rsid w:val="00D20FB3"/>
    <w:rsid w:val="00D2245E"/>
    <w:rsid w:val="00D23ED2"/>
    <w:rsid w:val="00D30C8C"/>
    <w:rsid w:val="00D31387"/>
    <w:rsid w:val="00D33B41"/>
    <w:rsid w:val="00D34BA7"/>
    <w:rsid w:val="00D3739C"/>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869"/>
    <w:rsid w:val="00D728F9"/>
    <w:rsid w:val="00D938B4"/>
    <w:rsid w:val="00D946CD"/>
    <w:rsid w:val="00D95FFE"/>
    <w:rsid w:val="00DA1C81"/>
    <w:rsid w:val="00DA4CE9"/>
    <w:rsid w:val="00DA520C"/>
    <w:rsid w:val="00DA6D9B"/>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65C2C"/>
    <w:rsid w:val="00E65DF3"/>
    <w:rsid w:val="00E65E75"/>
    <w:rsid w:val="00E66AA7"/>
    <w:rsid w:val="00E7022C"/>
    <w:rsid w:val="00E71C07"/>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023F"/>
    <w:rsid w:val="00F02A65"/>
    <w:rsid w:val="00F107D8"/>
    <w:rsid w:val="00F136DE"/>
    <w:rsid w:val="00F15512"/>
    <w:rsid w:val="00F17E5C"/>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66E4C"/>
    <w:rsid w:val="00F72526"/>
    <w:rsid w:val="00F74949"/>
    <w:rsid w:val="00F75222"/>
    <w:rsid w:val="00F76FDC"/>
    <w:rsid w:val="00F81C65"/>
    <w:rsid w:val="00F85BC8"/>
    <w:rsid w:val="00F87CF5"/>
    <w:rsid w:val="00F903C1"/>
    <w:rsid w:val="00F910F9"/>
    <w:rsid w:val="00F92EF1"/>
    <w:rsid w:val="00F94172"/>
    <w:rsid w:val="00F941F7"/>
    <w:rsid w:val="00F96140"/>
    <w:rsid w:val="00FA2AA2"/>
    <w:rsid w:val="00FA5B85"/>
    <w:rsid w:val="00FB7A9A"/>
    <w:rsid w:val="00FC3B06"/>
    <w:rsid w:val="00FC70F4"/>
    <w:rsid w:val="00FC7E7E"/>
    <w:rsid w:val="00FD7343"/>
    <w:rsid w:val="00FE4CA3"/>
    <w:rsid w:val="00FF26E1"/>
    <w:rsid w:val="566775D0"/>
    <w:rsid w:val="58EB3E21"/>
    <w:rsid w:val="67DC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heme="minorEastAsia" w:cstheme="minorBidi"/>
      <w:color w:val="000000" w:themeColor="text1"/>
      <w:sz w:val="21"/>
      <w:szCs w:val="22"/>
      <w:lang w:val="en-US" w:eastAsia="zh-CN" w:bidi="ar-SA"/>
      <w14:textFill>
        <w14:solidFill>
          <w14:schemeClr w14:val="tx1"/>
        </w14:solidFill>
      </w14:textFill>
    </w:rPr>
  </w:style>
  <w:style w:type="paragraph" w:styleId="2">
    <w:name w:val="heading 1"/>
    <w:next w:val="1"/>
    <w:link w:val="20"/>
    <w:autoRedefine/>
    <w:qFormat/>
    <w:uiPriority w:val="0"/>
    <w:pPr>
      <w:keepNext/>
      <w:keepLines/>
      <w:pBdr>
        <w:top w:val="single" w:color="auto" w:sz="12" w:space="3"/>
      </w:pBdr>
      <w:overflowPunct w:val="0"/>
      <w:autoSpaceDE w:val="0"/>
      <w:autoSpaceDN w:val="0"/>
      <w:adjustRightInd w:val="0"/>
      <w:spacing w:before="240" w:after="180"/>
      <w:ind w:left="1134" w:hanging="1134"/>
      <w:outlineLvl w:val="0"/>
    </w:pPr>
    <w:rPr>
      <w:rFonts w:ascii="Arial" w:hAnsi="Arial" w:eastAsia="宋体" w:cs="Times New Roman"/>
      <w:sz w:val="36"/>
      <w:lang w:val="en-GB" w:eastAsia="ja-JP" w:bidi="ar-SA"/>
    </w:rPr>
  </w:style>
  <w:style w:type="paragraph" w:styleId="3">
    <w:name w:val="heading 2"/>
    <w:basedOn w:val="2"/>
    <w:next w:val="1"/>
    <w:link w:val="31"/>
    <w:autoRedefine/>
    <w:qFormat/>
    <w:uiPriority w:val="9"/>
    <w:pPr>
      <w:pBdr>
        <w:top w:val="none" w:color="auto" w:sz="0" w:space="0"/>
      </w:pBdr>
      <w:spacing w:before="180"/>
      <w:textAlignment w:val="baseline"/>
      <w:outlineLvl w:val="1"/>
    </w:pPr>
    <w:rPr>
      <w:sz w:val="32"/>
    </w:rPr>
  </w:style>
  <w:style w:type="paragraph" w:styleId="4">
    <w:name w:val="heading 3"/>
    <w:basedOn w:val="3"/>
    <w:next w:val="1"/>
    <w:link w:val="32"/>
    <w:autoRedefine/>
    <w:qFormat/>
    <w:uiPriority w:val="9"/>
    <w:pPr>
      <w:spacing w:before="120"/>
      <w:outlineLvl w:val="2"/>
    </w:pPr>
    <w:rPr>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2"/>
    <w:autoRedefine/>
    <w:unhideWhenUsed/>
    <w:qFormat/>
    <w:uiPriority w:val="99"/>
    <w:rPr>
      <w:sz w:val="20"/>
      <w:szCs w:val="20"/>
    </w:rPr>
  </w:style>
  <w:style w:type="paragraph" w:styleId="6">
    <w:name w:val="Body Text"/>
    <w:basedOn w:val="1"/>
    <w:link w:val="21"/>
    <w:autoRedefine/>
    <w:unhideWhenUsed/>
    <w:qFormat/>
    <w:uiPriority w:val="0"/>
    <w:pPr>
      <w:widowControl/>
      <w:overflowPunct w:val="0"/>
      <w:autoSpaceDE w:val="0"/>
      <w:autoSpaceDN w:val="0"/>
      <w:adjustRightInd w:val="0"/>
      <w:spacing w:after="120"/>
    </w:pPr>
    <w:rPr>
      <w:rFonts w:ascii="Arial" w:hAnsi="Arial" w:eastAsia="宋体" w:cs="Times New Roman"/>
      <w:sz w:val="20"/>
      <w:szCs w:val="20"/>
      <w:lang w:val="en-GB"/>
    </w:rPr>
  </w:style>
  <w:style w:type="paragraph" w:styleId="7">
    <w:name w:val="Balloon Text"/>
    <w:basedOn w:val="1"/>
    <w:link w:val="44"/>
    <w:autoRedefine/>
    <w:semiHidden/>
    <w:unhideWhenUsed/>
    <w:qFormat/>
    <w:uiPriority w:val="99"/>
    <w:rPr>
      <w:sz w:val="18"/>
      <w:szCs w:val="18"/>
    </w:rPr>
  </w:style>
  <w:style w:type="paragraph" w:styleId="8">
    <w:name w:val="footer"/>
    <w:basedOn w:val="1"/>
    <w:link w:val="33"/>
    <w:autoRedefine/>
    <w:unhideWhenUsed/>
    <w:qFormat/>
    <w:uiPriority w:val="99"/>
    <w:pPr>
      <w:tabs>
        <w:tab w:val="center" w:pos="4513"/>
        <w:tab w:val="right" w:pos="9026"/>
      </w:tabs>
      <w:snapToGrid w:val="0"/>
    </w:pPr>
    <w:rPr>
      <w:sz w:val="18"/>
      <w:szCs w:val="18"/>
    </w:rPr>
  </w:style>
  <w:style w:type="paragraph" w:styleId="9">
    <w:name w:val="header"/>
    <w:basedOn w:val="1"/>
    <w:link w:val="19"/>
    <w:autoRedefine/>
    <w:unhideWhenUsed/>
    <w:qFormat/>
    <w:uiPriority w:val="99"/>
    <w:pPr>
      <w:tabs>
        <w:tab w:val="left" w:pos="1701"/>
        <w:tab w:val="right" w:pos="9923"/>
      </w:tabs>
      <w:spacing w:before="120"/>
    </w:pPr>
    <w:rPr>
      <w:rFonts w:ascii="Arial" w:hAnsi="Arial" w:eastAsia="MS Mincho" w:cs="Times New Roman"/>
      <w:b/>
      <w:sz w:val="24"/>
      <w:szCs w:val="24"/>
      <w:lang w:val="de-DE"/>
    </w:rPr>
  </w:style>
  <w:style w:type="paragraph" w:styleId="10">
    <w:name w:val="List"/>
    <w:basedOn w:val="1"/>
    <w:autoRedefine/>
    <w:semiHidden/>
    <w:unhideWhenUsed/>
    <w:qFormat/>
    <w:uiPriority w:val="99"/>
    <w:pPr>
      <w:ind w:left="200" w:hanging="200" w:hangingChars="200"/>
      <w:contextualSpacing/>
    </w:pPr>
  </w:style>
  <w:style w:type="paragraph" w:styleId="11">
    <w:name w:val="Normal (Web)"/>
    <w:basedOn w:val="1"/>
    <w:autoRedefine/>
    <w:semiHidden/>
    <w:unhideWhenUsed/>
    <w:qFormat/>
    <w:uiPriority w:val="99"/>
    <w:pPr>
      <w:widowControl/>
      <w:spacing w:before="100" w:beforeAutospacing="1" w:after="100" w:afterAutospacing="1"/>
    </w:pPr>
    <w:rPr>
      <w:rFonts w:ascii="宋体" w:hAnsi="宋体" w:eastAsia="宋体" w:cs="宋体"/>
      <w:sz w:val="24"/>
      <w:szCs w:val="24"/>
    </w:rPr>
  </w:style>
  <w:style w:type="paragraph" w:styleId="12">
    <w:name w:val="annotation subject"/>
    <w:basedOn w:val="5"/>
    <w:next w:val="5"/>
    <w:link w:val="43"/>
    <w:autoRedefine/>
    <w:semiHidden/>
    <w:unhideWhenUsed/>
    <w:qFormat/>
    <w:uiPriority w:val="99"/>
    <w:rPr>
      <w:b/>
      <w:bCs/>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Hyperlink"/>
    <w:basedOn w:val="15"/>
    <w:autoRedefine/>
    <w:unhideWhenUsed/>
    <w:qFormat/>
    <w:uiPriority w:val="0"/>
    <w:rPr>
      <w:color w:val="000000"/>
      <w:u w:val="single"/>
    </w:rPr>
  </w:style>
  <w:style w:type="character" w:styleId="18">
    <w:name w:val="annotation reference"/>
    <w:basedOn w:val="15"/>
    <w:autoRedefine/>
    <w:semiHidden/>
    <w:unhideWhenUsed/>
    <w:qFormat/>
    <w:uiPriority w:val="99"/>
    <w:rPr>
      <w:sz w:val="16"/>
      <w:szCs w:val="16"/>
    </w:rPr>
  </w:style>
  <w:style w:type="character" w:customStyle="1" w:styleId="19">
    <w:name w:val="Header Char"/>
    <w:basedOn w:val="15"/>
    <w:link w:val="9"/>
    <w:autoRedefine/>
    <w:qFormat/>
    <w:uiPriority w:val="99"/>
    <w:rPr>
      <w:rFonts w:ascii="Arial" w:hAnsi="Arial" w:eastAsia="MS Mincho" w:cs="Times New Roman"/>
      <w:b/>
      <w:kern w:val="0"/>
      <w:sz w:val="24"/>
      <w:szCs w:val="24"/>
      <w:lang w:val="de-DE" w:eastAsia="zh-CN"/>
    </w:rPr>
  </w:style>
  <w:style w:type="character" w:customStyle="1" w:styleId="20">
    <w:name w:val="Heading 1 Char"/>
    <w:basedOn w:val="15"/>
    <w:link w:val="2"/>
    <w:autoRedefine/>
    <w:qFormat/>
    <w:uiPriority w:val="0"/>
    <w:rPr>
      <w:rFonts w:ascii="Arial" w:hAnsi="Arial" w:eastAsia="宋体" w:cs="Times New Roman"/>
      <w:kern w:val="0"/>
      <w:sz w:val="36"/>
      <w:szCs w:val="20"/>
      <w:lang w:val="en-GB" w:eastAsia="ja-JP"/>
    </w:rPr>
  </w:style>
  <w:style w:type="character" w:customStyle="1" w:styleId="21">
    <w:name w:val="Body Text Char"/>
    <w:basedOn w:val="15"/>
    <w:link w:val="6"/>
    <w:autoRedefine/>
    <w:qFormat/>
    <w:uiPriority w:val="0"/>
    <w:rPr>
      <w:rFonts w:ascii="Arial" w:hAnsi="Arial" w:eastAsia="宋体" w:cs="Times New Roman"/>
      <w:kern w:val="0"/>
      <w:sz w:val="20"/>
      <w:szCs w:val="20"/>
      <w:lang w:val="en-GB"/>
    </w:rPr>
  </w:style>
  <w:style w:type="paragraph" w:customStyle="1" w:styleId="22">
    <w:name w:val="3GPP_Header"/>
    <w:basedOn w:val="6"/>
    <w:autoRedefine/>
    <w:qFormat/>
    <w:uiPriority w:val="0"/>
    <w:pPr>
      <w:tabs>
        <w:tab w:val="left" w:pos="1701"/>
        <w:tab w:val="right" w:pos="9639"/>
      </w:tabs>
      <w:spacing w:after="240"/>
    </w:pPr>
    <w:rPr>
      <w:b/>
      <w:sz w:val="24"/>
    </w:rPr>
  </w:style>
  <w:style w:type="character" w:customStyle="1" w:styleId="23">
    <w:name w:val="ui-provider"/>
    <w:basedOn w:val="15"/>
    <w:autoRedefine/>
    <w:qFormat/>
    <w:uiPriority w:val="0"/>
  </w:style>
  <w:style w:type="character" w:customStyle="1" w:styleId="24">
    <w:name w:val="Comments Char"/>
    <w:link w:val="25"/>
    <w:autoRedefine/>
    <w:qFormat/>
    <w:locked/>
    <w:uiPriority w:val="0"/>
    <w:rPr>
      <w:rFonts w:ascii="Arial" w:hAnsi="Arial" w:eastAsia="MS Mincho" w:cs="Arial"/>
      <w:i/>
      <w:sz w:val="18"/>
      <w:szCs w:val="24"/>
    </w:rPr>
  </w:style>
  <w:style w:type="paragraph" w:customStyle="1" w:styleId="25">
    <w:name w:val="Comments"/>
    <w:basedOn w:val="1"/>
    <w:link w:val="24"/>
    <w:autoRedefine/>
    <w:qFormat/>
    <w:uiPriority w:val="0"/>
    <w:pPr>
      <w:widowControl/>
      <w:spacing w:before="40"/>
    </w:pPr>
    <w:rPr>
      <w:rFonts w:ascii="Arial" w:hAnsi="Arial" w:eastAsia="MS Mincho" w:cs="Arial"/>
      <w:i/>
      <w:sz w:val="18"/>
      <w:szCs w:val="24"/>
    </w:rPr>
  </w:style>
  <w:style w:type="paragraph" w:styleId="26">
    <w:name w:val="List Paragraph"/>
    <w:basedOn w:val="1"/>
    <w:link w:val="29"/>
    <w:autoRedefine/>
    <w:qFormat/>
    <w:uiPriority w:val="34"/>
    <w:pPr>
      <w:ind w:firstLine="420" w:firstLineChars="200"/>
    </w:pPr>
  </w:style>
  <w:style w:type="character" w:customStyle="1" w:styleId="27">
    <w:name w:val="B1 Char1"/>
    <w:link w:val="28"/>
    <w:autoRedefine/>
    <w:qFormat/>
    <w:locked/>
    <w:uiPriority w:val="0"/>
  </w:style>
  <w:style w:type="paragraph" w:customStyle="1" w:styleId="28">
    <w:name w:val="B1"/>
    <w:basedOn w:val="10"/>
    <w:link w:val="27"/>
    <w:qFormat/>
    <w:uiPriority w:val="0"/>
    <w:pPr>
      <w:widowControl/>
      <w:overflowPunct w:val="0"/>
      <w:autoSpaceDE w:val="0"/>
      <w:autoSpaceDN w:val="0"/>
      <w:adjustRightInd w:val="0"/>
      <w:spacing w:after="180"/>
      <w:ind w:left="568" w:hanging="284" w:firstLineChars="0"/>
      <w:contextualSpacing w:val="0"/>
    </w:pPr>
  </w:style>
  <w:style w:type="character" w:customStyle="1" w:styleId="29">
    <w:name w:val="List Paragraph Char"/>
    <w:link w:val="26"/>
    <w:autoRedefine/>
    <w:qFormat/>
    <w:locked/>
    <w:uiPriority w:val="34"/>
  </w:style>
  <w:style w:type="paragraph" w:customStyle="1" w:styleId="30">
    <w:name w:val="Proposal"/>
    <w:basedOn w:val="6"/>
    <w:autoRedefine/>
    <w:qFormat/>
    <w:uiPriority w:val="0"/>
    <w:pPr>
      <w:numPr>
        <w:ilvl w:val="0"/>
        <w:numId w:val="1"/>
      </w:numPr>
      <w:tabs>
        <w:tab w:val="left" w:pos="360"/>
        <w:tab w:val="left" w:pos="1701"/>
        <w:tab w:val="clear" w:pos="1304"/>
      </w:tabs>
      <w:ind w:left="0" w:firstLine="0"/>
    </w:pPr>
    <w:rPr>
      <w:b/>
      <w:bCs/>
    </w:rPr>
  </w:style>
  <w:style w:type="character" w:customStyle="1" w:styleId="31">
    <w:name w:val="Heading 2 Char"/>
    <w:basedOn w:val="15"/>
    <w:link w:val="3"/>
    <w:uiPriority w:val="9"/>
    <w:rPr>
      <w:rFonts w:ascii="Arial" w:hAnsi="Arial" w:eastAsia="宋体" w:cs="Times New Roman"/>
      <w:kern w:val="0"/>
      <w:sz w:val="32"/>
      <w:szCs w:val="20"/>
      <w:lang w:val="en-GB" w:eastAsia="ja-JP"/>
    </w:rPr>
  </w:style>
  <w:style w:type="character" w:customStyle="1" w:styleId="32">
    <w:name w:val="Heading 3 Char"/>
    <w:basedOn w:val="15"/>
    <w:link w:val="4"/>
    <w:autoRedefine/>
    <w:qFormat/>
    <w:uiPriority w:val="9"/>
    <w:rPr>
      <w:rFonts w:ascii="Arial" w:hAnsi="Arial" w:eastAsia="宋体" w:cs="Times New Roman"/>
      <w:kern w:val="0"/>
      <w:sz w:val="28"/>
      <w:szCs w:val="20"/>
      <w:lang w:val="en-GB" w:eastAsia="ja-JP"/>
    </w:rPr>
  </w:style>
  <w:style w:type="character" w:customStyle="1" w:styleId="33">
    <w:name w:val="Footer Char"/>
    <w:basedOn w:val="15"/>
    <w:link w:val="8"/>
    <w:uiPriority w:val="99"/>
    <w:rPr>
      <w:sz w:val="18"/>
      <w:szCs w:val="18"/>
    </w:rPr>
  </w:style>
  <w:style w:type="paragraph" w:customStyle="1" w:styleId="34">
    <w:name w:val="Revision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EmailDiscussion Char"/>
    <w:link w:val="36"/>
    <w:autoRedefine/>
    <w:qFormat/>
    <w:locked/>
    <w:uiPriority w:val="0"/>
    <w:rPr>
      <w:rFonts w:ascii="Calibri" w:hAnsi="Calibri" w:cs="Calibri" w:eastAsiaTheme="minorHAnsi"/>
      <w:b/>
      <w:sz w:val="22"/>
      <w:lang w:eastAsia="en-US"/>
    </w:rPr>
  </w:style>
  <w:style w:type="paragraph" w:customStyle="1" w:styleId="36">
    <w:name w:val="EmailDiscussion"/>
    <w:basedOn w:val="1"/>
    <w:next w:val="1"/>
    <w:link w:val="35"/>
    <w:qFormat/>
    <w:uiPriority w:val="0"/>
    <w:pPr>
      <w:widowControl/>
      <w:numPr>
        <w:ilvl w:val="0"/>
        <w:numId w:val="2"/>
      </w:numPr>
    </w:pPr>
    <w:rPr>
      <w:rFonts w:ascii="Calibri" w:hAnsi="Calibri" w:cs="Calibri" w:eastAsiaTheme="minorHAnsi"/>
      <w:b/>
      <w:sz w:val="22"/>
      <w:lang w:eastAsia="en-US"/>
    </w:rPr>
  </w:style>
  <w:style w:type="paragraph" w:customStyle="1" w:styleId="37">
    <w:name w:val="EmailDiscussion2"/>
    <w:basedOn w:val="1"/>
    <w:autoRedefine/>
    <w:qFormat/>
    <w:uiPriority w:val="0"/>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38">
    <w:name w:val="Doc-text2 Char"/>
    <w:link w:val="39"/>
    <w:autoRedefine/>
    <w:qFormat/>
    <w:locked/>
    <w:uiPriority w:val="0"/>
    <w:rPr>
      <w:rFonts w:ascii="Calibri" w:hAnsi="Calibri" w:cs="Calibri" w:eastAsiaTheme="minorHAnsi"/>
      <w:sz w:val="22"/>
      <w:lang w:eastAsia="en-US"/>
    </w:rPr>
  </w:style>
  <w:style w:type="paragraph" w:customStyle="1" w:styleId="39">
    <w:name w:val="Doc-text2"/>
    <w:basedOn w:val="1"/>
    <w:link w:val="38"/>
    <w:autoRedefine/>
    <w:qFormat/>
    <w:uiPriority w:val="0"/>
    <w:pPr>
      <w:widowControl/>
      <w:tabs>
        <w:tab w:val="left" w:pos="1622"/>
      </w:tabs>
      <w:ind w:left="1622" w:hanging="363"/>
    </w:pPr>
    <w:rPr>
      <w:rFonts w:ascii="Calibri" w:hAnsi="Calibri" w:cs="Calibri" w:eastAsiaTheme="minorHAnsi"/>
      <w:sz w:val="22"/>
      <w:lang w:eastAsia="en-US"/>
    </w:rPr>
  </w:style>
  <w:style w:type="character" w:customStyle="1" w:styleId="40">
    <w:name w:val="Doc-title Char"/>
    <w:link w:val="41"/>
    <w:autoRedefine/>
    <w:qFormat/>
    <w:locked/>
    <w:uiPriority w:val="0"/>
    <w:rPr>
      <w:rFonts w:ascii="Calibri" w:hAnsi="Calibri" w:cs="Calibri" w:eastAsiaTheme="minorHAnsi"/>
      <w:sz w:val="22"/>
      <w:lang w:eastAsia="en-US"/>
    </w:rPr>
  </w:style>
  <w:style w:type="paragraph" w:customStyle="1" w:styleId="41">
    <w:name w:val="Doc-title"/>
    <w:basedOn w:val="1"/>
    <w:next w:val="1"/>
    <w:link w:val="40"/>
    <w:qFormat/>
    <w:uiPriority w:val="0"/>
    <w:pPr>
      <w:widowControl/>
      <w:spacing w:before="60"/>
      <w:ind w:left="1259" w:hanging="1259"/>
    </w:pPr>
    <w:rPr>
      <w:rFonts w:ascii="Calibri" w:hAnsi="Calibri" w:cs="Calibri" w:eastAsiaTheme="minorHAnsi"/>
      <w:sz w:val="22"/>
      <w:lang w:eastAsia="en-US"/>
    </w:rPr>
  </w:style>
  <w:style w:type="character" w:customStyle="1" w:styleId="42">
    <w:name w:val="Comment Text Char"/>
    <w:basedOn w:val="15"/>
    <w:link w:val="5"/>
    <w:autoRedefine/>
    <w:qFormat/>
    <w:uiPriority w:val="99"/>
    <w:rPr>
      <w:sz w:val="20"/>
      <w:szCs w:val="20"/>
    </w:rPr>
  </w:style>
  <w:style w:type="character" w:customStyle="1" w:styleId="43">
    <w:name w:val="Comment Subject Char"/>
    <w:basedOn w:val="42"/>
    <w:link w:val="12"/>
    <w:semiHidden/>
    <w:uiPriority w:val="99"/>
    <w:rPr>
      <w:b/>
      <w:bCs/>
      <w:sz w:val="20"/>
      <w:szCs w:val="20"/>
    </w:rPr>
  </w:style>
  <w:style w:type="character" w:customStyle="1" w:styleId="44">
    <w:name w:val="Balloon Text Char"/>
    <w:basedOn w:val="15"/>
    <w:link w:val="7"/>
    <w:autoRedefine/>
    <w:semiHidden/>
    <w:qFormat/>
    <w:uiPriority w:val="99"/>
    <w:rPr>
      <w:sz w:val="18"/>
      <w:szCs w:val="18"/>
    </w:rPr>
  </w:style>
  <w:style w:type="character" w:customStyle="1" w:styleId="45">
    <w:name w:val="未解決のメンション1"/>
    <w:basedOn w:val="15"/>
    <w:autoRedefine/>
    <w:semiHidden/>
    <w:unhideWhenUsed/>
    <w:qFormat/>
    <w:uiPriority w:val="99"/>
    <w:rPr>
      <w:color w:val="605E5C"/>
      <w:shd w:val="clear" w:color="auto" w:fill="E1DFDD"/>
    </w:rPr>
  </w:style>
  <w:style w:type="paragraph" w:customStyle="1" w:styleId="4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7">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3.vsdx"/><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package" Target="embeddings/Microsoft_Visio___4.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1168-349C-4ED9-989B-FE2752929CCF}">
  <ds:schemaRefs/>
</ds:datastoreItem>
</file>

<file path=docProps/app.xml><?xml version="1.0" encoding="utf-8"?>
<Properties xmlns="http://schemas.openxmlformats.org/officeDocument/2006/extended-properties" xmlns:vt="http://schemas.openxmlformats.org/officeDocument/2006/docPropsVTypes">
  <Template>Normal</Template>
  <Pages>64</Pages>
  <Words>24014</Words>
  <Characters>136881</Characters>
  <Lines>1140</Lines>
  <Paragraphs>321</Paragraphs>
  <TotalTime>0</TotalTime>
  <ScaleCrop>false</ScaleCrop>
  <LinksUpToDate>false</LinksUpToDate>
  <CharactersWithSpaces>160574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2024-05-03T04:01:00Z</dcterms:created>
  <dcterms:modified xsi:type="dcterms:W3CDTF">2024-05-03T04:16:43Z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C176766E780649A8BBF5B31ADBAB37AE_13</vt:lpwstr>
  </property>
</Properties>
</file>