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567"/>
          <w:tab w:val="right" w:pos="9639" w:leader="none"/>
        </w:tabs>
        <w:overflowPunct w:val="false"/>
        <w:bidi w:val="0"/>
        <w:spacing w:lineRule="auto" w:line="259" w:before="120" w:after="120"/>
        <w:jc w:val="both"/>
        <w:textAlignment w:val="auto"/>
        <w:rPr>
          <w:rFonts w:ascii="Arial" w:hAnsi="Arial" w:eastAsia="Malgun Gothic" w:cs="Arial"/>
          <w:b/>
          <w:bCs/>
          <w:kern w:val="2"/>
          <w:sz w:val="24"/>
          <w:szCs w:val="24"/>
          <w:lang w:val="en-US" w:eastAsia="zh-CN"/>
        </w:rPr>
      </w:pPr>
      <w:bookmarkStart w:id="0" w:name="_Hlk110350696"/>
      <w:bookmarkEnd w:id="0"/>
      <w:r>
        <w:rPr>
          <w:rFonts w:eastAsia="Malgun Gothic" w:cs="Arial" w:ascii="Arial" w:hAnsi="Arial"/>
          <w:b/>
          <w:bCs/>
          <w:kern w:val="2"/>
          <w:sz w:val="24"/>
          <w:szCs w:val="24"/>
          <w:lang w:eastAsia="zh-CN"/>
        </w:rPr>
        <w:t>3GPP TSG-RAN WG2 Meeting #12</w:t>
      </w:r>
      <w:r>
        <w:rPr>
          <w:rFonts w:eastAsia="Malgun Gothic" w:cs="Arial" w:ascii="Arial" w:hAnsi="Arial"/>
          <w:b/>
          <w:bCs/>
          <w:kern w:val="2"/>
          <w:sz w:val="24"/>
          <w:szCs w:val="24"/>
          <w:lang w:val="en-US" w:eastAsia="zh-CN"/>
        </w:rPr>
        <w:t>5</w:t>
      </w:r>
      <w:r>
        <w:rPr>
          <w:rFonts w:eastAsia="Malgun Gothic" w:cs="Arial" w:ascii="Arial" w:hAnsi="Arial"/>
          <w:b/>
          <w:bCs/>
          <w:kern w:val="2"/>
          <w:sz w:val="24"/>
          <w:szCs w:val="24"/>
          <w:lang w:eastAsia="zh-CN"/>
        </w:rPr>
        <w:tab/>
        <w:t>R2-24</w:t>
      </w:r>
      <w:r>
        <w:rPr>
          <w:rFonts w:eastAsia="Malgun Gothic" w:cs="Arial" w:ascii="Arial" w:hAnsi="Arial"/>
          <w:b/>
          <w:bCs/>
          <w:kern w:val="2"/>
          <w:sz w:val="24"/>
          <w:szCs w:val="24"/>
          <w:lang w:val="en-US" w:eastAsia="zh-CN"/>
        </w:rPr>
        <w:t>xxxxx</w:t>
      </w:r>
    </w:p>
    <w:p>
      <w:pPr>
        <w:pStyle w:val="Normal"/>
        <w:widowControl w:val="false"/>
        <w:tabs>
          <w:tab w:val="clear" w:pos="567"/>
          <w:tab w:val="left" w:pos="1701" w:leader="none"/>
          <w:tab w:val="right" w:pos="9923" w:leader="none"/>
        </w:tabs>
        <w:overflowPunct w:val="false"/>
        <w:bidi w:val="0"/>
        <w:spacing w:lineRule="auto" w:line="259" w:before="120" w:after="120"/>
        <w:jc w:val="both"/>
        <w:textAlignment w:val="auto"/>
        <w:rPr>
          <w:rFonts w:ascii="Arial" w:hAnsi="Arial" w:eastAsia="MS Mincho"/>
          <w:b/>
          <w:kern w:val="2"/>
          <w:sz w:val="24"/>
          <w:szCs w:val="24"/>
          <w:lang w:val="de-DE" w:eastAsia="zh-CN"/>
        </w:rPr>
      </w:pPr>
      <w:r>
        <w:rPr>
          <w:rFonts w:eastAsia="MS Mincho" w:ascii="Arial" w:hAnsi="Arial"/>
          <w:b/>
          <w:kern w:val="2"/>
          <w:sz w:val="24"/>
          <w:szCs w:val="24"/>
          <w:lang w:val="de-DE" w:eastAsia="zh-CN"/>
        </w:rPr>
        <w:t>Athens, Greece, 26</w:t>
      </w:r>
      <w:r>
        <w:rPr>
          <w:rFonts w:eastAsia="MS Mincho" w:ascii="Arial" w:hAnsi="Arial"/>
          <w:b/>
          <w:kern w:val="2"/>
          <w:sz w:val="24"/>
          <w:szCs w:val="24"/>
          <w:vertAlign w:val="superscript"/>
          <w:lang w:val="de-DE" w:eastAsia="zh-CN"/>
        </w:rPr>
        <w:t>th</w:t>
      </w:r>
      <w:r>
        <w:rPr>
          <w:rFonts w:eastAsia="MS Mincho" w:ascii="Arial" w:hAnsi="Arial"/>
          <w:b/>
          <w:kern w:val="2"/>
          <w:sz w:val="24"/>
          <w:szCs w:val="24"/>
          <w:lang w:val="de-DE" w:eastAsia="zh-CN"/>
        </w:rPr>
        <w:t xml:space="preserve"> February – 1</w:t>
      </w:r>
      <w:r>
        <w:rPr>
          <w:rFonts w:eastAsia="MS Mincho" w:ascii="Arial" w:hAnsi="Arial"/>
          <w:b/>
          <w:kern w:val="2"/>
          <w:sz w:val="24"/>
          <w:szCs w:val="24"/>
          <w:vertAlign w:val="superscript"/>
          <w:lang w:val="de-DE" w:eastAsia="zh-CN"/>
        </w:rPr>
        <w:t>st</w:t>
      </w:r>
      <w:r>
        <w:rPr>
          <w:rFonts w:eastAsia="MS Mincho" w:ascii="Arial" w:hAnsi="Arial"/>
          <w:b/>
          <w:kern w:val="2"/>
          <w:sz w:val="24"/>
          <w:szCs w:val="24"/>
          <w:lang w:val="de-DE" w:eastAsia="zh-CN"/>
        </w:rPr>
        <w:t xml:space="preserve"> March, 2024</w:t>
      </w:r>
    </w:p>
    <w:p>
      <w:pPr>
        <w:pStyle w:val="3GPPHeader"/>
        <w:bidi w:val="0"/>
        <w:rPr>
          <w:rFonts w:cs="Arial"/>
          <w:szCs w:val="24"/>
          <w:lang w:val="en-US"/>
        </w:rPr>
      </w:pPr>
      <w:r>
        <w:rPr>
          <w:rFonts w:cs="Arial"/>
          <w:szCs w:val="24"/>
          <w:lang w:val="en-US"/>
        </w:rPr>
      </w:r>
    </w:p>
    <w:p>
      <w:pPr>
        <w:pStyle w:val="3GPPHeader"/>
        <w:bidi w:val="0"/>
        <w:rPr>
          <w:rFonts w:eastAsia="宋体" w:cs="Arial"/>
          <w:szCs w:val="24"/>
          <w:lang w:val="en-US"/>
        </w:rPr>
      </w:pPr>
      <w:r>
        <w:rPr>
          <w:rFonts w:cs="Arial"/>
          <w:szCs w:val="24"/>
          <w:lang w:val="en-US"/>
        </w:rPr>
        <w:t>Agenda Item:</w:t>
        <w:tab/>
      </w:r>
      <w:r>
        <w:rPr>
          <w:rFonts w:eastAsia="宋体" w:cs="Arial"/>
          <w:szCs w:val="24"/>
          <w:lang w:val="en-US"/>
        </w:rPr>
        <w:t>7.4.1.2</w:t>
      </w:r>
    </w:p>
    <w:p>
      <w:pPr>
        <w:pStyle w:val="3GPPHeader"/>
        <w:bidi w:val="0"/>
        <w:rPr>
          <w:rFonts w:cs="Arial"/>
          <w:szCs w:val="24"/>
          <w:lang w:val="en-US"/>
        </w:rPr>
      </w:pPr>
      <w:r>
        <w:rPr>
          <w:rFonts w:cs="Arial"/>
          <w:szCs w:val="24"/>
          <w:lang w:val="en-US"/>
        </w:rPr>
        <w:t>Source:</w:t>
        <w:tab/>
      </w:r>
      <w:r>
        <w:rPr>
          <w:rFonts w:cs="Arial"/>
          <w:lang w:val="en-US"/>
        </w:rPr>
        <w:t>ZTE Corporation, Sanechips</w:t>
      </w:r>
    </w:p>
    <w:p>
      <w:pPr>
        <w:pStyle w:val="3GPPHeader"/>
        <w:bidi w:val="0"/>
        <w:rPr>
          <w:rFonts w:cs="Arial"/>
          <w:szCs w:val="24"/>
          <w:lang w:val="en-US"/>
        </w:rPr>
      </w:pPr>
      <w:r>
        <w:rPr>
          <w:rFonts w:cs="Arial"/>
          <w:szCs w:val="24"/>
          <w:lang w:val="en-US"/>
        </w:rPr>
        <w:t>Title:</w:t>
        <w:tab/>
      </w:r>
      <w:r>
        <w:rPr>
          <w:rFonts w:eastAsia="宋体" w:cs="Arial"/>
          <w:szCs w:val="24"/>
          <w:lang w:val="en-US"/>
        </w:rPr>
        <w:t xml:space="preserve">Report of </w:t>
      </w:r>
      <w:r>
        <w:rPr>
          <w:rFonts w:cs="Arial"/>
          <w:szCs w:val="24"/>
          <w:lang w:val="en-US"/>
        </w:rPr>
        <w:t>[Post125][513][feMob] 37340 (ZTE)</w:t>
      </w:r>
    </w:p>
    <w:p>
      <w:pPr>
        <w:pStyle w:val="3GPPHeader"/>
        <w:bidi w:val="0"/>
        <w:rPr>
          <w:lang w:val="en-US"/>
        </w:rPr>
      </w:pPr>
      <w:r>
        <w:rPr>
          <w:rFonts w:cs="Arial"/>
          <w:szCs w:val="24"/>
          <w:lang w:val="en-US"/>
        </w:rPr>
        <w:t>Document for:</w:t>
        <w:tab/>
        <w:t>Discussion</w:t>
      </w:r>
      <w:r>
        <w:rPr>
          <w:rFonts w:eastAsia="宋体" w:cs="Arial"/>
          <w:szCs w:val="24"/>
          <w:lang w:val="en-US"/>
        </w:rPr>
        <w:t xml:space="preserve"> and</w:t>
      </w:r>
      <w:r>
        <w:rPr>
          <w:rFonts w:cs="Arial"/>
          <w:szCs w:val="24"/>
          <w:lang w:val="en-US"/>
        </w:rPr>
        <w:t xml:space="preserve"> Decision</w:t>
      </w:r>
    </w:p>
    <w:p>
      <w:pPr>
        <w:pStyle w:val="Heading1"/>
        <w:bidi w:val="0"/>
        <w:jc w:val="left"/>
        <w:rPr>
          <w:lang w:val="en-US"/>
        </w:rPr>
      </w:pPr>
      <w:r>
        <w:rPr>
          <w:lang w:val="en-US"/>
        </w:rPr>
        <w:t>1</w:t>
        <w:tab/>
        <w:t>Introduction</w:t>
      </w:r>
    </w:p>
    <w:p>
      <w:pPr>
        <w:pStyle w:val="BodyText"/>
        <w:bidi w:val="0"/>
        <w:rPr>
          <w:lang w:val="en-US"/>
        </w:rPr>
      </w:pPr>
      <w:r>
        <w:rPr>
          <w:lang w:val="en-US"/>
        </w:rPr>
        <w:t>This contribution is to address the following email discussion:</w:t>
      </w:r>
    </w:p>
    <w:p>
      <w:pPr>
        <w:pStyle w:val="EmailDiscussion"/>
        <w:numPr>
          <w:ilvl w:val="0"/>
          <w:numId w:val="12"/>
        </w:numPr>
        <w:bidi w:val="0"/>
        <w:jc w:val="left"/>
        <w:rPr/>
      </w:pPr>
      <w:bookmarkStart w:id="1" w:name="_Ref178064866"/>
      <w:r>
        <w:rPr/>
        <w:t>[Post125][513][feMob] 37340 (ZTE)</w:t>
      </w:r>
    </w:p>
    <w:p>
      <w:pPr>
        <w:pStyle w:val="EmailDiscussion2"/>
        <w:overflowPunct w:val="false"/>
        <w:bidi w:val="0"/>
        <w:jc w:val="left"/>
        <w:textAlignment w:val="auto"/>
        <w:rPr/>
      </w:pPr>
      <w:r>
        <w:rPr/>
        <w:tab/>
        <w:t xml:space="preserve">Scope: Treat and review R2-2400310, R2-2401140, R2-2401170. Include agreeable parts, include additional impact due to meeting progress (if any). </w:t>
      </w:r>
    </w:p>
    <w:p>
      <w:pPr>
        <w:pStyle w:val="EmailDiscussion2"/>
        <w:overflowPunct w:val="false"/>
        <w:bidi w:val="0"/>
        <w:jc w:val="left"/>
        <w:textAlignment w:val="auto"/>
        <w:rPr/>
      </w:pPr>
      <w:r>
        <w:rPr/>
        <w:tab/>
        <w:t>Intended outcome: Agreed 37340 CR</w:t>
      </w:r>
    </w:p>
    <w:p>
      <w:pPr>
        <w:pStyle w:val="EmailDiscussion2"/>
        <w:overflowPunct w:val="false"/>
        <w:bidi w:val="0"/>
        <w:jc w:val="left"/>
        <w:textAlignment w:val="auto"/>
        <w:rPr/>
      </w:pPr>
      <w:r>
        <w:rPr/>
        <w:tab/>
        <w:t>Deadline: Short</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 xml:space="preserve">The participants are invited to provide their contact information in the following table. </w:t>
      </w:r>
    </w:p>
    <w:tbl>
      <w:tblPr>
        <w:tblStyle w:val="51"/>
        <w:tblW w:w="8603" w:type="dxa"/>
        <w:jc w:val="left"/>
        <w:tblInd w:w="135" w:type="dxa"/>
        <w:tblLayout w:type="fixed"/>
        <w:tblCellMar>
          <w:top w:w="0" w:type="dxa"/>
          <w:left w:w="108" w:type="dxa"/>
          <w:bottom w:w="0" w:type="dxa"/>
          <w:right w:w="108" w:type="dxa"/>
        </w:tblCellMar>
      </w:tblPr>
      <w:tblGrid>
        <w:gridCol w:w="2297"/>
        <w:gridCol w:w="6305"/>
      </w:tblGrid>
      <w:tr>
        <w:trPr>
          <w:trHeight w:val="397" w:hRule="atLeast"/>
        </w:trPr>
        <w:tc>
          <w:tcPr>
            <w:tcW w:w="2297"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vAlign w:val="center"/>
          </w:tcPr>
          <w:p>
            <w:pPr>
              <w:pStyle w:val="Normal"/>
              <w:bidi w:val="0"/>
              <w:spacing w:before="0" w:after="120"/>
              <w:jc w:val="left"/>
              <w:rPr>
                <w:rFonts w:ascii="Arial" w:hAnsi="Arial" w:cs="Arial"/>
                <w:b/>
                <w:bCs/>
                <w:lang w:eastAsia="en-US"/>
              </w:rPr>
            </w:pPr>
            <w:r>
              <w:rPr>
                <w:rFonts w:cs="Arial" w:ascii="Arial" w:hAnsi="Arial"/>
                <w:b/>
                <w:bCs/>
                <w:kern w:val="0"/>
                <w:sz w:val="20"/>
                <w:szCs w:val="20"/>
                <w:lang w:eastAsia="en-US"/>
              </w:rPr>
              <w:t>Company</w:t>
            </w:r>
          </w:p>
        </w:tc>
        <w:tc>
          <w:tcPr>
            <w:tcW w:w="6305"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vAlign w:val="center"/>
          </w:tcPr>
          <w:p>
            <w:pPr>
              <w:pStyle w:val="Normal"/>
              <w:bidi w:val="0"/>
              <w:spacing w:before="0" w:after="120"/>
              <w:jc w:val="left"/>
              <w:rPr>
                <w:rFonts w:ascii="Arial" w:hAnsi="Arial" w:cs="Arial"/>
                <w:b/>
                <w:bCs/>
                <w:lang w:eastAsia="en-US"/>
              </w:rPr>
            </w:pPr>
            <w:r>
              <w:rPr>
                <w:rFonts w:cs="Arial" w:ascii="Arial" w:hAnsi="Arial"/>
                <w:b/>
                <w:bCs/>
                <w:kern w:val="0"/>
                <w:sz w:val="20"/>
                <w:szCs w:val="20"/>
                <w:lang w:eastAsia="en-US"/>
              </w:rPr>
              <w:t>Contact: Name (E-mail)</w:t>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rPr>
            </w:pPr>
            <w:r>
              <w:rPr>
                <w:rFonts w:cs="Arial" w:ascii="Arial" w:hAnsi="Arial"/>
                <w:kern w:val="0"/>
                <w:sz w:val="20"/>
                <w:szCs w:val="20"/>
              </w:rPr>
              <w:t>Huawei, HiSilicon</w:t>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rPr>
            </w:pPr>
            <w:r>
              <w:rPr>
                <w:rFonts w:cs="Arial" w:ascii="Arial" w:hAnsi="Arial"/>
                <w:kern w:val="0"/>
                <w:sz w:val="20"/>
                <w:szCs w:val="20"/>
              </w:rPr>
              <w:t>david.lecompte@huawei.com</w:t>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lang w:eastAsia="ko-KR"/>
              </w:rPr>
            </w:pPr>
            <w:r>
              <w:rPr>
                <w:rFonts w:cs="Arial" w:ascii="Arial" w:hAnsi="Arial"/>
                <w:kern w:val="0"/>
                <w:sz w:val="20"/>
                <w:szCs w:val="20"/>
                <w:lang w:eastAsia="ko-KR"/>
              </w:rPr>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lang w:eastAsia="ko-KR"/>
              </w:rPr>
            </w:pPr>
            <w:r>
              <w:rPr>
                <w:rFonts w:cs="Arial" w:ascii="Arial" w:hAnsi="Arial"/>
                <w:kern w:val="0"/>
                <w:sz w:val="20"/>
                <w:szCs w:val="20"/>
                <w:lang w:eastAsia="ko-KR"/>
              </w:rPr>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eastAsia="MS Mincho" w:cs="Arial"/>
              </w:rPr>
            </w:pPr>
            <w:r>
              <w:rPr>
                <w:rFonts w:eastAsia="MS Mincho" w:cs="Arial" w:ascii="Arial" w:hAnsi="Arial"/>
                <w:kern w:val="0"/>
                <w:sz w:val="20"/>
                <w:szCs w:val="20"/>
              </w:rPr>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eastAsia="MS Mincho" w:cs="Arial"/>
              </w:rPr>
            </w:pPr>
            <w:r>
              <w:rPr>
                <w:rFonts w:eastAsia="MS Mincho" w:cs="Arial" w:ascii="Arial" w:hAnsi="Arial"/>
                <w:kern w:val="0"/>
                <w:sz w:val="20"/>
                <w:szCs w:val="20"/>
              </w:rPr>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lang w:eastAsia="ko-KR"/>
              </w:rPr>
            </w:pPr>
            <w:r>
              <w:rPr>
                <w:rFonts w:cs="Arial" w:ascii="Arial" w:hAnsi="Arial"/>
                <w:kern w:val="0"/>
                <w:sz w:val="20"/>
                <w:szCs w:val="20"/>
                <w:lang w:eastAsia="ko-KR"/>
              </w:rPr>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lang w:eastAsia="ko-KR"/>
              </w:rPr>
            </w:pPr>
            <w:r>
              <w:rPr>
                <w:rFonts w:cs="Arial" w:ascii="Arial" w:hAnsi="Arial"/>
                <w:kern w:val="0"/>
                <w:sz w:val="20"/>
                <w:szCs w:val="20"/>
                <w:lang w:eastAsia="ko-KR"/>
              </w:rPr>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lang w:eastAsia="ko-KR"/>
              </w:rPr>
            </w:pPr>
            <w:r>
              <w:rPr>
                <w:rFonts w:cs="Arial" w:ascii="Arial" w:hAnsi="Arial"/>
                <w:kern w:val="0"/>
                <w:sz w:val="20"/>
                <w:szCs w:val="20"/>
                <w:lang w:eastAsia="ko-KR"/>
              </w:rPr>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lang w:eastAsia="ko-KR"/>
              </w:rPr>
            </w:pPr>
            <w:r>
              <w:rPr>
                <w:rFonts w:cs="Arial" w:ascii="Arial" w:hAnsi="Arial"/>
                <w:kern w:val="0"/>
                <w:sz w:val="20"/>
                <w:szCs w:val="20"/>
                <w:lang w:eastAsia="ko-KR"/>
              </w:rPr>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lang w:eastAsia="ko-KR"/>
              </w:rPr>
            </w:pPr>
            <w:r>
              <w:rPr>
                <w:rFonts w:cs="Arial" w:ascii="Arial" w:hAnsi="Arial"/>
                <w:kern w:val="0"/>
                <w:sz w:val="20"/>
                <w:szCs w:val="20"/>
                <w:lang w:eastAsia="ko-KR"/>
              </w:rPr>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lang w:eastAsia="ko-KR"/>
              </w:rPr>
            </w:pPr>
            <w:r>
              <w:rPr>
                <w:rFonts w:cs="Arial" w:ascii="Arial" w:hAnsi="Arial"/>
                <w:kern w:val="0"/>
                <w:sz w:val="20"/>
                <w:szCs w:val="20"/>
                <w:lang w:eastAsia="ko-KR"/>
              </w:rPr>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lang w:eastAsia="ko-KR"/>
              </w:rPr>
            </w:pPr>
            <w:r>
              <w:rPr>
                <w:rFonts w:cs="Arial" w:ascii="Arial" w:hAnsi="Arial"/>
                <w:kern w:val="0"/>
                <w:sz w:val="20"/>
                <w:szCs w:val="20"/>
                <w:lang w:eastAsia="ko-KR"/>
              </w:rPr>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lang w:eastAsia="ko-KR"/>
              </w:rPr>
            </w:pPr>
            <w:r>
              <w:rPr>
                <w:rFonts w:cs="Arial" w:ascii="Arial" w:hAnsi="Arial"/>
                <w:kern w:val="0"/>
                <w:sz w:val="20"/>
                <w:szCs w:val="20"/>
                <w:lang w:eastAsia="ko-KR"/>
              </w:rPr>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eastAsia="Malgun Gothic" w:cs="Arial"/>
                <w:lang w:eastAsia="ko-KR"/>
              </w:rPr>
            </w:pPr>
            <w:r>
              <w:rPr>
                <w:rFonts w:eastAsia="Malgun Gothic" w:cs="Arial" w:ascii="Arial" w:hAnsi="Arial"/>
                <w:kern w:val="0"/>
                <w:sz w:val="20"/>
                <w:szCs w:val="20"/>
                <w:lang w:eastAsia="ko-KR"/>
              </w:rPr>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eastAsia="Malgun Gothic" w:cs="Arial"/>
                <w:lang w:val="pl-PL" w:eastAsia="ko-KR"/>
              </w:rPr>
            </w:pPr>
            <w:r>
              <w:rPr>
                <w:rFonts w:eastAsia="Malgun Gothic" w:cs="Arial" w:ascii="Arial" w:hAnsi="Arial"/>
                <w:kern w:val="0"/>
                <w:sz w:val="20"/>
                <w:szCs w:val="20"/>
                <w:lang w:val="pl-PL" w:eastAsia="ko-KR"/>
              </w:rPr>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rPr>
            </w:pPr>
            <w:r>
              <w:rPr>
                <w:rFonts w:cs="Arial" w:ascii="Arial" w:hAnsi="Arial"/>
                <w:kern w:val="0"/>
                <w:sz w:val="20"/>
                <w:szCs w:val="20"/>
              </w:rPr>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lang w:val="pl-PL"/>
              </w:rPr>
            </w:pPr>
            <w:r>
              <w:rPr>
                <w:rFonts w:cs="Arial" w:ascii="Arial" w:hAnsi="Arial"/>
                <w:kern w:val="0"/>
                <w:sz w:val="20"/>
                <w:szCs w:val="20"/>
                <w:lang w:val="pl-PL"/>
              </w:rPr>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rPr>
            </w:pPr>
            <w:r>
              <w:rPr>
                <w:rFonts w:cs="Arial" w:ascii="Arial" w:hAnsi="Arial"/>
                <w:kern w:val="0"/>
                <w:sz w:val="20"/>
                <w:szCs w:val="20"/>
              </w:rPr>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rPr>
            </w:pPr>
            <w:r>
              <w:rPr>
                <w:rFonts w:cs="Arial" w:ascii="Arial" w:hAnsi="Arial"/>
                <w:kern w:val="0"/>
                <w:sz w:val="20"/>
                <w:szCs w:val="20"/>
              </w:rPr>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rPr>
            </w:pPr>
            <w:r>
              <w:rPr>
                <w:rFonts w:cs="Arial" w:ascii="Arial" w:hAnsi="Arial"/>
                <w:kern w:val="0"/>
                <w:sz w:val="20"/>
                <w:szCs w:val="20"/>
              </w:rPr>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rPr>
            </w:pPr>
            <w:r>
              <w:rPr>
                <w:rFonts w:cs="Arial" w:ascii="Arial" w:hAnsi="Arial"/>
                <w:kern w:val="0"/>
                <w:sz w:val="20"/>
                <w:szCs w:val="20"/>
              </w:rPr>
            </w:r>
          </w:p>
        </w:tc>
      </w:tr>
      <w:tr>
        <w:trPr>
          <w:trHeight w:val="39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rPr>
            </w:pPr>
            <w:r>
              <w:rPr>
                <w:rFonts w:cs="Arial" w:ascii="Arial" w:hAnsi="Arial"/>
                <w:kern w:val="0"/>
                <w:sz w:val="20"/>
                <w:szCs w:val="20"/>
              </w:rPr>
            </w:r>
          </w:p>
        </w:tc>
        <w:tc>
          <w:tcPr>
            <w:tcW w:w="630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0"/>
              <w:jc w:val="left"/>
              <w:rPr>
                <w:rFonts w:ascii="Arial" w:hAnsi="Arial" w:cs="Arial"/>
              </w:rPr>
            </w:pPr>
            <w:r>
              <w:rPr>
                <w:rFonts w:cs="Arial" w:ascii="Arial" w:hAnsi="Arial"/>
                <w:kern w:val="0"/>
                <w:sz w:val="20"/>
                <w:szCs w:val="20"/>
              </w:rPr>
            </w:r>
          </w:p>
        </w:tc>
      </w:tr>
    </w:tbl>
    <w:p>
      <w:pPr>
        <w:pStyle w:val="EmailDiscussion2"/>
        <w:bidi w:val="0"/>
        <w:ind w:hanging="0" w:left="0"/>
        <w:jc w:val="left"/>
        <w:rPr>
          <w:rFonts w:cs="Arial"/>
          <w:lang w:val="fi-FI"/>
        </w:rPr>
      </w:pPr>
      <w:r>
        <w:rPr>
          <w:rFonts w:cs="Arial"/>
          <w:lang w:val="fi-FI"/>
        </w:rPr>
      </w:r>
    </w:p>
    <w:p>
      <w:pPr>
        <w:pStyle w:val="Normal"/>
        <w:bidi w:val="0"/>
        <w:jc w:val="left"/>
        <w:rPr>
          <w:rFonts w:ascii="Arial" w:hAnsi="Arial" w:eastAsia="MS Mincho"/>
          <w:lang w:val="fr-FR" w:eastAsia="en-GB"/>
        </w:rPr>
      </w:pPr>
      <w:r>
        <w:rPr>
          <w:rFonts w:eastAsia="MS Mincho" w:ascii="Arial" w:hAnsi="Arial"/>
          <w:lang w:val="fr-FR" w:eastAsia="en-GB"/>
        </w:rPr>
      </w:r>
    </w:p>
    <w:p>
      <w:pPr>
        <w:pStyle w:val="Heading1"/>
        <w:bidi w:val="0"/>
        <w:jc w:val="left"/>
        <w:rPr>
          <w:lang w:val="en-US"/>
        </w:rPr>
      </w:pPr>
      <w:bookmarkStart w:id="2" w:name="_Ref178064866"/>
      <w:r>
        <w:rPr>
          <w:lang w:val="en-US"/>
        </w:rPr>
        <w:t>2</w:t>
        <w:tab/>
      </w:r>
      <w:bookmarkEnd w:id="2"/>
      <w:r>
        <w:rPr>
          <w:lang w:val="en-US"/>
        </w:rPr>
        <w:t>Discussion</w:t>
      </w:r>
    </w:p>
    <w:p>
      <w:pPr>
        <w:pStyle w:val="Normal"/>
        <w:bidi w:val="0"/>
        <w:jc w:val="left"/>
        <w:rPr>
          <w:lang w:val="en-US" w:eastAsia="zh-CN"/>
        </w:rPr>
      </w:pPr>
      <w:hyperlink r:id="rId2" w:tgtFrame="C:Usersmtk65284Documents3GPPtsg_ranWG2_RL2RAN2DocsR2-2401140.zip">
        <w:r>
          <w:rPr>
            <w:rFonts w:eastAsia="Malgun Gothic"/>
            <w:color w:val="0000FF"/>
            <w:u w:val="single"/>
          </w:rPr>
          <w:t>R2-2401140</w:t>
        </w:r>
      </w:hyperlink>
      <w:r>
        <w:rPr/>
        <w:tab/>
        <w:t>Discussion on S-CPAC and TP for TS 37.340</w:t>
        <w:tab/>
        <w:t>CMCC</w:t>
      </w:r>
    </w:p>
    <w:p>
      <w:pPr>
        <w:pStyle w:val="Normal"/>
        <w:bidi w:val="0"/>
        <w:jc w:val="left"/>
        <w:rPr>
          <w:lang w:val="en-US" w:eastAsia="zh-CN"/>
        </w:rPr>
      </w:pPr>
      <w:r>
        <w:rPr>
          <w:lang w:val="en-US" w:eastAsia="zh-CN"/>
        </w:rPr>
        <w:t>This contribution discussed some corrections on subsequent CPAC:</w:t>
      </w:r>
    </w:p>
    <w:tbl>
      <w:tblPr>
        <w:tblStyle w:val="52"/>
        <w:tblW w:w="9855" w:type="dxa"/>
        <w:jc w:val="left"/>
        <w:tblInd w:w="0" w:type="dxa"/>
        <w:tblLayout w:type="fixed"/>
        <w:tblCellMar>
          <w:top w:w="0" w:type="dxa"/>
          <w:left w:w="108" w:type="dxa"/>
          <w:bottom w:w="0" w:type="dxa"/>
          <w:right w:w="108" w:type="dxa"/>
        </w:tblCellMar>
      </w:tblPr>
      <w:tblGrid>
        <w:gridCol w:w="9855"/>
      </w:tblGrid>
      <w:tr>
        <w:trPr/>
        <w:tc>
          <w:tcPr>
            <w:tcW w:w="9855" w:type="dxa"/>
            <w:tcBorders/>
          </w:tcPr>
          <w:p>
            <w:pPr>
              <w:pStyle w:val="Normal"/>
              <w:overflowPunct w:val="false"/>
              <w:bidi w:val="0"/>
              <w:spacing w:before="120" w:after="180"/>
              <w:jc w:val="left"/>
              <w:textAlignment w:val="auto"/>
              <w:rPr>
                <w:sz w:val="21"/>
                <w:szCs w:val="21"/>
                <w:lang w:val="en-US" w:eastAsia="zh-CN"/>
              </w:rPr>
            </w:pPr>
            <w:r>
              <w:rPr>
                <w:rFonts w:eastAsia="宋体"/>
                <w:b/>
                <w:bCs/>
                <w:kern w:val="0"/>
                <w:sz w:val="21"/>
                <w:szCs w:val="21"/>
                <w:lang w:val="en-US" w:eastAsia="zh-CN"/>
              </w:rPr>
              <w:t>Proposal 1: Capture the autonomous release of subsequent CPAC configuration upon RRC Re-establishment or RRC release in clause 10.20 in TS 37.340.</w:t>
            </w:r>
          </w:p>
          <w:p>
            <w:pPr>
              <w:pStyle w:val="Normal"/>
              <w:overflowPunct w:val="false"/>
              <w:bidi w:val="0"/>
              <w:spacing w:before="120" w:after="180"/>
              <w:jc w:val="left"/>
              <w:textAlignment w:val="auto"/>
              <w:rPr>
                <w:rFonts w:eastAsia="宋体"/>
                <w:b/>
                <w:bCs/>
                <w:sz w:val="21"/>
                <w:szCs w:val="21"/>
                <w:lang w:val="en-US" w:eastAsia="zh-CN"/>
              </w:rPr>
            </w:pPr>
            <w:r>
              <w:rPr>
                <w:rFonts w:eastAsia="宋体"/>
                <w:b/>
                <w:bCs/>
                <w:kern w:val="0"/>
                <w:sz w:val="21"/>
                <w:szCs w:val="21"/>
                <w:lang w:val="en-US" w:eastAsia="zh-CN"/>
              </w:rPr>
              <w:t>Proposal 2: Capture the following principle in clause 10.20 in TS 37.340.</w:t>
            </w:r>
          </w:p>
          <w:p>
            <w:pPr>
              <w:pStyle w:val="Normal"/>
              <w:overflowPunct w:val="false"/>
              <w:bidi w:val="0"/>
              <w:spacing w:before="120" w:after="180"/>
              <w:ind w:left="200"/>
              <w:jc w:val="left"/>
              <w:textAlignment w:val="auto"/>
              <w:rPr>
                <w:sz w:val="22"/>
                <w:szCs w:val="22"/>
                <w:lang w:val="en-US" w:eastAsia="zh-CN"/>
              </w:rPr>
            </w:pPr>
            <w:r>
              <w:rPr>
                <w:rFonts w:eastAsia="宋体"/>
                <w:b/>
                <w:bCs/>
                <w:kern w:val="0"/>
                <w:sz w:val="21"/>
                <w:szCs w:val="21"/>
                <w:lang w:val="en-US" w:eastAsia="zh-CN"/>
              </w:rPr>
              <w:t>- Upon MCG failure when fast MCG link recovery is configured and the SCG is not deactivated, or upon SCG failure, the UE maintains the stored subsequent CPAC configuration unless the network indicates the UE to release it.</w:t>
            </w:r>
          </w:p>
        </w:tc>
      </w:tr>
    </w:tbl>
    <w:p>
      <w:pPr>
        <w:pStyle w:val="Normal"/>
        <w:bidi w:val="0"/>
        <w:jc w:val="left"/>
        <w:rPr>
          <w:lang w:val="en-US" w:eastAsia="zh-CN"/>
        </w:rPr>
      </w:pPr>
      <w:r>
        <w:rPr>
          <w:lang w:val="en-US" w:eastAsia="zh-CN"/>
        </w:rPr>
      </w:r>
    </w:p>
    <w:p>
      <w:pPr>
        <w:pStyle w:val="Normal"/>
        <w:bidi w:val="0"/>
        <w:jc w:val="left"/>
        <w:rPr>
          <w:lang w:val="en-US" w:eastAsia="zh-CN"/>
        </w:rPr>
      </w:pPr>
      <w:r>
        <w:rPr>
          <w:lang w:val="en-US" w:eastAsia="zh-CN"/>
        </w:rPr>
        <w:t>The corresponding text proposals for TS 37.340 are shown as follows:</w:t>
      </w:r>
    </w:p>
    <w:tbl>
      <w:tblPr>
        <w:tblStyle w:val="52"/>
        <w:tblW w:w="9855" w:type="dxa"/>
        <w:jc w:val="left"/>
        <w:tblInd w:w="0" w:type="dxa"/>
        <w:tblLayout w:type="fixed"/>
        <w:tblCellMar>
          <w:top w:w="0" w:type="dxa"/>
          <w:left w:w="108" w:type="dxa"/>
          <w:bottom w:w="0" w:type="dxa"/>
          <w:right w:w="108" w:type="dxa"/>
        </w:tblCellMar>
      </w:tblPr>
      <w:tblGrid>
        <w:gridCol w:w="9855"/>
      </w:tblGrid>
      <w:tr>
        <w:trPr/>
        <w:tc>
          <w:tcPr>
            <w:tcW w:w="9855" w:type="dxa"/>
            <w:tcBorders/>
          </w:tcPr>
          <w:p>
            <w:pPr>
              <w:pStyle w:val="Heading2"/>
              <w:numPr>
                <w:ilvl w:val="0"/>
                <w:numId w:val="0"/>
              </w:numPr>
              <w:bidi w:val="0"/>
              <w:spacing w:before="180" w:after="180"/>
              <w:ind w:hanging="0" w:left="0"/>
              <w:jc w:val="left"/>
              <w:rPr>
                <w:szCs w:val="22"/>
                <w:lang w:eastAsia="zh-CN"/>
              </w:rPr>
            </w:pPr>
            <w:bookmarkStart w:id="3" w:name="_Toc155960101"/>
            <w:r>
              <w:rPr>
                <w:kern w:val="0"/>
                <w:szCs w:val="22"/>
                <w:lang w:eastAsia="zh-CN"/>
              </w:rPr>
              <w:t>10.20</w:t>
              <w:tab/>
              <w:t>Subsequent Conditional PSCell Addition or Change</w:t>
            </w:r>
            <w:bookmarkEnd w:id="3"/>
          </w:p>
          <w:p>
            <w:pPr>
              <w:pStyle w:val="Normal"/>
              <w:bidi w:val="0"/>
              <w:jc w:val="left"/>
              <w:rPr>
                <w:sz w:val="22"/>
                <w:szCs w:val="22"/>
                <w:lang w:eastAsia="ko-KR"/>
              </w:rPr>
            </w:pPr>
            <w:r>
              <w:rPr>
                <w:rFonts w:eastAsia="宋体"/>
                <w:kern w:val="0"/>
                <w:sz w:val="22"/>
                <w:szCs w:val="22"/>
                <w:lang w:eastAsia="zh-CN"/>
              </w:rPr>
              <w:t xml:space="preserve">A Subsequent Conditional PSCell Addition or Change (subsequent CPAC) is defined as a </w:t>
            </w:r>
            <w:r>
              <w:rPr>
                <w:rFonts w:eastAsia="宋体"/>
                <w:kern w:val="0"/>
                <w:sz w:val="22"/>
                <w:szCs w:val="22"/>
                <w:lang w:val="en-US" w:eastAsia="zh-CN"/>
              </w:rPr>
              <w:t>conditional PSCell addition or change procedure that is executed after a PSCell addition, a PSCell change, a PCell change or an SCG release based on pre-configured subsequent CPAC configuration of candidate PSCell(s)</w:t>
            </w:r>
            <w:r>
              <w:rPr>
                <w:kern w:val="0"/>
                <w:sz w:val="22"/>
                <w:szCs w:val="22"/>
              </w:rPr>
              <w:t xml:space="preserve"> </w:t>
            </w:r>
            <w:r>
              <w:rPr>
                <w:rFonts w:eastAsia="宋体"/>
                <w:kern w:val="0"/>
                <w:sz w:val="22"/>
                <w:szCs w:val="22"/>
                <w:lang w:val="en-US" w:eastAsia="zh-CN"/>
              </w:rPr>
              <w:t>without reconfiguration and re-initiation of CPC/CPA</w:t>
            </w:r>
            <w:r>
              <w:rPr>
                <w:rFonts w:eastAsia="宋体"/>
                <w:kern w:val="0"/>
                <w:sz w:val="22"/>
                <w:szCs w:val="22"/>
                <w:lang w:eastAsia="zh-CN"/>
              </w:rPr>
              <w:t>.</w:t>
            </w:r>
            <w:r>
              <w:rPr>
                <w:kern w:val="0"/>
                <w:sz w:val="22"/>
                <w:szCs w:val="22"/>
                <w:lang w:eastAsia="ko-KR"/>
              </w:rPr>
              <w:t xml:space="preserve"> </w:t>
            </w:r>
            <w:r>
              <w:rPr>
                <w:rFonts w:eastAsia="宋体"/>
                <w:kern w:val="0"/>
                <w:sz w:val="22"/>
                <w:szCs w:val="22"/>
                <w:lang w:eastAsia="zh-CN"/>
              </w:rPr>
              <w:t xml:space="preserve">The UE </w:t>
            </w:r>
            <w:r>
              <w:rPr>
                <w:rFonts w:eastAsia="宋体"/>
                <w:kern w:val="0"/>
                <w:sz w:val="22"/>
                <w:szCs w:val="22"/>
                <w:lang w:val="en-US" w:eastAsia="zh-CN"/>
              </w:rPr>
              <w:t xml:space="preserve">keeps the configured subsequent CPAC configuration (unless the network indicates to release it </w:t>
            </w:r>
            <w:r>
              <w:rPr>
                <w:rFonts w:eastAsia="宋体"/>
                <w:color w:val="FF0000"/>
                <w:kern w:val="0"/>
                <w:sz w:val="22"/>
                <w:szCs w:val="22"/>
                <w:u w:val="single"/>
                <w:lang w:val="en-US" w:eastAsia="zh-CN"/>
              </w:rPr>
              <w:t>or the UE autonomously releases it upon RRC re-establishment or RRC release</w:t>
            </w:r>
            <w:r>
              <w:rPr>
                <w:rFonts w:eastAsia="宋体"/>
                <w:kern w:val="0"/>
                <w:sz w:val="22"/>
                <w:szCs w:val="22"/>
                <w:lang w:val="en-US" w:eastAsia="zh-CN"/>
              </w:rPr>
              <w:t>) and evaluates the execution conditions of candidate PSCells after completion of a PSCell addition, a PSCell change, a PCell change</w:t>
            </w:r>
            <w:r>
              <w:rPr>
                <w:rFonts w:eastAsia="宋体"/>
                <w:kern w:val="0"/>
                <w:sz w:val="22"/>
                <w:szCs w:val="22"/>
              </w:rPr>
              <w:t xml:space="preserve"> or an SCG release</w:t>
            </w:r>
            <w:r>
              <w:rPr>
                <w:rFonts w:eastAsia="宋体"/>
                <w:kern w:val="0"/>
                <w:sz w:val="22"/>
                <w:szCs w:val="22"/>
                <w:lang w:val="en-US" w:eastAsia="zh-CN"/>
              </w:rPr>
              <w:t xml:space="preserve">. Intra-SN subsequent CPAC initiated by the SN, </w:t>
            </w:r>
            <w:r>
              <w:rPr>
                <w:rFonts w:eastAsia="宋体"/>
                <w:kern w:val="0"/>
                <w:sz w:val="22"/>
                <w:szCs w:val="22"/>
                <w:lang w:eastAsia="zh-CN"/>
              </w:rPr>
              <w:t>inter-SN</w:t>
            </w:r>
            <w:r>
              <w:rPr>
                <w:rFonts w:eastAsia="宋体"/>
                <w:kern w:val="0"/>
                <w:sz w:val="22"/>
                <w:szCs w:val="22"/>
                <w:lang w:eastAsia="ko-KR"/>
              </w:rPr>
              <w:t xml:space="preserve"> </w:t>
            </w:r>
            <w:r>
              <w:rPr>
                <w:rFonts w:eastAsia="宋体"/>
                <w:kern w:val="0"/>
                <w:sz w:val="22"/>
                <w:szCs w:val="22"/>
                <w:lang w:val="en-US" w:eastAsia="zh-CN"/>
              </w:rPr>
              <w:t>subsequent CPAC</w:t>
            </w:r>
            <w:r>
              <w:rPr>
                <w:rFonts w:eastAsia="宋体"/>
                <w:kern w:val="0"/>
                <w:sz w:val="22"/>
                <w:szCs w:val="22"/>
                <w:lang w:eastAsia="zh-CN"/>
              </w:rPr>
              <w:t xml:space="preserve"> initiated by either MN or SN are</w:t>
            </w:r>
            <w:r>
              <w:rPr>
                <w:kern w:val="0"/>
                <w:sz w:val="22"/>
                <w:szCs w:val="22"/>
                <w:lang w:eastAsia="ko-KR"/>
              </w:rPr>
              <w:t xml:space="preserve"> supported.</w:t>
            </w:r>
          </w:p>
          <w:p>
            <w:pPr>
              <w:pStyle w:val="Normal"/>
              <w:bidi w:val="0"/>
              <w:jc w:val="left"/>
              <w:rPr>
                <w:sz w:val="22"/>
                <w:szCs w:val="22"/>
                <w:lang w:val="en-US" w:eastAsia="zh-CN"/>
              </w:rPr>
            </w:pPr>
            <w:r>
              <w:rPr>
                <w:kern w:val="0"/>
                <w:sz w:val="22"/>
                <w:szCs w:val="22"/>
                <w:lang w:val="en-US" w:eastAsia="zh-CN"/>
              </w:rPr>
              <w:t>...</w:t>
            </w:r>
          </w:p>
          <w:p>
            <w:pPr>
              <w:pStyle w:val="B1"/>
              <w:bidi w:val="0"/>
              <w:spacing w:before="0" w:after="180"/>
              <w:jc w:val="left"/>
              <w:rPr>
                <w:sz w:val="22"/>
                <w:szCs w:val="22"/>
                <w:lang w:val="en-US" w:eastAsia="zh-CN"/>
              </w:rPr>
            </w:pPr>
            <w:r>
              <w:rPr>
                <w:color w:val="FF0000"/>
                <w:kern w:val="0"/>
                <w:sz w:val="22"/>
                <w:szCs w:val="22"/>
                <w:u w:val="single"/>
                <w:lang w:val="en-US" w:eastAsia="zh-CN"/>
              </w:rPr>
              <w:t>-</w:t>
              <w:tab/>
              <w:t>Upon MCG failure when fast MCG link recovery is configured and the SCG is not deactivated, or upon SCG failure, the UE maintains the stored subsequent CPAC configuration unless the network indicates the UE to release it.</w:t>
            </w:r>
          </w:p>
        </w:tc>
      </w:tr>
    </w:tbl>
    <w:p>
      <w:pPr>
        <w:pStyle w:val="Normal"/>
        <w:bidi w:val="0"/>
        <w:jc w:val="left"/>
        <w:rPr>
          <w:lang w:val="en-US" w:eastAsia="zh-CN"/>
        </w:rPr>
      </w:pPr>
      <w:r>
        <w:rPr>
          <w:lang w:val="en-US" w:eastAsia="zh-CN"/>
        </w:rPr>
      </w:r>
    </w:p>
    <w:p>
      <w:pPr>
        <w:pStyle w:val="Normal"/>
        <w:bidi w:val="0"/>
        <w:jc w:val="left"/>
        <w:rPr>
          <w:lang w:val="en-US" w:eastAsia="zh-CN"/>
        </w:rPr>
      </w:pPr>
      <w:r>
        <w:rPr>
          <w:b/>
          <w:bCs/>
          <w:lang w:val="en-US" w:eastAsia="zh-CN"/>
        </w:rPr>
        <w:t>Rapporteur’s comments:</w:t>
      </w:r>
      <w:r>
        <w:rPr>
          <w:lang w:val="en-US" w:eastAsia="zh-CN"/>
        </w:rPr>
        <w:t xml:space="preserve"> </w:t>
      </w:r>
    </w:p>
    <w:p>
      <w:pPr>
        <w:pStyle w:val="Normal"/>
        <w:bidi w:val="0"/>
        <w:jc w:val="left"/>
        <w:rPr>
          <w:lang w:val="en-US" w:eastAsia="zh-CN"/>
        </w:rPr>
      </w:pPr>
      <w:r>
        <w:rPr>
          <w:lang w:val="en-US" w:eastAsia="zh-CN"/>
        </w:rPr>
        <w:t>For the 1</w:t>
      </w:r>
      <w:r>
        <w:rPr>
          <w:vertAlign w:val="superscript"/>
          <w:lang w:val="en-US" w:eastAsia="zh-CN"/>
        </w:rPr>
        <w:t>st</w:t>
      </w:r>
      <w:r>
        <w:rPr>
          <w:lang w:val="en-US" w:eastAsia="zh-CN"/>
        </w:rPr>
        <w:t xml:space="preserve"> change in the TP, if companies think the UE autonomous release behaviour should be captured (e.g. the UE shall autonomously remove the subsequent CPAC configuration in SCG </w:t>
      </w:r>
      <w:r>
        <w:rPr>
          <w:i/>
          <w:iCs/>
          <w:lang w:val="en-US" w:eastAsia="zh-CN"/>
        </w:rPr>
        <w:t xml:space="preserve">VarConditionalReconfig </w:t>
      </w:r>
      <w:r>
        <w:rPr>
          <w:lang w:val="en-US" w:eastAsia="zh-CN"/>
        </w:rPr>
        <w:t>upon SCG release), we can consider to capture some general description as below:</w:t>
      </w:r>
    </w:p>
    <w:tbl>
      <w:tblPr>
        <w:tblStyle w:val="52"/>
        <w:tblW w:w="9629" w:type="dxa"/>
        <w:jc w:val="left"/>
        <w:tblInd w:w="0" w:type="dxa"/>
        <w:tblLayout w:type="fixed"/>
        <w:tblCellMar>
          <w:top w:w="0" w:type="dxa"/>
          <w:left w:w="108" w:type="dxa"/>
          <w:bottom w:w="0" w:type="dxa"/>
          <w:right w:w="108" w:type="dxa"/>
        </w:tblCellMar>
      </w:tblPr>
      <w:tblGrid>
        <w:gridCol w:w="9629"/>
      </w:tblGrid>
      <w:tr>
        <w:trPr/>
        <w:tc>
          <w:tcPr>
            <w:tcW w:w="9629" w:type="dxa"/>
            <w:tcBorders/>
          </w:tcPr>
          <w:p>
            <w:pPr>
              <w:pStyle w:val="Normal"/>
              <w:bidi w:val="0"/>
              <w:spacing w:before="0" w:after="180"/>
              <w:jc w:val="left"/>
              <w:rPr>
                <w:sz w:val="22"/>
                <w:szCs w:val="22"/>
                <w:lang w:val="en-US" w:eastAsia="zh-CN"/>
              </w:rPr>
            </w:pPr>
            <w:r>
              <w:rPr>
                <w:rFonts w:eastAsia="宋体"/>
                <w:kern w:val="0"/>
                <w:sz w:val="22"/>
                <w:szCs w:val="22"/>
                <w:lang w:eastAsia="zh-CN"/>
              </w:rPr>
              <w:t xml:space="preserve">The UE </w:t>
            </w:r>
            <w:r>
              <w:rPr>
                <w:rFonts w:eastAsia="宋体"/>
                <w:kern w:val="0"/>
                <w:sz w:val="22"/>
                <w:szCs w:val="22"/>
                <w:lang w:val="en-US" w:eastAsia="zh-CN"/>
              </w:rPr>
              <w:t xml:space="preserve">keeps the configured subsequent CPAC configuration (unless the network indicates to release it </w:t>
            </w:r>
            <w:r>
              <w:rPr>
                <w:rFonts w:eastAsia="宋体"/>
                <w:color w:val="FF0000"/>
                <w:kern w:val="0"/>
                <w:sz w:val="22"/>
                <w:szCs w:val="22"/>
                <w:u w:val="single"/>
                <w:lang w:val="en-US" w:eastAsia="zh-CN"/>
              </w:rPr>
              <w:t>or the UE autonomously releases it</w:t>
            </w:r>
            <w:r>
              <w:rPr>
                <w:rFonts w:eastAsia="宋体"/>
                <w:kern w:val="0"/>
                <w:sz w:val="22"/>
                <w:szCs w:val="22"/>
                <w:lang w:val="en-US" w:eastAsia="zh-CN"/>
              </w:rPr>
              <w:t>) and evaluates the execution conditions of candidate PSCells after completion of a PSCell addition, a PSCell change, a PCell change</w:t>
            </w:r>
            <w:r>
              <w:rPr>
                <w:rFonts w:eastAsia="宋体"/>
                <w:kern w:val="0"/>
                <w:sz w:val="22"/>
                <w:szCs w:val="22"/>
              </w:rPr>
              <w:t xml:space="preserve"> or an SCG release</w:t>
            </w:r>
            <w:r>
              <w:rPr>
                <w:rFonts w:eastAsia="宋体"/>
                <w:kern w:val="0"/>
                <w:sz w:val="22"/>
                <w:szCs w:val="22"/>
                <w:lang w:val="en-US" w:eastAsia="zh-CN"/>
              </w:rPr>
              <w:t>.</w:t>
            </w:r>
          </w:p>
        </w:tc>
      </w:tr>
    </w:tbl>
    <w:p>
      <w:pPr>
        <w:pStyle w:val="Normal"/>
        <w:bidi w:val="0"/>
        <w:jc w:val="left"/>
        <w:rPr>
          <w:lang w:val="en-US" w:eastAsia="zh-CN"/>
        </w:rPr>
      </w:pPr>
      <w:r>
        <w:rPr>
          <w:lang w:val="en-US" w:eastAsia="zh-CN"/>
        </w:rPr>
      </w:r>
    </w:p>
    <w:p>
      <w:pPr>
        <w:pStyle w:val="Normal"/>
        <w:bidi w:val="0"/>
        <w:jc w:val="left"/>
        <w:rPr>
          <w:lang w:val="en-US" w:eastAsia="zh-CN"/>
        </w:rPr>
      </w:pPr>
      <w:r>
        <w:rPr>
          <w:lang w:val="en-US" w:eastAsia="zh-CN"/>
        </w:rPr>
        <w:t>For the 2</w:t>
      </w:r>
      <w:r>
        <w:rPr>
          <w:vertAlign w:val="superscript"/>
          <w:lang w:val="en-US" w:eastAsia="zh-CN"/>
        </w:rPr>
        <w:t>nd</w:t>
      </w:r>
      <w:r>
        <w:rPr>
          <w:lang w:val="en-US" w:eastAsia="zh-CN"/>
        </w:rPr>
        <w:t xml:space="preserve"> change, we understand the motivation, however, the similar UE behaviour is also applicable to the legacy CPAC and it haven’t been captured in the TS 37.340, so, if we intend to add the paragraph for MCG failure for subsequent CPAC, then the similar paragraph should also be added to legacy CPAC section. Considering this is already clear in Stage-3 spec, rapporteur would suggest to not capture it in the stage-2 CR.</w:t>
      </w:r>
    </w:p>
    <w:p>
      <w:pPr>
        <w:pStyle w:val="Normal"/>
        <w:bidi w:val="0"/>
        <w:jc w:val="left"/>
        <w:rPr>
          <w:rFonts w:eastAsia="等线" w:eastAsiaTheme="minorEastAsia"/>
          <w:lang w:val="en-US" w:eastAsia="zh-CN"/>
        </w:rPr>
      </w:pPr>
      <w:r>
        <w:rPr>
          <w:rFonts w:eastAsia="等线" w:eastAsiaTheme="minorEastAsia"/>
          <w:lang w:val="en-US" w:eastAsia="zh-CN"/>
        </w:rPr>
      </w:r>
    </w:p>
    <w:p>
      <w:pPr>
        <w:pStyle w:val="Normal"/>
        <w:bidi w:val="0"/>
        <w:snapToGrid w:val="false"/>
        <w:spacing w:before="0" w:after="120"/>
        <w:jc w:val="left"/>
        <w:rPr>
          <w:rFonts w:ascii="Arial" w:hAnsi="Arial" w:cs="Arial"/>
          <w:b/>
        </w:rPr>
      </w:pPr>
      <w:r>
        <w:rPr>
          <w:rFonts w:cs="Arial" w:ascii="Arial" w:hAnsi="Arial"/>
          <w:b/>
        </w:rPr>
        <w:t xml:space="preserve">Q1: </w:t>
      </w:r>
      <w:r>
        <w:rPr>
          <w:rFonts w:cs="Arial" w:ascii="Arial" w:hAnsi="Arial"/>
          <w:b/>
          <w:lang w:val="en-US" w:eastAsia="zh-CN"/>
        </w:rPr>
        <w:t>Do companies agree the proposed changes in R2-2401140</w:t>
      </w:r>
      <w:r>
        <w:rPr>
          <w:rFonts w:cs="Arial" w:ascii="Arial" w:hAnsi="Arial"/>
          <w:b/>
        </w:rPr>
        <w:t>?</w:t>
      </w:r>
    </w:p>
    <w:tbl>
      <w:tblPr>
        <w:tblStyle w:val="157"/>
        <w:tblW w:w="9632" w:type="dxa"/>
        <w:jc w:val="left"/>
        <w:tblInd w:w="0" w:type="dxa"/>
        <w:tblLayout w:type="fixed"/>
        <w:tblCellMar>
          <w:top w:w="0" w:type="dxa"/>
          <w:left w:w="108" w:type="dxa"/>
          <w:bottom w:w="0" w:type="dxa"/>
          <w:right w:w="108" w:type="dxa"/>
        </w:tblCellMar>
      </w:tblPr>
      <w:tblGrid>
        <w:gridCol w:w="2263"/>
        <w:gridCol w:w="1701"/>
        <w:gridCol w:w="5668"/>
      </w:tblGrid>
      <w:tr>
        <w:trPr/>
        <w:tc>
          <w:tcPr>
            <w:tcW w:w="2263" w:type="dxa"/>
            <w:tcBorders>
              <w:top w:val="single" w:sz="4" w:space="0" w:color="000000"/>
              <w:left w:val="single" w:sz="4" w:space="0" w:color="000000"/>
              <w:bottom w:val="single" w:sz="4" w:space="0" w:color="000000"/>
              <w:right w:val="nil"/>
            </w:tcBorders>
            <w:shd w:color="auto" w:fill="BDD6EE" w:themeFill="accent5" w:themeFillTint="66" w:val="clear"/>
          </w:tcPr>
          <w:p>
            <w:pPr>
              <w:pStyle w:val="BodyText"/>
              <w:bidi w:val="0"/>
              <w:spacing w:before="0" w:after="120"/>
              <w:rPr>
                <w:b w:val="false"/>
                <w:bCs w:val="false"/>
                <w:color w:themeColor="background1" w:val="FFFFFF"/>
                <w:lang w:val="en-US"/>
                <w14:textFill>
                  <w14:solidFill>
                    <w14:schemeClr w14:val="bg1"/>
                  </w14:solidFill>
                </w14:textFill>
              </w:rPr>
            </w:pPr>
            <w:r>
              <w:rPr>
                <w:b/>
                <w:bCs/>
                <w:color w:val="auto"/>
                <w:kern w:val="0"/>
                <w:sz w:val="20"/>
                <w:szCs w:val="20"/>
                <w:lang w:val="en-US"/>
              </w:rPr>
              <w:t>Company</w:t>
            </w:r>
          </w:p>
        </w:tc>
        <w:tc>
          <w:tcPr>
            <w:tcW w:w="1701" w:type="dxa"/>
            <w:tcBorders>
              <w:top w:val="single" w:sz="4" w:space="0" w:color="000000"/>
              <w:left w:val="single" w:sz="4" w:space="0" w:color="000000"/>
              <w:bottom w:val="single" w:sz="4" w:space="0" w:color="000000"/>
              <w:right w:val="nil"/>
            </w:tcBorders>
            <w:shd w:color="auto" w:fill="BDD6EE" w:themeFill="accent5" w:themeFillTint="66" w:val="clear"/>
          </w:tcPr>
          <w:p>
            <w:pPr>
              <w:pStyle w:val="BodyText"/>
              <w:bidi w:val="0"/>
              <w:spacing w:before="0" w:after="120"/>
              <w:rPr>
                <w:rFonts w:eastAsia="宋体"/>
                <w:b/>
                <w:bCs/>
                <w:color w:themeColor="background1" w:val="FFFFFF"/>
                <w:lang w:val="en-US"/>
                <w14:textFill>
                  <w14:solidFill>
                    <w14:schemeClr w14:val="bg1"/>
                  </w14:solidFill>
                </w14:textFill>
              </w:rPr>
            </w:pPr>
            <w:r>
              <w:rPr>
                <w:rFonts w:eastAsia="宋体"/>
                <w:b/>
                <w:bCs/>
                <w:color w:val="auto"/>
                <w:kern w:val="0"/>
                <w:sz w:val="20"/>
                <w:szCs w:val="20"/>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tcPr>
          <w:p>
            <w:pPr>
              <w:pStyle w:val="BodyText"/>
              <w:bidi w:val="0"/>
              <w:spacing w:before="0" w:after="120"/>
              <w:rPr>
                <w:rFonts w:eastAsia="宋体"/>
                <w:b w:val="false"/>
                <w:bCs w:val="false"/>
                <w:color w:themeColor="background1" w:val="FFFFFF"/>
                <w:lang w:val="en-US"/>
                <w14:textFill>
                  <w14:solidFill>
                    <w14:schemeClr w14:val="bg1"/>
                  </w14:solidFill>
                </w14:textFill>
              </w:rPr>
            </w:pPr>
            <w:r>
              <w:rPr>
                <w:b/>
                <w:bCs/>
                <w:color w:val="auto"/>
                <w:kern w:val="0"/>
                <w:sz w:val="20"/>
                <w:szCs w:val="20"/>
                <w:lang w:val="en-US"/>
              </w:rPr>
              <w:t>Comment</w:t>
            </w:r>
            <w:r>
              <w:rPr>
                <w:rFonts w:eastAsia="宋体"/>
                <w:b/>
                <w:bCs/>
                <w:color w:val="auto"/>
                <w:kern w:val="0"/>
                <w:sz w:val="20"/>
                <w:szCs w:val="20"/>
                <w:lang w:val="en-US"/>
              </w:rPr>
              <w:t>s if any</w:t>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t>May capture but TP is confusing</w:t>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jc w:val="left"/>
              <w:rPr>
                <w:lang w:val="en-US"/>
              </w:rPr>
            </w:pPr>
            <w:r>
              <w:rPr>
                <w:kern w:val="0"/>
                <w:sz w:val="20"/>
                <w:szCs w:val="20"/>
                <w:lang w:val="en-US"/>
              </w:rPr>
              <w:t>The sentence is “after completion of a PSCell addition, a PSCell change, a PCell change or an SCG release”, RRC re-establishment is not that case so it is confusing to add this in this sentence.</w:t>
            </w:r>
          </w:p>
          <w:p>
            <w:pPr>
              <w:pStyle w:val="BodyText"/>
              <w:bidi w:val="0"/>
              <w:jc w:val="left"/>
              <w:rPr>
                <w:lang w:val="en-US"/>
              </w:rPr>
            </w:pPr>
            <w:r>
              <w:rPr>
                <w:kern w:val="0"/>
                <w:sz w:val="20"/>
                <w:szCs w:val="20"/>
                <w:lang w:val="en-US"/>
              </w:rPr>
              <w:t>A separate sentence would be better, e.g. “The UE autonomously releases the subsequent CPAC configuration upon RRC re-establishment and upon RRC release”.</w:t>
            </w:r>
          </w:p>
          <w:p>
            <w:pPr>
              <w:pStyle w:val="BodyText"/>
              <w:bidi w:val="0"/>
              <w:spacing w:before="0" w:after="120"/>
              <w:jc w:val="left"/>
              <w:rPr>
                <w:lang w:val="en-US"/>
              </w:rPr>
            </w:pPr>
            <w:r>
              <w:rPr>
                <w:kern w:val="0"/>
                <w:sz w:val="20"/>
                <w:szCs w:val="20"/>
                <w:lang w:val="en-US"/>
              </w:rPr>
              <w:t>Note: it should be “and”, not “or”, because “or” would mean that the UE may do one behaviour but not the other.</w:t>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bl>
    <w:p>
      <w:pPr>
        <w:pStyle w:val="BodyText"/>
        <w:bidi w:val="0"/>
        <w:spacing w:before="0" w:after="120"/>
        <w:jc w:val="both"/>
        <w:rPr/>
      </w:pPr>
      <w:r>
        <w:rPr/>
      </w:r>
    </w:p>
    <w:p>
      <w:pPr>
        <w:pStyle w:val="BodyText"/>
        <w:bidi w:val="0"/>
        <w:spacing w:before="0" w:after="120"/>
        <w:jc w:val="both"/>
        <w:rPr/>
      </w:pPr>
      <w:r>
        <w:rPr/>
      </w:r>
    </w:p>
    <w:p>
      <w:pPr>
        <w:pStyle w:val="Normal"/>
        <w:suppressAutoHyphens w:val="true"/>
        <w:overflowPunct w:val="true"/>
        <w:bidi w:val="0"/>
        <w:spacing w:before="0" w:after="180"/>
        <w:jc w:val="left"/>
        <w:textAlignment w:val="baseline"/>
        <w:rPr/>
      </w:pPr>
      <w:hyperlink r:id="rId3" w:tgtFrame="C:Usersmtk65284Documents3GPPtsg_ranWG2_RL2RAN2DocsR2-2401470.zip">
        <w:r>
          <w:rPr>
            <w:rStyle w:val="Hyperlink"/>
          </w:rPr>
          <w:t>R2-2401470</w:t>
        </w:r>
      </w:hyperlink>
      <w:r>
        <w:rPr/>
        <w:tab/>
        <w:t>Stage-2 corrections for SCPAC</w:t>
        <w:tab/>
        <w:t>OPPO</w:t>
      </w:r>
    </w:p>
    <w:p>
      <w:pPr>
        <w:pStyle w:val="Normal"/>
        <w:bidi w:val="0"/>
        <w:jc w:val="left"/>
        <w:rPr>
          <w:lang w:val="en-US" w:eastAsia="zh-CN"/>
        </w:rPr>
      </w:pPr>
      <w:r>
        <w:rPr>
          <w:lang w:val="en-US" w:eastAsia="zh-CN"/>
        </w:rPr>
        <w:t>The contribution discussed some corrections on subsequent CPAC:</w:t>
      </w:r>
    </w:p>
    <w:tbl>
      <w:tblPr>
        <w:tblStyle w:val="52"/>
        <w:tblW w:w="9855" w:type="dxa"/>
        <w:jc w:val="left"/>
        <w:tblInd w:w="0" w:type="dxa"/>
        <w:tblLayout w:type="fixed"/>
        <w:tblCellMar>
          <w:top w:w="0" w:type="dxa"/>
          <w:left w:w="108" w:type="dxa"/>
          <w:bottom w:w="0" w:type="dxa"/>
          <w:right w:w="108" w:type="dxa"/>
        </w:tblCellMar>
      </w:tblPr>
      <w:tblGrid>
        <w:gridCol w:w="9855"/>
      </w:tblGrid>
      <w:tr>
        <w:trPr/>
        <w:tc>
          <w:tcPr>
            <w:tcW w:w="9855" w:type="dxa"/>
            <w:tcBorders/>
          </w:tcPr>
          <w:p>
            <w:pPr>
              <w:pStyle w:val="Normal"/>
              <w:overflowPunct w:val="false"/>
              <w:bidi w:val="0"/>
              <w:spacing w:before="120" w:after="180"/>
              <w:jc w:val="left"/>
              <w:textAlignment w:val="auto"/>
              <w:rPr>
                <w:rFonts w:eastAsia="宋体"/>
                <w:b/>
                <w:bCs/>
                <w:sz w:val="21"/>
                <w:szCs w:val="21"/>
                <w:lang w:val="en-US" w:eastAsia="zh-CN"/>
              </w:rPr>
            </w:pPr>
            <w:hyperlink w:anchor="_Toc158278721">
              <w:r>
                <w:rPr>
                  <w:webHidden/>
                </w:rPr>
                <w:fldChar w:fldCharType="begin"/>
              </w:r>
              <w:r>
                <w:rPr>
                  <w:webHidden/>
                </w:rPr>
                <w:instrText xml:space="preserve">PAGEREF _Toc158278721 \h</w:instrText>
              </w:r>
              <w:r>
                <w:rPr>
                  <w:webHidden/>
                </w:rPr>
                <w:fldChar w:fldCharType="separate"/>
              </w:r>
              <w:r>
                <w:rPr>
                  <w:rFonts w:eastAsia="宋体"/>
                  <w:b/>
                  <w:bCs/>
                  <w:kern w:val="0"/>
                  <w:sz w:val="21"/>
                  <w:szCs w:val="21"/>
                  <w:lang w:val="en-US" w:eastAsia="zh-CN"/>
                </w:rPr>
                <w:t>Proposal 1</w:t>
                <w:tab/>
                <w:t>UE is not required to continue evaluating the execution condition of other candidate PSCell(s) or PCell(s) while executing subsequent CPAC.</w:t>
              </w:r>
              <w:r>
                <w:rPr>
                  <w:webHidden/>
                </w:rPr>
                <w:fldChar w:fldCharType="end"/>
              </w:r>
            </w:hyperlink>
          </w:p>
          <w:p>
            <w:pPr>
              <w:pStyle w:val="Normal"/>
              <w:overflowPunct w:val="false"/>
              <w:bidi w:val="0"/>
              <w:spacing w:before="120" w:after="180"/>
              <w:jc w:val="left"/>
              <w:textAlignment w:val="auto"/>
              <w:rPr>
                <w:rFonts w:eastAsia="宋体"/>
                <w:b/>
                <w:bCs/>
                <w:sz w:val="21"/>
                <w:szCs w:val="21"/>
                <w:lang w:val="en-US" w:eastAsia="zh-CN"/>
              </w:rPr>
            </w:pPr>
            <w:hyperlink w:anchor="_Toc158278722">
              <w:r>
                <w:rPr>
                  <w:webHidden/>
                </w:rPr>
                <w:fldChar w:fldCharType="begin"/>
              </w:r>
              <w:r>
                <w:rPr>
                  <w:webHidden/>
                </w:rPr>
                <w:instrText xml:space="preserve">PAGEREF _Toc158278722 \h</w:instrText>
              </w:r>
              <w:r>
                <w:rPr>
                  <w:webHidden/>
                </w:rPr>
                <w:fldChar w:fldCharType="separate"/>
              </w:r>
              <w:r>
                <w:rPr>
                  <w:rFonts w:eastAsia="宋体"/>
                  <w:b/>
                  <w:bCs/>
                  <w:kern w:val="0"/>
                  <w:sz w:val="21"/>
                  <w:szCs w:val="21"/>
                  <w:lang w:val="en-US" w:eastAsia="zh-CN"/>
                </w:rPr>
                <w:t>Proposal 2</w:t>
                <w:tab/>
                <w:t>UE is not required to continue evaluating the execution conditions of other SCPAC candidates when PSCell change/addition, PCell change is triggered.</w:t>
              </w:r>
              <w:r>
                <w:rPr>
                  <w:webHidden/>
                </w:rPr>
                <w:fldChar w:fldCharType="end"/>
              </w:r>
            </w:hyperlink>
          </w:p>
          <w:p>
            <w:pPr>
              <w:pStyle w:val="Normal"/>
              <w:overflowPunct w:val="false"/>
              <w:bidi w:val="0"/>
              <w:spacing w:before="120" w:after="180"/>
              <w:jc w:val="left"/>
              <w:textAlignment w:val="auto"/>
              <w:rPr>
                <w:sz w:val="22"/>
                <w:szCs w:val="22"/>
                <w:lang w:val="en-US" w:eastAsia="zh-CN"/>
              </w:rPr>
            </w:pPr>
            <w:hyperlink w:anchor="_Toc158278723">
              <w:r>
                <w:rPr>
                  <w:webHidden/>
                </w:rPr>
                <w:fldChar w:fldCharType="begin"/>
              </w:r>
              <w:r>
                <w:rPr>
                  <w:webHidden/>
                </w:rPr>
                <w:instrText xml:space="preserve">PAGEREF _Toc158278723 \h</w:instrText>
              </w:r>
              <w:r>
                <w:rPr>
                  <w:webHidden/>
                </w:rPr>
                <w:fldChar w:fldCharType="separate"/>
              </w:r>
              <w:r>
                <w:rPr>
                  <w:rFonts w:eastAsia="宋体"/>
                  <w:b/>
                  <w:bCs/>
                  <w:kern w:val="0"/>
                  <w:sz w:val="21"/>
                  <w:szCs w:val="21"/>
                  <w:lang w:val="en-US" w:eastAsia="zh-CN"/>
                </w:rPr>
                <w:t>Proposal 3</w:t>
                <w:tab/>
                <w:t>Add NOTE in TS 37340 to declare NW will always guarantee a valid SCPAC config</w:t>
              </w:r>
              <w:r>
                <w:rPr>
                  <w:webHidden/>
                </w:rPr>
                <w:fldChar w:fldCharType="end"/>
              </w:r>
            </w:hyperlink>
          </w:p>
        </w:tc>
      </w:tr>
    </w:tbl>
    <w:p>
      <w:pPr>
        <w:pStyle w:val="Normal"/>
        <w:bidi w:val="0"/>
        <w:jc w:val="left"/>
        <w:rPr>
          <w:lang w:val="en-US" w:eastAsia="zh-CN"/>
        </w:rPr>
      </w:pPr>
      <w:r>
        <w:rPr>
          <w:lang w:val="en-US" w:eastAsia="zh-CN"/>
        </w:rPr>
      </w:r>
    </w:p>
    <w:p>
      <w:pPr>
        <w:pStyle w:val="Normal"/>
        <w:bidi w:val="0"/>
        <w:jc w:val="left"/>
        <w:rPr>
          <w:lang w:val="en-US" w:eastAsia="zh-CN"/>
        </w:rPr>
      </w:pPr>
      <w:r>
        <w:rPr>
          <w:lang w:val="en-US" w:eastAsia="zh-CN"/>
        </w:rPr>
        <w:t>The corresponding text proposals for TS 37.340 are shown as follows:</w:t>
      </w:r>
    </w:p>
    <w:tbl>
      <w:tblPr>
        <w:tblStyle w:val="52"/>
        <w:tblW w:w="9855" w:type="dxa"/>
        <w:jc w:val="left"/>
        <w:tblInd w:w="0" w:type="dxa"/>
        <w:tblLayout w:type="fixed"/>
        <w:tblCellMar>
          <w:top w:w="0" w:type="dxa"/>
          <w:left w:w="108" w:type="dxa"/>
          <w:bottom w:w="0" w:type="dxa"/>
          <w:right w:w="108" w:type="dxa"/>
        </w:tblCellMar>
      </w:tblPr>
      <w:tblGrid>
        <w:gridCol w:w="9855"/>
      </w:tblGrid>
      <w:tr>
        <w:trPr/>
        <w:tc>
          <w:tcPr>
            <w:tcW w:w="9855" w:type="dxa"/>
            <w:tcBorders/>
          </w:tcPr>
          <w:p>
            <w:pPr>
              <w:pStyle w:val="B1"/>
              <w:bidi w:val="0"/>
              <w:jc w:val="left"/>
              <w:rPr>
                <w:sz w:val="22"/>
                <w:szCs w:val="22"/>
              </w:rPr>
            </w:pPr>
            <w:r>
              <w:rPr>
                <w:kern w:val="0"/>
                <w:sz w:val="22"/>
                <w:szCs w:val="22"/>
              </w:rPr>
              <w:t>-</w:t>
              <w:tab/>
              <w:t>While executing subsequent CPAC, the UE is not required to continue evaluating the execution condition of other candidate PSCell(s) or PCell(s).</w:t>
            </w:r>
          </w:p>
          <w:p>
            <w:pPr>
              <w:pStyle w:val="B1"/>
              <w:bidi w:val="0"/>
              <w:jc w:val="left"/>
              <w:rPr>
                <w:sz w:val="22"/>
                <w:szCs w:val="22"/>
              </w:rPr>
            </w:pPr>
            <w:r>
              <w:rPr>
                <w:kern w:val="0"/>
                <w:sz w:val="22"/>
                <w:szCs w:val="22"/>
              </w:rPr>
              <w:t>-</w:t>
              <w:tab/>
              <w:t>UE is not required to continue evaluating the execution conditions of other SCPAC candidates when PSCell change/addition, PCell change is triggered.</w:t>
            </w:r>
          </w:p>
          <w:p>
            <w:pPr>
              <w:pStyle w:val="NO"/>
              <w:bidi w:val="0"/>
              <w:spacing w:before="0" w:after="180"/>
              <w:jc w:val="left"/>
              <w:rPr>
                <w:rFonts w:ascii="Arial" w:hAnsi="Arial" w:eastAsia="宋体" w:cs="Arial"/>
                <w:b/>
                <w:bCs/>
                <w:sz w:val="20"/>
                <w:szCs w:val="20"/>
                <w:lang w:val="en-US" w:eastAsia="zh-CN"/>
              </w:rPr>
            </w:pPr>
            <w:r>
              <w:rPr>
                <w:kern w:val="0"/>
                <w:sz w:val="22"/>
                <w:szCs w:val="22"/>
              </w:rPr>
              <w:t>NOTE:</w:t>
              <w:tab/>
            </w:r>
            <w:bookmarkStart w:id="4" w:name="_Hlk157093549"/>
            <w:r>
              <w:rPr>
                <w:kern w:val="0"/>
                <w:sz w:val="22"/>
                <w:szCs w:val="22"/>
              </w:rPr>
              <w:t>If</w:t>
            </w:r>
            <w:r>
              <w:rPr>
                <w:rFonts w:eastAsia="宋体"/>
                <w:kern w:val="0"/>
                <w:sz w:val="22"/>
                <w:szCs w:val="22"/>
                <w:lang w:val="en-US" w:eastAsia="zh-CN"/>
              </w:rPr>
              <w:t xml:space="preserve"> subsequent CPAC is configured</w:t>
            </w:r>
            <w:r>
              <w:rPr>
                <w:kern w:val="0"/>
                <w:sz w:val="22"/>
                <w:szCs w:val="22"/>
              </w:rPr>
              <w:t>, upon PCell change or PSCell change</w:t>
            </w:r>
            <w:r>
              <w:rPr>
                <w:rFonts w:eastAsia="宋体"/>
                <w:kern w:val="0"/>
                <w:sz w:val="22"/>
                <w:szCs w:val="22"/>
                <w:lang w:val="en-US" w:eastAsia="zh-CN"/>
              </w:rPr>
              <w:t>,</w:t>
            </w:r>
            <w:r>
              <w:rPr>
                <w:kern w:val="0"/>
                <w:sz w:val="22"/>
                <w:szCs w:val="22"/>
              </w:rPr>
              <w:t xml:space="preserve"> the MN/SN may retain the </w:t>
            </w:r>
            <w:r>
              <w:rPr>
                <w:rFonts w:eastAsia="宋体"/>
                <w:kern w:val="0"/>
                <w:sz w:val="22"/>
                <w:szCs w:val="22"/>
                <w:lang w:val="en-US" w:eastAsia="zh-CN"/>
              </w:rPr>
              <w:t xml:space="preserve">subsequent </w:t>
            </w:r>
            <w:r>
              <w:rPr>
                <w:kern w:val="0"/>
                <w:sz w:val="22"/>
                <w:szCs w:val="22"/>
              </w:rPr>
              <w:t xml:space="preserve">CPAC configuration or cancel </w:t>
            </w:r>
            <w:r>
              <w:rPr>
                <w:rFonts w:eastAsia="宋体"/>
                <w:kern w:val="0"/>
                <w:sz w:val="22"/>
                <w:szCs w:val="22"/>
                <w:lang w:val="en-US" w:eastAsia="zh-CN"/>
              </w:rPr>
              <w:t>the subsequent CPAC configuration. If the MN/SN maintains the subsequent CPAC configuration, it should provide suitable execution conditions for the evaluation of the subsequent CPAC.</w:t>
            </w:r>
            <w:bookmarkEnd w:id="4"/>
          </w:p>
        </w:tc>
      </w:tr>
    </w:tbl>
    <w:p>
      <w:pPr>
        <w:pStyle w:val="ListParagraph"/>
        <w:bidi w:val="0"/>
        <w:ind w:left="0"/>
        <w:jc w:val="left"/>
        <w:rPr>
          <w:rFonts w:ascii="Arial" w:hAnsi="Arial" w:eastAsia="宋体" w:cs="Arial"/>
          <w:b/>
          <w:bCs/>
          <w:sz w:val="20"/>
          <w:szCs w:val="20"/>
          <w:lang w:val="en-US" w:eastAsia="zh-CN"/>
        </w:rPr>
      </w:pPr>
      <w:r>
        <w:rPr>
          <w:rFonts w:eastAsia="宋体" w:cs="Arial" w:ascii="Arial" w:hAnsi="Arial"/>
          <w:b/>
          <w:bCs/>
          <w:sz w:val="20"/>
          <w:szCs w:val="20"/>
          <w:lang w:val="en-US" w:eastAsia="zh-CN"/>
        </w:rPr>
      </w:r>
    </w:p>
    <w:p>
      <w:pPr>
        <w:pStyle w:val="Normal"/>
        <w:bidi w:val="0"/>
        <w:jc w:val="left"/>
        <w:rPr>
          <w:lang w:val="en-US" w:eastAsia="zh-CN"/>
        </w:rPr>
      </w:pPr>
      <w:r>
        <w:rPr>
          <w:b/>
          <w:bCs/>
          <w:lang w:val="en-US" w:eastAsia="zh-CN"/>
        </w:rPr>
        <w:t>Rapporteur’s comments:</w:t>
      </w:r>
      <w:r>
        <w:rPr>
          <w:lang w:val="en-US" w:eastAsia="zh-CN"/>
        </w:rPr>
        <w:t xml:space="preserve"> </w:t>
      </w:r>
    </w:p>
    <w:p>
      <w:pPr>
        <w:pStyle w:val="Normal"/>
        <w:bidi w:val="0"/>
        <w:jc w:val="left"/>
        <w:rPr>
          <w:lang w:val="en-US" w:eastAsia="zh-CN"/>
        </w:rPr>
      </w:pPr>
      <w:r>
        <w:rPr>
          <w:lang w:val="en-US" w:eastAsia="zh-CN"/>
        </w:rPr>
        <w:t>For the 1</w:t>
      </w:r>
      <w:r>
        <w:rPr>
          <w:vertAlign w:val="superscript"/>
          <w:lang w:val="en-US" w:eastAsia="zh-CN"/>
        </w:rPr>
        <w:t>st</w:t>
      </w:r>
      <w:r>
        <w:rPr>
          <w:lang w:val="en-US" w:eastAsia="zh-CN"/>
        </w:rPr>
        <w:t xml:space="preserve"> and 2</w:t>
      </w:r>
      <w:r>
        <w:rPr>
          <w:vertAlign w:val="superscript"/>
          <w:lang w:val="en-US" w:eastAsia="zh-CN"/>
        </w:rPr>
        <w:t>nd</w:t>
      </w:r>
      <w:r>
        <w:rPr>
          <w:lang w:val="en-US" w:eastAsia="zh-CN"/>
        </w:rPr>
        <w:t xml:space="preserve"> change, rapporteur thinks it’s fine to capture such principles aligned with the legacy CPAC.  </w:t>
      </w:r>
    </w:p>
    <w:p>
      <w:pPr>
        <w:pStyle w:val="Normal"/>
        <w:bidi w:val="0"/>
        <w:jc w:val="left"/>
        <w:rPr>
          <w:lang w:val="en-US" w:eastAsia="zh-CN"/>
        </w:rPr>
      </w:pPr>
      <w:r>
        <w:rPr>
          <w:lang w:val="en-US" w:eastAsia="zh-CN"/>
        </w:rPr>
        <w:t>For the 3</w:t>
      </w:r>
      <w:r>
        <w:rPr>
          <w:vertAlign w:val="superscript"/>
          <w:lang w:val="en-US" w:eastAsia="zh-CN"/>
        </w:rPr>
        <w:t>rd</w:t>
      </w:r>
      <w:r>
        <w:rPr>
          <w:lang w:val="en-US" w:eastAsia="zh-CN"/>
        </w:rPr>
        <w:t xml:space="preserve"> change, rapporteur agrees with the intention, and would suggest to capture it as a general principle in the normative text (covering PCell change, PSCell addition/change and SCG release), instead of a NOTE.</w:t>
      </w:r>
    </w:p>
    <w:tbl>
      <w:tblPr>
        <w:tblStyle w:val="52"/>
        <w:tblW w:w="9855" w:type="dxa"/>
        <w:jc w:val="left"/>
        <w:tblInd w:w="0" w:type="dxa"/>
        <w:tblLayout w:type="fixed"/>
        <w:tblCellMar>
          <w:top w:w="0" w:type="dxa"/>
          <w:left w:w="108" w:type="dxa"/>
          <w:bottom w:w="0" w:type="dxa"/>
          <w:right w:w="108" w:type="dxa"/>
        </w:tblCellMar>
      </w:tblPr>
      <w:tblGrid>
        <w:gridCol w:w="9855"/>
      </w:tblGrid>
      <w:tr>
        <w:trPr/>
        <w:tc>
          <w:tcPr>
            <w:tcW w:w="9855" w:type="dxa"/>
            <w:tcBorders/>
          </w:tcPr>
          <w:p>
            <w:pPr>
              <w:pStyle w:val="B1"/>
              <w:bidi w:val="0"/>
              <w:spacing w:before="0" w:after="180"/>
              <w:jc w:val="left"/>
              <w:rPr>
                <w:rFonts w:eastAsia="宋体"/>
                <w:sz w:val="22"/>
                <w:szCs w:val="22"/>
                <w:lang w:val="en-US" w:eastAsia="zh-CN"/>
              </w:rPr>
            </w:pPr>
            <w:r>
              <w:rPr>
                <w:color w:val="FF0000"/>
                <w:kern w:val="0"/>
                <w:sz w:val="22"/>
                <w:szCs w:val="22"/>
                <w:u w:val="single"/>
              </w:rPr>
              <w:t>-</w:t>
              <w:tab/>
              <w:t xml:space="preserve">If subsequent CPAC is configured, </w:t>
            </w:r>
            <w:r>
              <w:rPr>
                <w:rFonts w:eastAsia="宋体"/>
                <w:color w:val="FF0000"/>
                <w:kern w:val="0"/>
                <w:sz w:val="22"/>
                <w:szCs w:val="22"/>
                <w:u w:val="single"/>
                <w:lang w:val="en-US" w:eastAsia="zh-CN"/>
              </w:rPr>
              <w:t xml:space="preserve">upon </w:t>
            </w:r>
            <w:r>
              <w:rPr>
                <w:color w:val="FF0000"/>
                <w:kern w:val="0"/>
                <w:sz w:val="22"/>
                <w:szCs w:val="22"/>
                <w:u w:val="single"/>
              </w:rPr>
              <w:t>PSCell addition, PSCell change, PCell change or SCG release</w:t>
            </w:r>
            <w:r>
              <w:rPr>
                <w:rFonts w:eastAsia="宋体"/>
                <w:color w:val="FF0000"/>
                <w:kern w:val="0"/>
                <w:sz w:val="22"/>
                <w:szCs w:val="22"/>
                <w:u w:val="single"/>
                <w:lang w:val="en-US" w:eastAsia="zh-CN"/>
              </w:rPr>
              <w:t>, the network should provide suitable execution conditions for the evaluation of the subsequent CPAC if the network decides to maintain the subsequent CPAC configuration.</w:t>
            </w:r>
          </w:p>
        </w:tc>
      </w:tr>
    </w:tbl>
    <w:p>
      <w:pPr>
        <w:pStyle w:val="Normal"/>
        <w:bidi w:val="0"/>
        <w:jc w:val="left"/>
        <w:rPr>
          <w:lang w:val="en-US" w:eastAsia="zh-CN"/>
        </w:rPr>
      </w:pPr>
      <w:r>
        <w:rPr>
          <w:lang w:val="en-US" w:eastAsia="zh-CN"/>
        </w:rPr>
        <w:t xml:space="preserve">   </w:t>
      </w:r>
    </w:p>
    <w:p>
      <w:pPr>
        <w:pStyle w:val="Normal"/>
        <w:bidi w:val="0"/>
        <w:snapToGrid w:val="false"/>
        <w:spacing w:before="0" w:after="120"/>
        <w:jc w:val="left"/>
        <w:rPr>
          <w:rFonts w:ascii="Arial" w:hAnsi="Arial" w:cs="Arial"/>
          <w:b/>
        </w:rPr>
      </w:pPr>
      <w:r>
        <w:rPr>
          <w:rFonts w:cs="Arial" w:ascii="Arial" w:hAnsi="Arial"/>
          <w:b/>
        </w:rPr>
        <w:t>Q</w:t>
      </w:r>
      <w:r>
        <w:rPr>
          <w:rFonts w:eastAsia="宋体" w:cs="Arial" w:ascii="Arial" w:hAnsi="Arial"/>
          <w:b/>
          <w:lang w:val="en-US" w:eastAsia="zh-CN"/>
        </w:rPr>
        <w:t>2</w:t>
      </w:r>
      <w:r>
        <w:rPr>
          <w:rFonts w:cs="Arial" w:ascii="Arial" w:hAnsi="Arial"/>
          <w:b/>
        </w:rPr>
        <w:t xml:space="preserve">: </w:t>
      </w:r>
      <w:r>
        <w:rPr>
          <w:rFonts w:cs="Arial" w:ascii="Arial" w:hAnsi="Arial"/>
          <w:b/>
          <w:lang w:val="en-US" w:eastAsia="zh-CN"/>
        </w:rPr>
        <w:t>Do companies agree the proposed changes in R2-2401470</w:t>
      </w:r>
      <w:r>
        <w:rPr>
          <w:rFonts w:cs="Arial" w:ascii="Arial" w:hAnsi="Arial"/>
          <w:b/>
        </w:rPr>
        <w:t>?</w:t>
      </w:r>
    </w:p>
    <w:tbl>
      <w:tblPr>
        <w:tblStyle w:val="157"/>
        <w:tblW w:w="9632" w:type="dxa"/>
        <w:jc w:val="left"/>
        <w:tblInd w:w="0" w:type="dxa"/>
        <w:tblLayout w:type="fixed"/>
        <w:tblCellMar>
          <w:top w:w="0" w:type="dxa"/>
          <w:left w:w="108" w:type="dxa"/>
          <w:bottom w:w="0" w:type="dxa"/>
          <w:right w:w="108" w:type="dxa"/>
        </w:tblCellMar>
      </w:tblPr>
      <w:tblGrid>
        <w:gridCol w:w="2263"/>
        <w:gridCol w:w="1701"/>
        <w:gridCol w:w="5668"/>
      </w:tblGrid>
      <w:tr>
        <w:trPr/>
        <w:tc>
          <w:tcPr>
            <w:tcW w:w="2263" w:type="dxa"/>
            <w:tcBorders>
              <w:top w:val="single" w:sz="4" w:space="0" w:color="000000"/>
              <w:left w:val="single" w:sz="4" w:space="0" w:color="000000"/>
              <w:bottom w:val="single" w:sz="4" w:space="0" w:color="000000"/>
              <w:right w:val="nil"/>
            </w:tcBorders>
            <w:shd w:color="auto" w:fill="BDD6EE" w:themeFill="accent5" w:themeFillTint="66" w:val="clear"/>
          </w:tcPr>
          <w:p>
            <w:pPr>
              <w:pStyle w:val="BodyText"/>
              <w:bidi w:val="0"/>
              <w:spacing w:before="0" w:after="120"/>
              <w:rPr>
                <w:b w:val="false"/>
                <w:bCs w:val="false"/>
                <w:color w:themeColor="background1" w:val="FFFFFF"/>
                <w:lang w:val="en-US"/>
                <w14:textFill>
                  <w14:solidFill>
                    <w14:schemeClr w14:val="bg1"/>
                  </w14:solidFill>
                </w14:textFill>
              </w:rPr>
            </w:pPr>
            <w:r>
              <w:rPr>
                <w:b/>
                <w:bCs/>
                <w:color w:val="auto"/>
                <w:kern w:val="0"/>
                <w:sz w:val="20"/>
                <w:szCs w:val="20"/>
                <w:lang w:val="en-US"/>
              </w:rPr>
              <w:t>Company</w:t>
            </w:r>
          </w:p>
        </w:tc>
        <w:tc>
          <w:tcPr>
            <w:tcW w:w="1701" w:type="dxa"/>
            <w:tcBorders>
              <w:top w:val="single" w:sz="4" w:space="0" w:color="000000"/>
              <w:left w:val="single" w:sz="4" w:space="0" w:color="000000"/>
              <w:bottom w:val="single" w:sz="4" w:space="0" w:color="000000"/>
              <w:right w:val="nil"/>
            </w:tcBorders>
            <w:shd w:color="auto" w:fill="BDD6EE" w:themeFill="accent5" w:themeFillTint="66" w:val="clear"/>
          </w:tcPr>
          <w:p>
            <w:pPr>
              <w:pStyle w:val="BodyText"/>
              <w:bidi w:val="0"/>
              <w:spacing w:before="0" w:after="120"/>
              <w:rPr>
                <w:rFonts w:eastAsia="宋体"/>
                <w:b/>
                <w:bCs/>
                <w:color w:themeColor="background1" w:val="FFFFFF"/>
                <w:lang w:val="en-US"/>
                <w14:textFill>
                  <w14:solidFill>
                    <w14:schemeClr w14:val="bg1"/>
                  </w14:solidFill>
                </w14:textFill>
              </w:rPr>
            </w:pPr>
            <w:r>
              <w:rPr>
                <w:rFonts w:eastAsia="宋体"/>
                <w:b/>
                <w:bCs/>
                <w:color w:val="auto"/>
                <w:kern w:val="0"/>
                <w:sz w:val="20"/>
                <w:szCs w:val="20"/>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tcPr>
          <w:p>
            <w:pPr>
              <w:pStyle w:val="BodyText"/>
              <w:bidi w:val="0"/>
              <w:spacing w:before="0" w:after="120"/>
              <w:rPr>
                <w:rFonts w:eastAsia="宋体"/>
                <w:b w:val="false"/>
                <w:bCs w:val="false"/>
                <w:color w:themeColor="background1" w:val="FFFFFF"/>
                <w:lang w:val="en-US"/>
                <w14:textFill>
                  <w14:solidFill>
                    <w14:schemeClr w14:val="bg1"/>
                  </w14:solidFill>
                </w14:textFill>
              </w:rPr>
            </w:pPr>
            <w:r>
              <w:rPr>
                <w:b/>
                <w:bCs/>
                <w:color w:val="auto"/>
                <w:kern w:val="0"/>
                <w:sz w:val="20"/>
                <w:szCs w:val="20"/>
                <w:lang w:val="en-US"/>
              </w:rPr>
              <w:t>Comment</w:t>
            </w:r>
            <w:r>
              <w:rPr>
                <w:rFonts w:eastAsia="宋体"/>
                <w:b/>
                <w:bCs/>
                <w:color w:val="auto"/>
                <w:kern w:val="0"/>
                <w:sz w:val="20"/>
                <w:szCs w:val="20"/>
                <w:lang w:val="en-US"/>
              </w:rPr>
              <w:t>s if any</w:t>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t>No strong view</w:t>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t>This is not so important, but TP could be ok</w:t>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bl>
    <w:p>
      <w:pPr>
        <w:pStyle w:val="ListParagraph"/>
        <w:bidi w:val="0"/>
        <w:ind w:left="0"/>
        <w:jc w:val="left"/>
        <w:rPr>
          <w:rFonts w:ascii="Arial" w:hAnsi="Arial" w:eastAsia="宋体" w:cs="Arial"/>
          <w:b/>
          <w:bCs/>
          <w:sz w:val="20"/>
          <w:szCs w:val="20"/>
          <w:lang w:val="en-US" w:eastAsia="zh-CN"/>
        </w:rPr>
      </w:pPr>
      <w:r>
        <w:rPr>
          <w:rFonts w:eastAsia="宋体" w:cs="Arial" w:ascii="Arial" w:hAnsi="Arial"/>
          <w:b/>
          <w:bCs/>
          <w:sz w:val="20"/>
          <w:szCs w:val="20"/>
          <w:lang w:val="en-US" w:eastAsia="zh-CN"/>
        </w:rPr>
      </w:r>
    </w:p>
    <w:p>
      <w:pPr>
        <w:pStyle w:val="ListParagraph"/>
        <w:bidi w:val="0"/>
        <w:ind w:left="0"/>
        <w:jc w:val="left"/>
        <w:rPr>
          <w:rFonts w:ascii="Times New Roman" w:hAnsi="Times New Roman" w:eastAsia="Times New Roman"/>
          <w:sz w:val="20"/>
          <w:szCs w:val="20"/>
          <w:lang w:val="en-GB" w:eastAsia="ja-JP"/>
        </w:rPr>
      </w:pPr>
      <w:hyperlink r:id="rId4" w:tgtFrame="C:Usersmtk65284Documents3GPPtsg_ranWG2_RL2RAN2DocsR2-2400310.zip">
        <w:r>
          <w:rPr>
            <w:rFonts w:eastAsia="Malgun Gothic" w:ascii="Times New Roman" w:hAnsi="Times New Roman"/>
            <w:color w:val="0000FF"/>
            <w:u w:val="single"/>
            <w:lang w:val="en-US"/>
          </w:rPr>
          <w:t>R2-2400310</w:t>
        </w:r>
      </w:hyperlink>
      <w:r>
        <w:rPr>
          <w:lang w:val="en-US"/>
        </w:rPr>
        <w:tab/>
      </w:r>
      <w:r>
        <w:rPr>
          <w:rFonts w:eastAsia="宋体"/>
          <w:lang w:val="en-US" w:eastAsia="zh-CN"/>
        </w:rPr>
        <w:t xml:space="preserve"> </w:t>
      </w:r>
      <w:r>
        <w:rPr>
          <w:rFonts w:eastAsia="Times New Roman" w:ascii="Times New Roman" w:hAnsi="Times New Roman"/>
          <w:sz w:val="20"/>
          <w:szCs w:val="20"/>
          <w:lang w:val="en-GB" w:eastAsia="ja-JP"/>
        </w:rPr>
        <w:t>Miscellaneous corrections for NR further mobility enhancements in TS 37.340</w:t>
        <w:tab/>
        <w:t>ZTE Corporation, Sanechips</w:t>
      </w:r>
    </w:p>
    <w:p>
      <w:pPr>
        <w:pStyle w:val="ListParagraph"/>
        <w:bidi w:val="0"/>
        <w:ind w:left="0"/>
        <w:jc w:val="left"/>
        <w:rPr>
          <w:rFonts w:ascii="Times New Roman" w:hAnsi="Times New Roman" w:eastAsia="宋体"/>
          <w:sz w:val="20"/>
          <w:szCs w:val="20"/>
          <w:lang w:val="en-US" w:eastAsia="zh-CN"/>
        </w:rPr>
      </w:pPr>
      <w:r>
        <w:rPr>
          <w:rFonts w:eastAsia="宋体" w:ascii="Times New Roman" w:hAnsi="Times New Roman"/>
          <w:sz w:val="20"/>
          <w:szCs w:val="20"/>
          <w:lang w:val="en-US" w:eastAsia="zh-CN"/>
        </w:rPr>
      </w:r>
    </w:p>
    <w:p>
      <w:pPr>
        <w:pStyle w:val="ListParagraph"/>
        <w:bidi w:val="0"/>
        <w:ind w:left="0"/>
        <w:jc w:val="left"/>
        <w:rPr>
          <w:rFonts w:ascii="Times New Roman" w:hAnsi="Times New Roman" w:eastAsia="宋体"/>
          <w:sz w:val="20"/>
          <w:szCs w:val="20"/>
          <w:lang w:val="en-US" w:eastAsia="zh-CN"/>
        </w:rPr>
      </w:pPr>
      <w:r>
        <w:rPr>
          <w:rFonts w:eastAsia="宋体" w:ascii="Times New Roman" w:hAnsi="Times New Roman"/>
          <w:sz w:val="20"/>
          <w:szCs w:val="20"/>
          <w:lang w:val="en-US" w:eastAsia="zh-CN"/>
        </w:rPr>
        <w:t>This CR is to address some miscellaneous clarification and editorial changes in the current TS 37.340:</w:t>
      </w:r>
    </w:p>
    <w:tbl>
      <w:tblPr>
        <w:tblStyle w:val="51"/>
        <w:tblW w:w="9640" w:type="dxa"/>
        <w:jc w:val="left"/>
        <w:tblInd w:w="42" w:type="dxa"/>
        <w:tblLayout w:type="fixed"/>
        <w:tblCellMar>
          <w:top w:w="0" w:type="dxa"/>
          <w:left w:w="42" w:type="dxa"/>
          <w:bottom w:w="0" w:type="dxa"/>
          <w:right w:w="42" w:type="dxa"/>
        </w:tblCellMar>
      </w:tblPr>
      <w:tblGrid>
        <w:gridCol w:w="2694"/>
        <w:gridCol w:w="6945"/>
      </w:tblGrid>
      <w:tr>
        <w:trPr/>
        <w:tc>
          <w:tcPr>
            <w:tcW w:w="2694" w:type="dxa"/>
            <w:tcBorders>
              <w:top w:val="single" w:sz="4" w:space="0" w:color="000000"/>
              <w:left w:val="single" w:sz="4" w:space="0" w:color="000000"/>
            </w:tcBorders>
          </w:tcPr>
          <w:p>
            <w:pPr>
              <w:pStyle w:val="CRCoverPage"/>
              <w:tabs>
                <w:tab w:val="clear" w:pos="567"/>
                <w:tab w:val="right" w:pos="2184" w:leader="none"/>
              </w:tabs>
              <w:bidi w:val="0"/>
              <w:spacing w:before="0" w:after="0"/>
              <w:jc w:val="left"/>
              <w:rPr>
                <w:b/>
                <w:i/>
                <w:i/>
              </w:rPr>
            </w:pPr>
            <w:r>
              <w:rPr>
                <w:b/>
                <w:i/>
                <w:kern w:val="0"/>
                <w:sz w:val="20"/>
                <w:szCs w:val="20"/>
              </w:rPr>
              <w:t>Reason for change:</w:t>
            </w:r>
          </w:p>
        </w:tc>
        <w:tc>
          <w:tcPr>
            <w:tcW w:w="6945" w:type="dxa"/>
            <w:tcBorders>
              <w:top w:val="single" w:sz="4" w:space="0" w:color="000000"/>
              <w:right w:val="single" w:sz="4" w:space="0" w:color="000000"/>
            </w:tcBorders>
            <w:shd w:color="FFFF00" w:fill="auto" w:val="pct30"/>
          </w:tcPr>
          <w:p>
            <w:pPr>
              <w:pStyle w:val="CRCoverPage"/>
              <w:bidi w:val="0"/>
              <w:spacing w:before="0" w:after="0"/>
              <w:ind w:left="100"/>
              <w:jc w:val="left"/>
              <w:rPr>
                <w:kern w:val="0"/>
                <w:sz w:val="20"/>
                <w:szCs w:val="20"/>
              </w:rPr>
            </w:pPr>
            <w:r>
              <w:rPr>
                <w:kern w:val="0"/>
                <w:sz w:val="20"/>
                <w:szCs w:val="20"/>
                <w:lang w:eastAsia="zh-CN"/>
              </w:rPr>
              <w:t>T</w:t>
            </w:r>
            <w:r>
              <w:rPr>
                <w:kern w:val="0"/>
                <w:sz w:val="20"/>
                <w:szCs w:val="20"/>
              </w:rPr>
              <w:t>o address some miscellaneous clarification/editorial changes:</w:t>
            </w:r>
          </w:p>
          <w:p>
            <w:pPr>
              <w:pStyle w:val="CRCoverPage"/>
              <w:numPr>
                <w:ilvl w:val="0"/>
                <w:numId w:val="16"/>
              </w:numPr>
              <w:bidi w:val="0"/>
              <w:spacing w:before="0" w:after="0"/>
              <w:jc w:val="left"/>
              <w:rPr>
                <w:kern w:val="0"/>
                <w:sz w:val="20"/>
                <w:szCs w:val="20"/>
              </w:rPr>
            </w:pPr>
            <w:r>
              <w:rPr>
                <w:kern w:val="0"/>
                <w:sz w:val="20"/>
                <w:szCs w:val="20"/>
              </w:rPr>
              <w:t>The current definition of subsequent CPAC may cause the ambiguity that the subsequent CPAC includes only the following/subsequent CPC/CPA execution after a PSCell addition/change, PCell change or SCG release, but not including the initial CPA/CPC execution after receiving the subsequent CPAC configuration.</w:t>
            </w:r>
          </w:p>
          <w:p>
            <w:pPr>
              <w:pStyle w:val="CRCoverPage"/>
              <w:numPr>
                <w:ilvl w:val="0"/>
                <w:numId w:val="16"/>
              </w:numPr>
              <w:bidi w:val="0"/>
              <w:spacing w:before="0" w:after="0"/>
              <w:jc w:val="left"/>
              <w:rPr>
                <w:kern w:val="0"/>
                <w:sz w:val="20"/>
                <w:szCs w:val="20"/>
              </w:rPr>
            </w:pPr>
            <w:r>
              <w:rPr>
                <w:kern w:val="0"/>
                <w:sz w:val="20"/>
                <w:szCs w:val="20"/>
              </w:rPr>
              <w:t>The description of intra-SN subsequent CPAC without MN involvement execution completion is missing in the section 10.10.2 for RRC Transfer procedure.</w:t>
            </w:r>
          </w:p>
          <w:p>
            <w:pPr>
              <w:pStyle w:val="CRCoverPage"/>
              <w:numPr>
                <w:ilvl w:val="0"/>
                <w:numId w:val="16"/>
              </w:numPr>
              <w:bidi w:val="0"/>
              <w:spacing w:before="0" w:after="0"/>
              <w:jc w:val="left"/>
              <w:rPr>
                <w:kern w:val="0"/>
                <w:sz w:val="20"/>
                <w:szCs w:val="20"/>
              </w:rPr>
            </w:pPr>
            <w:r>
              <w:rPr>
                <w:kern w:val="0"/>
                <w:sz w:val="20"/>
                <w:szCs w:val="20"/>
              </w:rPr>
              <w:t>Some editorial clarification/changes are required in Figure 10.20-1 and 10.20-2, to align with the procedural text.</w:t>
            </w:r>
          </w:p>
          <w:p>
            <w:pPr>
              <w:pStyle w:val="CRCoverPage"/>
              <w:numPr>
                <w:ilvl w:val="0"/>
                <w:numId w:val="16"/>
              </w:numPr>
              <w:bidi w:val="0"/>
              <w:spacing w:before="0" w:after="0"/>
              <w:jc w:val="left"/>
              <w:rPr>
                <w:kern w:val="0"/>
                <w:sz w:val="20"/>
                <w:szCs w:val="20"/>
              </w:rPr>
            </w:pPr>
            <w:r>
              <w:rPr>
                <w:kern w:val="0"/>
                <w:sz w:val="20"/>
                <w:szCs w:val="20"/>
              </w:rPr>
              <w:t>The current text on MN initiated SN modification procedure during subsequent CPAC procedure in section 10.20 is unclear and may cause some ambiguity.</w:t>
            </w:r>
          </w:p>
          <w:p>
            <w:pPr>
              <w:pStyle w:val="CRCoverPage"/>
              <w:numPr>
                <w:ilvl w:val="0"/>
                <w:numId w:val="16"/>
              </w:numPr>
              <w:bidi w:val="0"/>
              <w:spacing w:before="0" w:after="0"/>
              <w:jc w:val="left"/>
              <w:rPr>
                <w:kern w:val="0"/>
                <w:sz w:val="20"/>
                <w:szCs w:val="20"/>
              </w:rPr>
            </w:pPr>
            <w:r>
              <w:rPr>
                <w:kern w:val="0"/>
                <w:sz w:val="20"/>
                <w:szCs w:val="20"/>
              </w:rPr>
              <w:t>Remove “and when RRC full configuration is not used” in section 10.20, to avoid the ambiguity that RRC full configuration may be used for subsequent CPAC.</w:t>
            </w:r>
          </w:p>
          <w:p>
            <w:pPr>
              <w:pStyle w:val="CRCoverPage"/>
              <w:numPr>
                <w:ilvl w:val="0"/>
                <w:numId w:val="16"/>
              </w:numPr>
              <w:bidi w:val="0"/>
              <w:spacing w:before="0" w:after="0"/>
              <w:jc w:val="left"/>
              <w:rPr>
                <w:kern w:val="0"/>
                <w:sz w:val="20"/>
                <w:szCs w:val="20"/>
              </w:rPr>
            </w:pPr>
            <w:r>
              <w:rPr>
                <w:kern w:val="0"/>
                <w:sz w:val="20"/>
                <w:szCs w:val="20"/>
              </w:rPr>
              <w:t>Some editorial changes needs to be fixed.</w:t>
            </w:r>
          </w:p>
          <w:p>
            <w:pPr>
              <w:pStyle w:val="CRCoverPage"/>
              <w:bidi w:val="0"/>
              <w:spacing w:before="0" w:after="0"/>
              <w:ind w:left="460"/>
              <w:jc w:val="left"/>
              <w:rPr>
                <w:kern w:val="0"/>
                <w:sz w:val="20"/>
                <w:szCs w:val="20"/>
              </w:rPr>
            </w:pPr>
            <w:r>
              <w:rPr>
                <w:kern w:val="0"/>
                <w:sz w:val="20"/>
                <w:szCs w:val="20"/>
              </w:rPr>
            </w:r>
          </w:p>
        </w:tc>
      </w:tr>
      <w:tr>
        <w:trPr/>
        <w:tc>
          <w:tcPr>
            <w:tcW w:w="2694" w:type="dxa"/>
            <w:tcBorders>
              <w:left w:val="single" w:sz="4" w:space="0" w:color="000000"/>
            </w:tcBorders>
          </w:tcPr>
          <w:p>
            <w:pPr>
              <w:pStyle w:val="CRCoverPage"/>
              <w:bidi w:val="0"/>
              <w:spacing w:before="0" w:after="0"/>
              <w:jc w:val="left"/>
              <w:rPr>
                <w:b/>
                <w:i/>
                <w:i/>
                <w:sz w:val="8"/>
                <w:szCs w:val="8"/>
              </w:rPr>
            </w:pPr>
            <w:r>
              <w:rPr>
                <w:b/>
                <w:i/>
                <w:kern w:val="0"/>
                <w:sz w:val="8"/>
                <w:szCs w:val="8"/>
              </w:rPr>
            </w:r>
          </w:p>
        </w:tc>
        <w:tc>
          <w:tcPr>
            <w:tcW w:w="6945" w:type="dxa"/>
            <w:tcBorders>
              <w:right w:val="single" w:sz="4" w:space="0" w:color="000000"/>
            </w:tcBorders>
          </w:tcPr>
          <w:p>
            <w:pPr>
              <w:pStyle w:val="CRCoverPage"/>
              <w:bidi w:val="0"/>
              <w:spacing w:before="0" w:after="0"/>
              <w:jc w:val="left"/>
              <w:rPr>
                <w:sz w:val="8"/>
                <w:szCs w:val="8"/>
              </w:rPr>
            </w:pPr>
            <w:r>
              <w:rPr>
                <w:kern w:val="0"/>
                <w:sz w:val="8"/>
                <w:szCs w:val="8"/>
              </w:rPr>
            </w:r>
          </w:p>
        </w:tc>
      </w:tr>
      <w:tr>
        <w:trPr/>
        <w:tc>
          <w:tcPr>
            <w:tcW w:w="2694" w:type="dxa"/>
            <w:tcBorders>
              <w:left w:val="single" w:sz="4" w:space="0" w:color="000000"/>
            </w:tcBorders>
          </w:tcPr>
          <w:p>
            <w:pPr>
              <w:pStyle w:val="CRCoverPage"/>
              <w:tabs>
                <w:tab w:val="clear" w:pos="567"/>
                <w:tab w:val="right" w:pos="2184" w:leader="none"/>
              </w:tabs>
              <w:bidi w:val="0"/>
              <w:spacing w:before="0" w:after="0"/>
              <w:jc w:val="left"/>
              <w:rPr>
                <w:b/>
                <w:i/>
                <w:i/>
              </w:rPr>
            </w:pPr>
            <w:r>
              <w:rPr>
                <w:b/>
                <w:i/>
                <w:kern w:val="0"/>
                <w:sz w:val="20"/>
                <w:szCs w:val="20"/>
              </w:rPr>
              <w:t>Summary of change:</w:t>
            </w:r>
          </w:p>
        </w:tc>
        <w:tc>
          <w:tcPr>
            <w:tcW w:w="6945" w:type="dxa"/>
            <w:tcBorders>
              <w:right w:val="single" w:sz="4" w:space="0" w:color="000000"/>
            </w:tcBorders>
            <w:shd w:color="FFFF00" w:fill="auto" w:val="pct30"/>
          </w:tcPr>
          <w:p>
            <w:pPr>
              <w:pStyle w:val="CRCoverPage"/>
              <w:numPr>
                <w:ilvl w:val="0"/>
                <w:numId w:val="17"/>
              </w:numPr>
              <w:bidi w:val="0"/>
              <w:spacing w:before="0" w:after="0"/>
              <w:jc w:val="left"/>
              <w:rPr>
                <w:kern w:val="0"/>
                <w:sz w:val="20"/>
                <w:szCs w:val="20"/>
              </w:rPr>
            </w:pPr>
            <w:r>
              <w:rPr>
                <w:kern w:val="0"/>
                <w:sz w:val="20"/>
                <w:szCs w:val="20"/>
              </w:rPr>
              <w:t>Update the definition of subsequent CPAC in section 3.1 and 10.20.</w:t>
            </w:r>
          </w:p>
          <w:p>
            <w:pPr>
              <w:pStyle w:val="CRCoverPage"/>
              <w:numPr>
                <w:ilvl w:val="0"/>
                <w:numId w:val="17"/>
              </w:numPr>
              <w:bidi w:val="0"/>
              <w:spacing w:before="0" w:after="0"/>
              <w:jc w:val="left"/>
              <w:rPr>
                <w:kern w:val="0"/>
                <w:sz w:val="20"/>
                <w:szCs w:val="20"/>
              </w:rPr>
            </w:pPr>
            <w:r>
              <w:rPr>
                <w:kern w:val="0"/>
                <w:sz w:val="20"/>
                <w:szCs w:val="20"/>
              </w:rPr>
              <w:t>Add the description of intra-SN subsequent CPAC without MN involvement execution completion in the section 10.10.2.</w:t>
            </w:r>
          </w:p>
          <w:p>
            <w:pPr>
              <w:pStyle w:val="CRCoverPage"/>
              <w:numPr>
                <w:ilvl w:val="0"/>
                <w:numId w:val="17"/>
              </w:numPr>
              <w:bidi w:val="0"/>
              <w:spacing w:before="0" w:after="0"/>
              <w:jc w:val="left"/>
              <w:rPr>
                <w:kern w:val="0"/>
                <w:sz w:val="20"/>
                <w:szCs w:val="20"/>
              </w:rPr>
            </w:pPr>
            <w:r>
              <w:rPr>
                <w:kern w:val="0"/>
                <w:sz w:val="20"/>
                <w:szCs w:val="20"/>
              </w:rPr>
              <w:t>Fix some editorial changes in Figure 10.20-1 and 10.20-2.</w:t>
            </w:r>
          </w:p>
          <w:p>
            <w:pPr>
              <w:pStyle w:val="CRCoverPage"/>
              <w:numPr>
                <w:ilvl w:val="0"/>
                <w:numId w:val="17"/>
              </w:numPr>
              <w:bidi w:val="0"/>
              <w:spacing w:before="0" w:after="0"/>
              <w:jc w:val="left"/>
              <w:rPr>
                <w:kern w:val="0"/>
                <w:sz w:val="20"/>
                <w:szCs w:val="20"/>
              </w:rPr>
            </w:pPr>
            <w:r>
              <w:rPr>
                <w:kern w:val="0"/>
                <w:sz w:val="20"/>
                <w:szCs w:val="20"/>
              </w:rPr>
              <w:t>Improve the procedural text on MN initiated SN modification procedure during subsequent CPAC procedure in section 10.20.</w:t>
            </w:r>
          </w:p>
          <w:p>
            <w:pPr>
              <w:pStyle w:val="CRCoverPage"/>
              <w:numPr>
                <w:ilvl w:val="0"/>
                <w:numId w:val="17"/>
              </w:numPr>
              <w:bidi w:val="0"/>
              <w:spacing w:before="0" w:after="0"/>
              <w:jc w:val="left"/>
              <w:rPr>
                <w:kern w:val="0"/>
                <w:sz w:val="20"/>
                <w:szCs w:val="20"/>
              </w:rPr>
            </w:pPr>
            <w:r>
              <w:rPr>
                <w:kern w:val="0"/>
                <w:sz w:val="20"/>
                <w:szCs w:val="20"/>
              </w:rPr>
              <w:t>Remove “and when RRC full configuration is not used” in section 10.20.</w:t>
            </w:r>
          </w:p>
          <w:p>
            <w:pPr>
              <w:pStyle w:val="CRCoverPage"/>
              <w:numPr>
                <w:ilvl w:val="0"/>
                <w:numId w:val="17"/>
              </w:numPr>
              <w:bidi w:val="0"/>
              <w:spacing w:before="0" w:after="0"/>
              <w:jc w:val="left"/>
              <w:rPr>
                <w:kern w:val="0"/>
                <w:sz w:val="20"/>
                <w:szCs w:val="20"/>
              </w:rPr>
            </w:pPr>
            <w:r>
              <w:rPr>
                <w:kern w:val="0"/>
                <w:sz w:val="20"/>
                <w:szCs w:val="20"/>
              </w:rPr>
              <w:t>Fix some editorial changes in section 10.20.</w:t>
            </w:r>
          </w:p>
          <w:p>
            <w:pPr>
              <w:pStyle w:val="CRCoverPage"/>
              <w:bidi w:val="0"/>
              <w:spacing w:before="0" w:after="0"/>
              <w:ind w:left="460"/>
              <w:jc w:val="left"/>
              <w:rPr>
                <w:kern w:val="0"/>
                <w:sz w:val="20"/>
                <w:szCs w:val="20"/>
              </w:rPr>
            </w:pPr>
            <w:r>
              <w:rPr>
                <w:kern w:val="0"/>
                <w:sz w:val="20"/>
                <w:szCs w:val="20"/>
              </w:rPr>
            </w:r>
          </w:p>
          <w:p>
            <w:pPr>
              <w:pStyle w:val="Normal"/>
              <w:bidi w:val="0"/>
              <w:spacing w:before="0" w:after="0"/>
              <w:ind w:left="100"/>
              <w:jc w:val="left"/>
              <w:rPr>
                <w:rFonts w:ascii="Arial" w:hAnsi="Arial"/>
                <w:b/>
              </w:rPr>
            </w:pPr>
            <w:r>
              <w:rPr>
                <w:rFonts w:ascii="Arial" w:hAnsi="Arial"/>
                <w:b/>
                <w:kern w:val="0"/>
                <w:sz w:val="20"/>
                <w:szCs w:val="20"/>
              </w:rPr>
              <w:t>Impact Analysis</w:t>
            </w:r>
          </w:p>
          <w:p>
            <w:pPr>
              <w:pStyle w:val="Normal"/>
              <w:bidi w:val="0"/>
              <w:spacing w:before="0" w:after="0"/>
              <w:ind w:left="100"/>
              <w:jc w:val="left"/>
              <w:rPr>
                <w:rFonts w:ascii="Arial" w:hAnsi="Arial"/>
                <w:u w:val="single"/>
                <w:lang w:val="en-US"/>
              </w:rPr>
            </w:pPr>
            <w:r>
              <w:rPr>
                <w:rFonts w:ascii="Arial" w:hAnsi="Arial"/>
                <w:kern w:val="0"/>
                <w:sz w:val="20"/>
                <w:szCs w:val="20"/>
                <w:u w:val="single"/>
                <w:lang w:val="en-US"/>
              </w:rPr>
              <w:t xml:space="preserve">Impacted 5G architecture options: </w:t>
            </w:r>
          </w:p>
          <w:p>
            <w:pPr>
              <w:pStyle w:val="Normal"/>
              <w:bidi w:val="0"/>
              <w:spacing w:before="0" w:after="0"/>
              <w:ind w:left="100"/>
              <w:jc w:val="left"/>
              <w:rPr>
                <w:rFonts w:ascii="Arial" w:hAnsi="Arial" w:cs="Arial"/>
                <w:lang w:val="sv-SE"/>
              </w:rPr>
            </w:pPr>
            <w:r>
              <w:rPr>
                <w:rFonts w:cs="Arial" w:ascii="Arial" w:hAnsi="Arial"/>
                <w:kern w:val="0"/>
                <w:sz w:val="20"/>
                <w:szCs w:val="20"/>
                <w:lang w:val="sv-SE"/>
              </w:rPr>
              <w:t>NR-DC</w:t>
            </w:r>
          </w:p>
          <w:p>
            <w:pPr>
              <w:pStyle w:val="Normal"/>
              <w:bidi w:val="0"/>
              <w:spacing w:before="0" w:after="0"/>
              <w:ind w:left="100"/>
              <w:jc w:val="left"/>
              <w:rPr>
                <w:rFonts w:ascii="Arial" w:hAnsi="Arial"/>
                <w:u w:val="single"/>
                <w:lang w:val="sv-SE"/>
              </w:rPr>
            </w:pPr>
            <w:r>
              <w:rPr>
                <w:rFonts w:ascii="Arial" w:hAnsi="Arial"/>
                <w:kern w:val="0"/>
                <w:sz w:val="20"/>
                <w:szCs w:val="20"/>
                <w:u w:val="single"/>
                <w:lang w:val="sv-SE"/>
              </w:rPr>
            </w:r>
          </w:p>
          <w:p>
            <w:pPr>
              <w:pStyle w:val="Normal"/>
              <w:bidi w:val="0"/>
              <w:spacing w:before="0" w:after="0"/>
              <w:ind w:left="100"/>
              <w:jc w:val="left"/>
              <w:rPr>
                <w:rFonts w:ascii="Arial" w:hAnsi="Arial"/>
                <w:u w:val="single"/>
              </w:rPr>
            </w:pPr>
            <w:r>
              <w:rPr>
                <w:rFonts w:ascii="Arial" w:hAnsi="Arial"/>
                <w:kern w:val="0"/>
                <w:sz w:val="20"/>
                <w:szCs w:val="20"/>
                <w:u w:val="single"/>
              </w:rPr>
              <w:t>Impacted functionality:</w:t>
            </w:r>
          </w:p>
          <w:p>
            <w:pPr>
              <w:pStyle w:val="Normal"/>
              <w:bidi w:val="0"/>
              <w:spacing w:before="0" w:after="0"/>
              <w:ind w:left="100"/>
              <w:jc w:val="left"/>
              <w:rPr>
                <w:rFonts w:ascii="Arial" w:hAnsi="Arial"/>
                <w:lang w:val="en-US"/>
              </w:rPr>
            </w:pPr>
            <w:r>
              <w:rPr>
                <w:rFonts w:ascii="Arial" w:hAnsi="Arial"/>
                <w:kern w:val="0"/>
                <w:sz w:val="20"/>
                <w:szCs w:val="20"/>
                <w:lang w:val="en-US"/>
              </w:rPr>
              <w:t>Subsequent CPAC</w:t>
            </w:r>
          </w:p>
          <w:p>
            <w:pPr>
              <w:pStyle w:val="Normal"/>
              <w:bidi w:val="0"/>
              <w:spacing w:before="0" w:after="0"/>
              <w:ind w:left="100"/>
              <w:jc w:val="left"/>
              <w:rPr>
                <w:rFonts w:ascii="Arial" w:hAnsi="Arial"/>
              </w:rPr>
            </w:pPr>
            <w:r>
              <w:rPr>
                <w:rFonts w:ascii="Arial" w:hAnsi="Arial"/>
                <w:kern w:val="0"/>
                <w:sz w:val="20"/>
                <w:szCs w:val="20"/>
              </w:rPr>
            </w:r>
          </w:p>
          <w:p>
            <w:pPr>
              <w:pStyle w:val="Normal"/>
              <w:bidi w:val="0"/>
              <w:spacing w:before="0" w:after="0"/>
              <w:ind w:left="100"/>
              <w:jc w:val="left"/>
              <w:rPr>
                <w:rFonts w:ascii="Arial" w:hAnsi="Arial"/>
                <w:u w:val="single"/>
              </w:rPr>
            </w:pPr>
            <w:r>
              <w:rPr>
                <w:rFonts w:ascii="Arial" w:hAnsi="Arial"/>
                <w:kern w:val="0"/>
                <w:sz w:val="20"/>
                <w:szCs w:val="20"/>
                <w:u w:val="single"/>
              </w:rPr>
              <w:t>Inter-operability:</w:t>
            </w:r>
          </w:p>
          <w:p>
            <w:pPr>
              <w:pStyle w:val="Normal"/>
              <w:bidi w:val="0"/>
              <w:spacing w:before="0" w:after="0"/>
              <w:ind w:left="100"/>
              <w:jc w:val="left"/>
              <w:rPr>
                <w:rFonts w:ascii="Arial" w:hAnsi="Arial"/>
              </w:rPr>
            </w:pPr>
            <w:r>
              <w:rPr>
                <w:rFonts w:ascii="Arial" w:hAnsi="Arial"/>
                <w:kern w:val="0"/>
                <w:sz w:val="20"/>
                <w:szCs w:val="20"/>
              </w:rPr>
              <w:t>1.</w:t>
              <w:tab/>
              <w:t xml:space="preserve"> If the </w:t>
            </w:r>
            <w:r>
              <w:rPr>
                <w:rFonts w:ascii="Arial" w:hAnsi="Arial"/>
                <w:kern w:val="2"/>
                <w:sz w:val="20"/>
                <w:szCs w:val="20"/>
              </w:rPr>
              <w:t>network</w:t>
            </w:r>
            <w:r>
              <w:rPr>
                <w:rFonts w:ascii="Arial" w:hAnsi="Arial"/>
                <w:kern w:val="0"/>
                <w:sz w:val="20"/>
                <w:szCs w:val="20"/>
              </w:rPr>
              <w:t xml:space="preserve"> is implemented according to the CR and the UE is not, there is no inter-operability issue. </w:t>
            </w:r>
          </w:p>
          <w:p>
            <w:pPr>
              <w:pStyle w:val="Normal"/>
              <w:bidi w:val="0"/>
              <w:spacing w:before="0" w:after="0"/>
              <w:ind w:left="100"/>
              <w:jc w:val="left"/>
              <w:rPr>
                <w:rFonts w:ascii="Arial" w:hAnsi="Arial"/>
              </w:rPr>
            </w:pPr>
            <w:r>
              <w:rPr>
                <w:rFonts w:ascii="Arial" w:hAnsi="Arial"/>
                <w:kern w:val="0"/>
                <w:sz w:val="20"/>
                <w:szCs w:val="20"/>
              </w:rPr>
            </w:r>
          </w:p>
          <w:p>
            <w:pPr>
              <w:pStyle w:val="Normal"/>
              <w:bidi w:val="0"/>
              <w:spacing w:before="0" w:after="0"/>
              <w:ind w:left="100"/>
              <w:jc w:val="left"/>
              <w:rPr>
                <w:rFonts w:ascii="Arial" w:hAnsi="Arial"/>
              </w:rPr>
            </w:pPr>
            <w:r>
              <w:rPr>
                <w:rFonts w:ascii="Arial" w:hAnsi="Arial"/>
                <w:kern w:val="0"/>
                <w:sz w:val="20"/>
                <w:szCs w:val="20"/>
              </w:rPr>
              <w:t>2.</w:t>
              <w:tab/>
              <w:t xml:space="preserve"> If the UE is </w:t>
            </w:r>
            <w:r>
              <w:rPr>
                <w:rFonts w:ascii="Arial" w:hAnsi="Arial"/>
                <w:kern w:val="2"/>
                <w:sz w:val="20"/>
                <w:szCs w:val="20"/>
              </w:rPr>
              <w:t>implemented</w:t>
            </w:r>
            <w:r>
              <w:rPr>
                <w:rFonts w:ascii="Arial" w:hAnsi="Arial"/>
                <w:kern w:val="0"/>
                <w:sz w:val="20"/>
                <w:szCs w:val="20"/>
              </w:rPr>
              <w:t xml:space="preserve"> according to the CR and the network is not, there is no inter-operability issue.</w:t>
            </w:r>
          </w:p>
          <w:p>
            <w:pPr>
              <w:pStyle w:val="CRCoverPage"/>
              <w:bidi w:val="0"/>
              <w:spacing w:before="0" w:after="0"/>
              <w:jc w:val="left"/>
              <w:rPr>
                <w:kern w:val="0"/>
                <w:sz w:val="20"/>
                <w:szCs w:val="20"/>
              </w:rPr>
            </w:pPr>
            <w:r>
              <w:rPr>
                <w:kern w:val="0"/>
                <w:sz w:val="20"/>
                <w:szCs w:val="20"/>
              </w:rPr>
            </w:r>
          </w:p>
        </w:tc>
      </w:tr>
    </w:tbl>
    <w:p>
      <w:pPr>
        <w:pStyle w:val="ListParagraph"/>
        <w:bidi w:val="0"/>
        <w:ind w:left="0"/>
        <w:jc w:val="left"/>
        <w:rPr>
          <w:rFonts w:ascii="Times New Roman" w:hAnsi="Times New Roman" w:eastAsia="宋体"/>
          <w:sz w:val="20"/>
          <w:szCs w:val="20"/>
          <w:lang w:val="en-US" w:eastAsia="zh-CN"/>
        </w:rPr>
      </w:pPr>
      <w:r>
        <w:rPr>
          <w:rFonts w:eastAsia="宋体" w:ascii="Times New Roman" w:hAnsi="Times New Roman"/>
          <w:sz w:val="20"/>
          <w:szCs w:val="20"/>
          <w:lang w:val="en-US" w:eastAsia="zh-CN"/>
        </w:rPr>
      </w:r>
    </w:p>
    <w:p>
      <w:pPr>
        <w:pStyle w:val="Normal"/>
        <w:bidi w:val="0"/>
        <w:jc w:val="left"/>
        <w:rPr>
          <w:lang w:val="en-US" w:eastAsia="zh-CN"/>
        </w:rPr>
      </w:pPr>
      <w:r>
        <w:rPr>
          <w:b/>
          <w:bCs/>
          <w:lang w:val="en-US" w:eastAsia="zh-CN"/>
        </w:rPr>
        <w:t>Rapporteur’s comments:</w:t>
      </w:r>
      <w:r>
        <w:rPr>
          <w:lang w:val="en-US" w:eastAsia="zh-CN"/>
        </w:rPr>
        <w:t xml:space="preserve"> </w:t>
      </w:r>
    </w:p>
    <w:p>
      <w:pPr>
        <w:pStyle w:val="Normal"/>
        <w:bidi w:val="0"/>
        <w:jc w:val="left"/>
        <w:rPr>
          <w:lang w:val="en-US" w:eastAsia="zh-CN"/>
        </w:rPr>
      </w:pPr>
      <w:r>
        <w:rPr>
          <w:lang w:val="en-US" w:eastAsia="zh-CN"/>
        </w:rPr>
        <w:t>This CR is taken as a baseline for the 37.340 CR review. The first change was withdrawn in the draft CR based on the comment received offline. Companies are invited to provide comments in the following table or insert your comments via bubble comment in the draft CR in the ftp folder, if any.</w:t>
      </w:r>
    </w:p>
    <w:p>
      <w:pPr>
        <w:pStyle w:val="Normal"/>
        <w:bidi w:val="0"/>
        <w:jc w:val="left"/>
        <w:rPr>
          <w:lang w:val="en-US" w:eastAsia="zh-CN"/>
        </w:rPr>
      </w:pPr>
      <w:r>
        <w:rPr>
          <w:lang w:val="en-US" w:eastAsia="zh-CN"/>
        </w:rPr>
      </w:r>
    </w:p>
    <w:p>
      <w:pPr>
        <w:pStyle w:val="Normal"/>
        <w:bidi w:val="0"/>
        <w:snapToGrid w:val="false"/>
        <w:spacing w:before="0" w:after="120"/>
        <w:jc w:val="left"/>
        <w:rPr>
          <w:rFonts w:ascii="Arial" w:hAnsi="Arial" w:cs="Arial"/>
          <w:b/>
        </w:rPr>
      </w:pPr>
      <w:r>
        <w:rPr>
          <w:rFonts w:cs="Arial" w:ascii="Arial" w:hAnsi="Arial"/>
          <w:b/>
        </w:rPr>
        <w:t>Q</w:t>
      </w:r>
      <w:r>
        <w:rPr>
          <w:rFonts w:eastAsia="宋体" w:cs="Arial" w:ascii="Arial" w:hAnsi="Arial"/>
          <w:b/>
          <w:lang w:val="en-US" w:eastAsia="zh-CN"/>
        </w:rPr>
        <w:t>3</w:t>
      </w:r>
      <w:r>
        <w:rPr>
          <w:rFonts w:cs="Arial" w:ascii="Arial" w:hAnsi="Arial"/>
          <w:b/>
        </w:rPr>
        <w:t xml:space="preserve">: </w:t>
      </w:r>
      <w:r>
        <w:rPr>
          <w:rFonts w:cs="Arial" w:ascii="Arial" w:hAnsi="Arial"/>
          <w:b/>
          <w:lang w:val="en-US" w:eastAsia="zh-CN"/>
        </w:rPr>
        <w:t>Do companies agree the proposed changes in R2-2400310</w:t>
      </w:r>
      <w:r>
        <w:rPr>
          <w:rFonts w:cs="Arial" w:ascii="Arial" w:hAnsi="Arial"/>
          <w:b/>
        </w:rPr>
        <w:t>?</w:t>
      </w:r>
    </w:p>
    <w:tbl>
      <w:tblPr>
        <w:tblStyle w:val="157"/>
        <w:tblW w:w="9632" w:type="dxa"/>
        <w:jc w:val="left"/>
        <w:tblInd w:w="0" w:type="dxa"/>
        <w:tblLayout w:type="fixed"/>
        <w:tblCellMar>
          <w:top w:w="0" w:type="dxa"/>
          <w:left w:w="108" w:type="dxa"/>
          <w:bottom w:w="0" w:type="dxa"/>
          <w:right w:w="108" w:type="dxa"/>
        </w:tblCellMar>
      </w:tblPr>
      <w:tblGrid>
        <w:gridCol w:w="2263"/>
        <w:gridCol w:w="1701"/>
        <w:gridCol w:w="5668"/>
      </w:tblGrid>
      <w:tr>
        <w:trPr/>
        <w:tc>
          <w:tcPr>
            <w:tcW w:w="2263" w:type="dxa"/>
            <w:tcBorders>
              <w:top w:val="single" w:sz="4" w:space="0" w:color="000000"/>
              <w:left w:val="single" w:sz="4" w:space="0" w:color="000000"/>
              <w:bottom w:val="single" w:sz="4" w:space="0" w:color="000000"/>
              <w:right w:val="nil"/>
            </w:tcBorders>
            <w:shd w:color="auto" w:fill="BDD6EE" w:themeFill="accent5" w:themeFillTint="66" w:val="clear"/>
          </w:tcPr>
          <w:p>
            <w:pPr>
              <w:pStyle w:val="BodyText"/>
              <w:bidi w:val="0"/>
              <w:spacing w:before="0" w:after="120"/>
              <w:rPr>
                <w:b w:val="false"/>
                <w:bCs w:val="false"/>
                <w:color w:themeColor="background1" w:val="FFFFFF"/>
                <w:lang w:val="en-US"/>
                <w14:textFill>
                  <w14:solidFill>
                    <w14:schemeClr w14:val="bg1"/>
                  </w14:solidFill>
                </w14:textFill>
              </w:rPr>
            </w:pPr>
            <w:r>
              <w:rPr>
                <w:b/>
                <w:bCs/>
                <w:color w:val="auto"/>
                <w:kern w:val="0"/>
                <w:sz w:val="20"/>
                <w:szCs w:val="20"/>
                <w:lang w:val="en-US"/>
              </w:rPr>
              <w:t>Company</w:t>
            </w:r>
          </w:p>
        </w:tc>
        <w:tc>
          <w:tcPr>
            <w:tcW w:w="1701" w:type="dxa"/>
            <w:tcBorders>
              <w:top w:val="single" w:sz="4" w:space="0" w:color="000000"/>
              <w:left w:val="single" w:sz="4" w:space="0" w:color="000000"/>
              <w:bottom w:val="single" w:sz="4" w:space="0" w:color="000000"/>
              <w:right w:val="nil"/>
            </w:tcBorders>
            <w:shd w:color="auto" w:fill="BDD6EE" w:themeFill="accent5" w:themeFillTint="66" w:val="clear"/>
          </w:tcPr>
          <w:p>
            <w:pPr>
              <w:pStyle w:val="BodyText"/>
              <w:bidi w:val="0"/>
              <w:spacing w:before="0" w:after="120"/>
              <w:rPr>
                <w:rFonts w:eastAsia="宋体"/>
                <w:b/>
                <w:bCs/>
                <w:color w:themeColor="background1" w:val="FFFFFF"/>
                <w:lang w:val="en-US"/>
                <w14:textFill>
                  <w14:solidFill>
                    <w14:schemeClr w14:val="bg1"/>
                  </w14:solidFill>
                </w14:textFill>
              </w:rPr>
            </w:pPr>
            <w:r>
              <w:rPr>
                <w:rFonts w:eastAsia="宋体"/>
                <w:b/>
                <w:bCs/>
                <w:color w:val="auto"/>
                <w:kern w:val="0"/>
                <w:sz w:val="20"/>
                <w:szCs w:val="20"/>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tcPr>
          <w:p>
            <w:pPr>
              <w:pStyle w:val="BodyText"/>
              <w:bidi w:val="0"/>
              <w:spacing w:before="0" w:after="120"/>
              <w:rPr>
                <w:rFonts w:eastAsia="宋体"/>
                <w:b w:val="false"/>
                <w:bCs w:val="false"/>
                <w:color w:themeColor="background1" w:val="FFFFFF"/>
                <w:lang w:val="en-US"/>
                <w14:textFill>
                  <w14:solidFill>
                    <w14:schemeClr w14:val="bg1"/>
                  </w14:solidFill>
                </w14:textFill>
              </w:rPr>
            </w:pPr>
            <w:r>
              <w:rPr>
                <w:b/>
                <w:bCs/>
                <w:color w:val="auto"/>
                <w:kern w:val="0"/>
                <w:sz w:val="20"/>
                <w:szCs w:val="20"/>
                <w:lang w:val="en-US"/>
              </w:rPr>
              <w:t>Comment</w:t>
            </w:r>
            <w:r>
              <w:rPr>
                <w:rFonts w:eastAsia="宋体"/>
                <w:b/>
                <w:bCs/>
                <w:color w:val="auto"/>
                <w:kern w:val="0"/>
                <w:sz w:val="20"/>
                <w:szCs w:val="20"/>
                <w:lang w:val="en-US"/>
              </w:rPr>
              <w:t>s if any</w:t>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t>Partially agree</w:t>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jc w:val="left"/>
              <w:rPr>
                <w:lang w:val="en-US"/>
              </w:rPr>
            </w:pPr>
            <w:r>
              <w:rPr>
                <w:kern w:val="0"/>
                <w:sz w:val="20"/>
                <w:szCs w:val="20"/>
                <w:lang w:val="en-US"/>
              </w:rPr>
              <w:t>The revised definition has exactly the problem that it is supposed to solve, so it does not improve anything.</w:t>
            </w:r>
          </w:p>
          <w:p>
            <w:pPr>
              <w:pStyle w:val="BodyText"/>
              <w:bidi w:val="0"/>
              <w:jc w:val="left"/>
              <w:rPr>
                <w:lang w:val="en-US"/>
              </w:rPr>
            </w:pPr>
            <w:r>
              <w:rPr>
                <w:kern w:val="0"/>
                <w:sz w:val="20"/>
                <w:szCs w:val="20"/>
                <w:lang w:val="en-US"/>
              </w:rPr>
              <w:t>This is a serious problem because it can lead to misunderstandings, e.g. in the capability discussion, some companies claim that the agreement that “subsequent CPAC is only in MN format or in SN format” allows “initial CPAC” to be in MN format and “subsequent CPAC” in SN format.</w:t>
            </w:r>
          </w:p>
          <w:p>
            <w:pPr>
              <w:pStyle w:val="BodyText"/>
              <w:bidi w:val="0"/>
              <w:jc w:val="left"/>
              <w:rPr>
                <w:lang w:val="en-US"/>
              </w:rPr>
            </w:pPr>
            <w:r>
              <w:rPr>
                <w:kern w:val="0"/>
                <w:sz w:val="20"/>
                <w:szCs w:val="20"/>
                <w:lang w:val="en-US"/>
              </w:rPr>
              <w:t>Moreover, this misunderstanding is reinforced by the "subsquent" on the sequence chart in 10.10.2. Why are the execution steps duplicated and why no note on multiple executions like in 10.20?</w:t>
            </w:r>
          </w:p>
          <w:p>
            <w:pPr>
              <w:pStyle w:val="BodyText"/>
              <w:bidi w:val="0"/>
              <w:jc w:val="left"/>
              <w:rPr>
                <w:lang w:val="en-US"/>
              </w:rPr>
            </w:pPr>
            <w:r>
              <w:rPr>
                <w:kern w:val="0"/>
                <w:sz w:val="20"/>
                <w:szCs w:val="20"/>
                <w:lang w:val="en-US"/>
              </w:rPr>
              <w:t xml:space="preserve">Besides, </w:t>
            </w:r>
            <w:r>
              <w:rPr>
                <w:kern w:val="0"/>
                <w:sz w:val="20"/>
                <w:szCs w:val="20"/>
                <w:lang w:val="en-US"/>
              </w:rPr>
              <w:t xml:space="preserve">"subsequent CPAC configuration" is not defined, </w:t>
            </w:r>
            <w:r>
              <w:rPr>
                <w:kern w:val="0"/>
                <w:sz w:val="20"/>
                <w:szCs w:val="20"/>
                <w:lang w:val="en-US"/>
              </w:rPr>
              <w:t>so how can it be used in a definition?</w:t>
            </w:r>
          </w:p>
          <w:p>
            <w:pPr>
              <w:pStyle w:val="BodyText"/>
              <w:bidi w:val="0"/>
              <w:spacing w:before="0" w:after="120"/>
              <w:jc w:val="left"/>
              <w:rPr>
                <w:lang w:val="en-US"/>
              </w:rPr>
            </w:pPr>
            <w:r>
              <w:rPr>
                <w:kern w:val="0"/>
                <w:sz w:val="20"/>
                <w:szCs w:val="20"/>
                <w:lang w:val="en-US"/>
              </w:rPr>
              <w:t>In general, the current definition of CPC does not talk about preparation, so it seems to be perfectly applicable to SCPAC. Then trying to define SCAPC in a similar way looks like a dead end.</w:t>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c>
          <w:tcPr>
            <w:tcW w:w="5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bl>
    <w:p>
      <w:pPr>
        <w:pStyle w:val="ListParagraph"/>
        <w:bidi w:val="0"/>
        <w:ind w:left="0"/>
        <w:jc w:val="left"/>
        <w:rPr>
          <w:lang w:val="en-US" w:eastAsia="zh-CN"/>
        </w:rPr>
      </w:pPr>
      <w:r>
        <w:rPr>
          <w:lang w:val="en-US" w:eastAsia="zh-CN"/>
        </w:rPr>
      </w:r>
    </w:p>
    <w:p>
      <w:pPr>
        <w:pStyle w:val="Normal"/>
        <w:bidi w:val="0"/>
        <w:jc w:val="left"/>
        <w:rPr>
          <w:lang w:val="en-US" w:eastAsia="zh-CN"/>
        </w:rPr>
      </w:pPr>
      <w:r>
        <w:rPr>
          <w:lang w:val="en-US" w:eastAsia="zh-CN"/>
        </w:rPr>
      </w:r>
    </w:p>
    <w:p>
      <w:pPr>
        <w:pStyle w:val="Normal"/>
        <w:bidi w:val="0"/>
        <w:jc w:val="left"/>
        <w:rPr>
          <w:lang w:val="en-US" w:eastAsia="zh-CN"/>
        </w:rPr>
      </w:pPr>
      <w:r>
        <w:rPr>
          <w:lang w:val="en-US" w:eastAsia="zh-CN"/>
        </w:rPr>
        <w:t>The draft CR for reviewing in the ftp folder also includes the following changes to reflect the conclusion in the RAN3 LS and agreement in this meeting.</w:t>
      </w:r>
    </w:p>
    <w:tbl>
      <w:tblPr>
        <w:tblStyle w:val="51"/>
        <w:tblW w:w="9645" w:type="dxa"/>
        <w:jc w:val="left"/>
        <w:tblInd w:w="42" w:type="dxa"/>
        <w:tblLayout w:type="fixed"/>
        <w:tblCellMar>
          <w:top w:w="0" w:type="dxa"/>
          <w:left w:w="42" w:type="dxa"/>
          <w:bottom w:w="0" w:type="dxa"/>
          <w:right w:w="42" w:type="dxa"/>
        </w:tblCellMar>
      </w:tblPr>
      <w:tblGrid>
        <w:gridCol w:w="2694"/>
        <w:gridCol w:w="6950"/>
      </w:tblGrid>
      <w:tr>
        <w:trPr/>
        <w:tc>
          <w:tcPr>
            <w:tcW w:w="2694" w:type="dxa"/>
            <w:tcBorders>
              <w:top w:val="single" w:sz="4" w:space="0" w:color="000000"/>
              <w:left w:val="single" w:sz="4" w:space="0" w:color="000000"/>
            </w:tcBorders>
            <w:shd w:color="auto" w:fill="auto" w:val="clear"/>
          </w:tcPr>
          <w:p>
            <w:pPr>
              <w:pStyle w:val="NormalWeb"/>
              <w:tabs>
                <w:tab w:val="clear" w:pos="567"/>
                <w:tab w:val="right" w:pos="2184" w:leader="none"/>
              </w:tabs>
              <w:bidi w:val="0"/>
              <w:spacing w:before="0" w:after="0"/>
              <w:jc w:val="left"/>
              <w:rPr>
                <w:rFonts w:ascii="Arial" w:hAnsi="Arial" w:cs="Arial"/>
                <w:b/>
                <w:i/>
                <w:i/>
                <w:sz w:val="20"/>
                <w:lang w:val="en-US"/>
              </w:rPr>
            </w:pPr>
            <w:r>
              <w:rPr>
                <w:rFonts w:eastAsia="宋体" w:cs="Arial" w:ascii="Arial" w:hAnsi="Arial"/>
                <w:b/>
                <w:i/>
                <w:kern w:val="0"/>
                <w:sz w:val="20"/>
                <w:szCs w:val="20"/>
                <w:lang w:val="en-US" w:eastAsia="zh-CN" w:bidi="ar-SA"/>
              </w:rPr>
              <w:t>Reason for change:</w:t>
            </w:r>
          </w:p>
        </w:tc>
        <w:tc>
          <w:tcPr>
            <w:tcW w:w="6950" w:type="dxa"/>
            <w:tcBorders>
              <w:top w:val="single" w:sz="4" w:space="0" w:color="000000"/>
              <w:right w:val="single" w:sz="4" w:space="0" w:color="000000"/>
            </w:tcBorders>
            <w:shd w:color="FFFF00" w:fill="auto" w:val="pct30"/>
          </w:tcPr>
          <w:p>
            <w:pPr>
              <w:pStyle w:val="NormalWeb"/>
              <w:bidi w:val="0"/>
              <w:spacing w:before="0" w:after="0"/>
              <w:ind w:left="460"/>
              <w:jc w:val="left"/>
              <w:rPr>
                <w:rFonts w:ascii="Arial" w:hAnsi="Arial" w:cs="Arial"/>
                <w:sz w:val="20"/>
                <w:lang w:val="en-US"/>
              </w:rPr>
            </w:pPr>
            <w:r>
              <w:rPr>
                <w:rFonts w:cs="Arial" w:ascii="Arial" w:hAnsi="Arial"/>
                <w:kern w:val="0"/>
                <w:sz w:val="20"/>
                <w:szCs w:val="20"/>
                <w:lang w:val="en-US"/>
              </w:rPr>
            </w:r>
          </w:p>
          <w:p>
            <w:pPr>
              <w:pStyle w:val="NormalWeb"/>
              <w:bidi w:val="0"/>
              <w:spacing w:before="0" w:after="0"/>
              <w:ind w:left="100"/>
              <w:jc w:val="left"/>
              <w:rPr>
                <w:rFonts w:ascii="Arial" w:hAnsi="Arial" w:cs="Arial"/>
                <w:sz w:val="20"/>
                <w:lang w:val="en-US"/>
              </w:rPr>
            </w:pPr>
            <w:r>
              <w:rPr>
                <w:rFonts w:eastAsia="宋体" w:cs="Arial" w:ascii="Arial" w:hAnsi="Arial"/>
                <w:kern w:val="0"/>
                <w:sz w:val="20"/>
                <w:szCs w:val="20"/>
                <w:lang w:val="en-US" w:eastAsia="zh-CN" w:bidi="ar-SA"/>
              </w:rPr>
              <w:t>To reflect the following conclusion/agreement:</w:t>
            </w:r>
          </w:p>
          <w:p>
            <w:pPr>
              <w:pStyle w:val="NormalWeb"/>
              <w:numPr>
                <w:ilvl w:val="0"/>
                <w:numId w:val="18"/>
              </w:numPr>
              <w:bidi w:val="0"/>
              <w:spacing w:before="0" w:after="0"/>
              <w:ind w:hanging="360" w:left="460"/>
              <w:jc w:val="left"/>
              <w:rPr>
                <w:rFonts w:ascii="Arial" w:hAnsi="Arial" w:cs="Arial"/>
                <w:sz w:val="20"/>
                <w:lang w:val="en-US"/>
              </w:rPr>
            </w:pPr>
            <w:r>
              <w:rPr>
                <w:rFonts w:eastAsia="宋体" w:cs="Arial" w:ascii="Arial" w:hAnsi="Arial"/>
                <w:kern w:val="0"/>
                <w:sz w:val="20"/>
                <w:szCs w:val="20"/>
                <w:lang w:val="en-US" w:eastAsia="zh-CN" w:bidi="ar-SA"/>
              </w:rPr>
              <w:t>In Rel18 for the same UE,</w:t>
            </w:r>
            <w:r>
              <w:rPr>
                <w:rFonts w:eastAsia="宋体" w:cs="Arial" w:ascii="Arial" w:hAnsi="Arial"/>
                <w:kern w:val="0"/>
                <w:sz w:val="20"/>
                <w:szCs w:val="20"/>
                <w:lang w:val="en-US" w:eastAsia="zh-CN" w:bidi="ar-SA"/>
              </w:rPr>
              <w:t xml:space="preserve"> coexistence of subsequent CPAC and legacy CPAC is supported in different candidate SNs, however, </w:t>
            </w:r>
            <w:r>
              <w:rPr>
                <w:rFonts w:eastAsia="宋体" w:cs="Arial" w:ascii="Arial" w:hAnsi="Arial"/>
                <w:kern w:val="0"/>
                <w:sz w:val="20"/>
                <w:szCs w:val="20"/>
                <w:highlight w:val="green"/>
                <w:lang w:val="en-US" w:eastAsia="zh-CN" w:bidi="ar-SA"/>
              </w:rPr>
              <w:t>coexistence of SCPAC and legacy CPAC in the same candidate SN is not supported.</w:t>
            </w:r>
          </w:p>
          <w:p>
            <w:pPr>
              <w:pStyle w:val="NormalWeb"/>
              <w:bidi w:val="0"/>
              <w:spacing w:before="0" w:after="0"/>
              <w:jc w:val="left"/>
              <w:rPr>
                <w:rFonts w:ascii="Arial" w:hAnsi="Arial" w:cs="Arial"/>
                <w:sz w:val="20"/>
                <w:lang w:val="en-US"/>
              </w:rPr>
            </w:pPr>
            <w:r>
              <w:rPr>
                <w:rFonts w:cs="Arial" w:ascii="Arial" w:hAnsi="Arial"/>
                <w:kern w:val="0"/>
                <w:sz w:val="20"/>
                <w:szCs w:val="20"/>
                <w:lang w:val="en-US"/>
              </w:rPr>
            </w:r>
          </w:p>
          <w:p>
            <w:pPr>
              <w:pStyle w:val="NormalWeb"/>
              <w:numPr>
                <w:ilvl w:val="0"/>
                <w:numId w:val="18"/>
              </w:numPr>
              <w:bidi w:val="0"/>
              <w:spacing w:before="0" w:after="0"/>
              <w:ind w:hanging="360" w:left="460"/>
              <w:jc w:val="left"/>
              <w:rPr>
                <w:rFonts w:ascii="Arial" w:hAnsi="Arial" w:cs="Arial"/>
                <w:sz w:val="20"/>
                <w:lang w:val="en-US"/>
              </w:rPr>
            </w:pPr>
            <w:r>
              <w:rPr>
                <w:rFonts w:eastAsia="宋体" w:cs="Arial" w:ascii="Arial" w:hAnsi="Arial"/>
                <w:kern w:val="0"/>
                <w:sz w:val="20"/>
                <w:szCs w:val="20"/>
                <w:lang w:val="en-US" w:eastAsia="zh-CN" w:bidi="ar-SA"/>
              </w:rPr>
              <w:t>UE stops evaluating cand cell for which execution condition is not provided (but configurations are kept).</w:t>
            </w:r>
          </w:p>
        </w:tc>
      </w:tr>
      <w:tr>
        <w:trPr/>
        <w:tc>
          <w:tcPr>
            <w:tcW w:w="2694" w:type="dxa"/>
            <w:tcBorders>
              <w:left w:val="single" w:sz="4" w:space="0" w:color="000000"/>
            </w:tcBorders>
            <w:shd w:color="auto" w:fill="auto" w:val="clear"/>
          </w:tcPr>
          <w:p>
            <w:pPr>
              <w:pStyle w:val="NormalWeb"/>
              <w:bidi w:val="0"/>
              <w:spacing w:before="0" w:after="0"/>
              <w:jc w:val="left"/>
              <w:rPr>
                <w:rFonts w:ascii="Arial" w:hAnsi="Arial" w:cs="Arial"/>
                <w:b/>
                <w:i/>
                <w:i/>
                <w:sz w:val="20"/>
                <w:lang w:val="en-US"/>
              </w:rPr>
            </w:pPr>
            <w:r>
              <w:rPr>
                <w:rFonts w:cs="Arial" w:ascii="Arial" w:hAnsi="Arial"/>
                <w:b/>
                <w:i/>
                <w:kern w:val="0"/>
                <w:sz w:val="20"/>
                <w:szCs w:val="20"/>
                <w:lang w:val="en-US"/>
              </w:rPr>
            </w:r>
          </w:p>
        </w:tc>
        <w:tc>
          <w:tcPr>
            <w:tcW w:w="6950" w:type="dxa"/>
            <w:tcBorders>
              <w:right w:val="single" w:sz="4" w:space="0" w:color="000000"/>
            </w:tcBorders>
            <w:shd w:color="auto" w:fill="auto" w:val="clear"/>
          </w:tcPr>
          <w:p>
            <w:pPr>
              <w:pStyle w:val="NormalWeb"/>
              <w:bidi w:val="0"/>
              <w:spacing w:before="0" w:after="0"/>
              <w:jc w:val="left"/>
              <w:rPr>
                <w:rFonts w:ascii="Arial" w:hAnsi="Arial" w:cs="Arial"/>
                <w:sz w:val="20"/>
                <w:lang w:val="en-US"/>
              </w:rPr>
            </w:pPr>
            <w:r>
              <w:rPr>
                <w:rFonts w:cs="Arial" w:ascii="Arial" w:hAnsi="Arial"/>
                <w:kern w:val="0"/>
                <w:sz w:val="20"/>
                <w:szCs w:val="20"/>
                <w:lang w:val="en-US"/>
              </w:rPr>
            </w:r>
          </w:p>
        </w:tc>
      </w:tr>
      <w:tr>
        <w:trPr/>
        <w:tc>
          <w:tcPr>
            <w:tcW w:w="2694" w:type="dxa"/>
            <w:tcBorders>
              <w:left w:val="single" w:sz="4" w:space="0" w:color="000000"/>
            </w:tcBorders>
            <w:shd w:color="auto" w:fill="auto" w:val="clear"/>
          </w:tcPr>
          <w:p>
            <w:pPr>
              <w:pStyle w:val="NormalWeb"/>
              <w:tabs>
                <w:tab w:val="clear" w:pos="567"/>
                <w:tab w:val="right" w:pos="2184" w:leader="none"/>
              </w:tabs>
              <w:bidi w:val="0"/>
              <w:spacing w:before="0" w:after="0"/>
              <w:jc w:val="left"/>
              <w:rPr>
                <w:rFonts w:ascii="Arial" w:hAnsi="Arial" w:cs="Arial"/>
                <w:b/>
                <w:i/>
                <w:i/>
                <w:sz w:val="20"/>
                <w:lang w:val="en-US"/>
              </w:rPr>
            </w:pPr>
            <w:r>
              <w:rPr>
                <w:rFonts w:eastAsia="宋体" w:cs="Arial" w:ascii="Arial" w:hAnsi="Arial"/>
                <w:b/>
                <w:i/>
                <w:kern w:val="0"/>
                <w:sz w:val="20"/>
                <w:szCs w:val="20"/>
                <w:lang w:val="en-US" w:eastAsia="zh-CN" w:bidi="ar-SA"/>
              </w:rPr>
              <w:t>Summary of change:</w:t>
            </w:r>
          </w:p>
        </w:tc>
        <w:tc>
          <w:tcPr>
            <w:tcW w:w="6950" w:type="dxa"/>
            <w:tcBorders>
              <w:right w:val="single" w:sz="4" w:space="0" w:color="000000"/>
            </w:tcBorders>
            <w:shd w:color="FFFF00" w:fill="auto" w:val="pct30"/>
          </w:tcPr>
          <w:p>
            <w:pPr>
              <w:pStyle w:val="NormalWeb"/>
              <w:numPr>
                <w:ilvl w:val="0"/>
                <w:numId w:val="17"/>
              </w:numPr>
              <w:bidi w:val="0"/>
              <w:spacing w:before="0" w:after="0"/>
              <w:jc w:val="left"/>
              <w:rPr>
                <w:rFonts w:ascii="Arial" w:hAnsi="Arial" w:cs="Arial"/>
                <w:sz w:val="20"/>
                <w:lang w:val="en-US"/>
              </w:rPr>
            </w:pPr>
            <w:r>
              <w:rPr>
                <w:rFonts w:eastAsia="宋体" w:cs="Arial" w:ascii="Arial" w:hAnsi="Arial"/>
                <w:kern w:val="0"/>
                <w:sz w:val="20"/>
                <w:szCs w:val="20"/>
                <w:lang w:val="en-US" w:eastAsia="zh-CN" w:bidi="ar-SA"/>
              </w:rPr>
              <w:t>Add “Coexistence of CPAC and subsequent CPAC for the same candidate SN is not supported”</w:t>
            </w:r>
            <w:bookmarkStart w:id="5" w:name="_GoBack"/>
            <w:bookmarkEnd w:id="5"/>
            <w:r>
              <w:rPr>
                <w:rFonts w:eastAsia="宋体" w:cs="Arial" w:ascii="Arial" w:hAnsi="Arial"/>
                <w:kern w:val="0"/>
                <w:sz w:val="20"/>
                <w:szCs w:val="20"/>
                <w:lang w:val="en-US" w:eastAsia="zh-CN" w:bidi="ar-SA"/>
              </w:rPr>
              <w:t xml:space="preserve"> in section 10.1.</w:t>
            </w:r>
          </w:p>
          <w:p>
            <w:pPr>
              <w:pStyle w:val="NormalWeb"/>
              <w:numPr>
                <w:ilvl w:val="0"/>
                <w:numId w:val="17"/>
              </w:numPr>
              <w:bidi w:val="0"/>
              <w:spacing w:before="0" w:after="0"/>
              <w:jc w:val="left"/>
              <w:rPr>
                <w:rFonts w:ascii="Arial" w:hAnsi="Arial" w:cs="Arial"/>
                <w:sz w:val="20"/>
                <w:lang w:val="en-US"/>
              </w:rPr>
            </w:pPr>
            <w:r>
              <w:rPr>
                <w:rFonts w:eastAsia="宋体" w:cs="Arial" w:ascii="Arial" w:hAnsi="Arial"/>
                <w:kern w:val="0"/>
                <w:sz w:val="20"/>
                <w:szCs w:val="20"/>
                <w:lang w:val="en-US" w:eastAsia="zh-CN" w:bidi="ar-SA"/>
              </w:rPr>
              <w:t>Add “(if provided for the following execution of subsequent CPAC)” to clarify the evaluation of execution condition after completion of a PSCell addition, a PSCell change, a PCell change or an SCG release in section 10.20.</w:t>
            </w:r>
          </w:p>
          <w:p>
            <w:pPr>
              <w:pStyle w:val="NormalWeb"/>
              <w:bidi w:val="0"/>
              <w:spacing w:before="0" w:after="0"/>
              <w:jc w:val="left"/>
              <w:rPr>
                <w:rFonts w:ascii="Arial" w:hAnsi="Arial" w:cs="Arial"/>
                <w:sz w:val="20"/>
                <w:lang w:val="en-US"/>
              </w:rPr>
            </w:pPr>
            <w:r>
              <w:rPr>
                <w:rFonts w:cs="Arial" w:ascii="Arial" w:hAnsi="Arial"/>
                <w:kern w:val="0"/>
                <w:sz w:val="20"/>
                <w:szCs w:val="20"/>
                <w:lang w:val="en-US"/>
              </w:rPr>
            </w:r>
          </w:p>
        </w:tc>
      </w:tr>
    </w:tbl>
    <w:p>
      <w:pPr>
        <w:pStyle w:val="Normal"/>
        <w:bidi w:val="0"/>
        <w:jc w:val="left"/>
        <w:rPr>
          <w:lang w:val="en-US" w:eastAsia="zh-CN"/>
        </w:rPr>
      </w:pPr>
      <w:r>
        <w:rPr>
          <w:lang w:val="en-US" w:eastAsia="zh-CN"/>
        </w:rPr>
      </w:r>
    </w:p>
    <w:p>
      <w:pPr>
        <w:pStyle w:val="Normal"/>
        <w:bidi w:val="0"/>
        <w:jc w:val="left"/>
        <w:rPr>
          <w:lang w:val="en-US" w:eastAsia="zh-CN"/>
        </w:rPr>
      </w:pPr>
      <w:r>
        <w:rPr>
          <w:lang w:val="en-US" w:eastAsia="zh-CN"/>
        </w:rPr>
        <w:t xml:space="preserve">If companies have any comments on the new changes or companies identify any other changes missing in the current draft CR, please provide your comments in the following table or insert your comments via bubble comment in the draft CR. </w:t>
      </w:r>
    </w:p>
    <w:p>
      <w:pPr>
        <w:pStyle w:val="Normal"/>
        <w:bidi w:val="0"/>
        <w:snapToGrid w:val="false"/>
        <w:spacing w:before="0" w:after="120"/>
        <w:jc w:val="left"/>
        <w:rPr>
          <w:rFonts w:ascii="Arial" w:hAnsi="Arial" w:cs="Arial"/>
          <w:b/>
        </w:rPr>
      </w:pPr>
      <w:r>
        <w:rPr>
          <w:rFonts w:cs="Arial" w:ascii="Arial" w:hAnsi="Arial"/>
          <w:b/>
        </w:rPr>
        <w:t>Q</w:t>
      </w:r>
      <w:r>
        <w:rPr>
          <w:rFonts w:eastAsia="宋体" w:cs="Arial" w:ascii="Arial" w:hAnsi="Arial"/>
          <w:b/>
          <w:lang w:val="en-US" w:eastAsia="zh-CN"/>
        </w:rPr>
        <w:t>4</w:t>
      </w:r>
      <w:r>
        <w:rPr>
          <w:rFonts w:cs="Arial" w:ascii="Arial" w:hAnsi="Arial"/>
          <w:b/>
        </w:rPr>
        <w:t xml:space="preserve">: </w:t>
      </w:r>
      <w:r>
        <w:rPr>
          <w:rFonts w:cs="Arial" w:ascii="Arial" w:hAnsi="Arial"/>
          <w:b/>
          <w:lang w:val="en-US" w:eastAsia="zh-CN"/>
        </w:rPr>
        <w:t>Any other comments</w:t>
      </w:r>
      <w:r>
        <w:rPr>
          <w:rFonts w:cs="Arial" w:ascii="Arial" w:hAnsi="Arial"/>
          <w:b/>
        </w:rPr>
        <w:t>?</w:t>
      </w:r>
    </w:p>
    <w:tbl>
      <w:tblPr>
        <w:tblStyle w:val="157"/>
        <w:tblW w:w="9554" w:type="dxa"/>
        <w:jc w:val="left"/>
        <w:tblInd w:w="0" w:type="dxa"/>
        <w:tblLayout w:type="fixed"/>
        <w:tblCellMar>
          <w:top w:w="0" w:type="dxa"/>
          <w:left w:w="108" w:type="dxa"/>
          <w:bottom w:w="0" w:type="dxa"/>
          <w:right w:w="108" w:type="dxa"/>
        </w:tblCellMar>
      </w:tblPr>
      <w:tblGrid>
        <w:gridCol w:w="2263"/>
        <w:gridCol w:w="7290"/>
      </w:tblGrid>
      <w:tr>
        <w:trPr/>
        <w:tc>
          <w:tcPr>
            <w:tcW w:w="2263" w:type="dxa"/>
            <w:tcBorders>
              <w:top w:val="single" w:sz="4" w:space="0" w:color="000000"/>
              <w:left w:val="single" w:sz="4" w:space="0" w:color="000000"/>
              <w:bottom w:val="single" w:sz="4" w:space="0" w:color="000000"/>
              <w:right w:val="nil"/>
            </w:tcBorders>
            <w:shd w:color="auto" w:fill="BDD6EE" w:themeFill="accent5" w:themeFillTint="66" w:val="clear"/>
          </w:tcPr>
          <w:p>
            <w:pPr>
              <w:pStyle w:val="BodyText"/>
              <w:bidi w:val="0"/>
              <w:spacing w:before="0" w:after="120"/>
              <w:rPr>
                <w:b w:val="false"/>
                <w:bCs w:val="false"/>
                <w:color w:themeColor="background1" w:val="FFFFFF"/>
                <w:lang w:val="en-US"/>
                <w14:textFill>
                  <w14:solidFill>
                    <w14:schemeClr w14:val="bg1"/>
                  </w14:solidFill>
                </w14:textFill>
              </w:rPr>
            </w:pPr>
            <w:r>
              <w:rPr>
                <w:b/>
                <w:bCs/>
                <w:color w:val="auto"/>
                <w:kern w:val="0"/>
                <w:sz w:val="20"/>
                <w:szCs w:val="20"/>
                <w:lang w:val="en-US"/>
              </w:rPr>
              <w:t>Company</w:t>
            </w:r>
          </w:p>
        </w:tc>
        <w:tc>
          <w:tcPr>
            <w:tcW w:w="7290" w:type="dxa"/>
            <w:tcBorders>
              <w:top w:val="single" w:sz="4" w:space="0" w:color="000000"/>
              <w:left w:val="single" w:sz="4" w:space="0" w:color="000000"/>
              <w:bottom w:val="single" w:sz="4" w:space="0" w:color="000000"/>
              <w:right w:val="single" w:sz="4" w:space="0" w:color="000000"/>
            </w:tcBorders>
            <w:shd w:color="auto" w:fill="BDD6EE" w:themeFill="accent5" w:themeFillTint="66" w:val="clear"/>
          </w:tcPr>
          <w:p>
            <w:pPr>
              <w:pStyle w:val="BodyText"/>
              <w:bidi w:val="0"/>
              <w:spacing w:before="0" w:after="120"/>
              <w:rPr>
                <w:rFonts w:eastAsia="宋体"/>
                <w:b w:val="false"/>
                <w:bCs w:val="false"/>
                <w:color w:themeColor="background1" w:val="FFFFFF"/>
                <w:lang w:val="en-US"/>
                <w14:textFill>
                  <w14:solidFill>
                    <w14:schemeClr w14:val="bg1"/>
                  </w14:solidFill>
                </w14:textFill>
              </w:rPr>
            </w:pPr>
            <w:r>
              <w:rPr>
                <w:b/>
                <w:bCs/>
                <w:color w:val="auto"/>
                <w:kern w:val="0"/>
                <w:sz w:val="20"/>
                <w:szCs w:val="20"/>
                <w:lang w:val="en-US"/>
              </w:rPr>
              <w:t>Comment</w:t>
            </w:r>
            <w:r>
              <w:rPr>
                <w:rFonts w:eastAsia="宋体"/>
                <w:b/>
                <w:bCs/>
                <w:color w:val="auto"/>
                <w:kern w:val="0"/>
                <w:sz w:val="20"/>
                <w:szCs w:val="20"/>
                <w:lang w:val="en-US"/>
              </w:rPr>
              <w:t>s if any</w:t>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t>Huawei, HiSilicon</w:t>
            </w:r>
          </w:p>
        </w:tc>
        <w:tc>
          <w:tcPr>
            <w:tcW w:w="7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t>Why is is not captured that the UE cannot be configured with subsequent CPAC both in MN and in SN format? This looks equally important.</w:t>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7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7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7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r>
        <w:trPr/>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b/>
                <w:bCs/>
                <w:lang w:val="en-US"/>
              </w:rPr>
            </w:pPr>
            <w:r>
              <w:rPr>
                <w:b/>
                <w:bCs/>
                <w:kern w:val="0"/>
                <w:sz w:val="20"/>
                <w:szCs w:val="20"/>
                <w:lang w:val="en-US"/>
              </w:rPr>
            </w:r>
          </w:p>
        </w:tc>
        <w:tc>
          <w:tcPr>
            <w:tcW w:w="7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bidi w:val="0"/>
              <w:spacing w:before="0" w:after="120"/>
              <w:jc w:val="left"/>
              <w:rPr>
                <w:lang w:val="en-US"/>
              </w:rPr>
            </w:pPr>
            <w:r>
              <w:rPr>
                <w:kern w:val="0"/>
                <w:sz w:val="20"/>
                <w:szCs w:val="20"/>
                <w:lang w:val="en-US"/>
              </w:rPr>
            </w:r>
          </w:p>
        </w:tc>
      </w:tr>
    </w:tbl>
    <w:p>
      <w:pPr>
        <w:pStyle w:val="Normal"/>
        <w:bidi w:val="0"/>
        <w:jc w:val="left"/>
        <w:rPr>
          <w:lang w:val="en-US" w:eastAsia="zh-CN"/>
        </w:rPr>
      </w:pPr>
      <w:r>
        <w:rPr>
          <w:lang w:val="en-US" w:eastAsia="zh-CN"/>
        </w:rPr>
      </w:r>
    </w:p>
    <w:p>
      <w:pPr>
        <w:pStyle w:val="ListParagraph"/>
        <w:bidi w:val="0"/>
        <w:ind w:left="0"/>
        <w:jc w:val="left"/>
        <w:rPr>
          <w:lang w:val="en-US" w:eastAsia="zh-CN"/>
        </w:rPr>
      </w:pPr>
      <w:r>
        <w:rPr>
          <w:lang w:val="en-US" w:eastAsia="zh-CN"/>
        </w:rPr>
      </w:r>
    </w:p>
    <w:p>
      <w:pPr>
        <w:pStyle w:val="Heading1"/>
        <w:bidi w:val="0"/>
        <w:jc w:val="left"/>
        <w:rPr>
          <w:lang w:val="en-US"/>
        </w:rPr>
      </w:pPr>
      <w:r>
        <w:rPr>
          <w:lang w:val="en-US"/>
        </w:rPr>
        <w:t>3</w:t>
        <w:tab/>
        <w:t>Conclusion</w:t>
      </w:r>
    </w:p>
    <w:p>
      <w:pPr>
        <w:pStyle w:val="BodyText"/>
        <w:bidi w:val="0"/>
        <w:rPr>
          <w:lang w:val="en-US"/>
        </w:rPr>
      </w:pPr>
      <w:r>
        <w:rPr>
          <w:lang w:val="en-US"/>
        </w:rPr>
        <w:t>Based on the discussion in the previous sections we propose the following:</w:t>
      </w:r>
    </w:p>
    <w:p>
      <w:pPr>
        <w:pStyle w:val="Proposal"/>
        <w:numPr>
          <w:ilvl w:val="0"/>
          <w:numId w:val="0"/>
        </w:numPr>
        <w:bidi w:val="0"/>
        <w:ind w:hanging="0" w:left="0"/>
        <w:rPr>
          <w:rFonts w:eastAsia="等线" w:eastAsiaTheme="minorEastAsia"/>
          <w:lang w:val="en-US"/>
        </w:rPr>
      </w:pPr>
      <w:r>
        <w:fldChar w:fldCharType="begin"/>
      </w:r>
      <w:r>
        <w:rPr/>
        <w:instrText xml:space="preserve"> TOC \c \h \t "Proposal" </w:instrText>
      </w:r>
      <w:r>
        <w:rPr/>
        <w:fldChar w:fldCharType="separate"/>
      </w:r>
      <w:r>
        <w:rPr/>
      </w:r>
      <w:r>
        <w:rPr/>
        <w:fldChar w:fldCharType="end"/>
      </w:r>
    </w:p>
    <w:p>
      <w:pPr>
        <w:pStyle w:val="Proposal"/>
        <w:numPr>
          <w:ilvl w:val="0"/>
          <w:numId w:val="0"/>
        </w:numPr>
        <w:bidi w:val="0"/>
        <w:ind w:hanging="0" w:left="0"/>
        <w:rPr>
          <w:lang w:val="en-US"/>
        </w:rPr>
      </w:pPr>
      <w:r>
        <w:rPr>
          <w:lang w:val="en-US"/>
        </w:rPr>
      </w:r>
    </w:p>
    <w:p>
      <w:pPr>
        <w:pStyle w:val="Heading1"/>
        <w:bidi w:val="0"/>
        <w:jc w:val="left"/>
        <w:rPr>
          <w:lang w:val="en-US"/>
        </w:rPr>
      </w:pPr>
      <w:bookmarkStart w:id="6" w:name="_In-sequence_SDU_delivery"/>
      <w:bookmarkEnd w:id="6"/>
      <w:r>
        <w:rPr>
          <w:lang w:val="en-US"/>
        </w:rPr>
        <w:t>4</w:t>
        <w:tab/>
        <w:t>References</w:t>
      </w:r>
    </w:p>
    <w:p>
      <w:pPr>
        <w:pStyle w:val="Doc-title"/>
        <w:bidi w:val="0"/>
        <w:spacing w:before="60" w:after="180"/>
        <w:ind w:hanging="1259" w:left="1259"/>
        <w:jc w:val="left"/>
        <w:rPr/>
      </w:pPr>
      <w:hyperlink r:id="rId5" w:tgtFrame="C:Usersmtk65284Documents3GPPtsg_ranWG2_RL2RAN2DocsR2-2400310.zip">
        <w:r>
          <w:rPr>
            <w:rStyle w:val="Hyperlink"/>
          </w:rPr>
          <w:t>R2-2400310</w:t>
        </w:r>
      </w:hyperlink>
      <w:r>
        <w:rPr/>
        <w:tab/>
        <w:t>Miscellaneous corrections for NR further mobility enhancements in TS 37.340</w:t>
        <w:tab/>
        <w:t>ZTE Corporation, Sanechips</w:t>
        <w:tab/>
        <w:t>CR</w:t>
        <w:tab/>
        <w:t>Rel-18</w:t>
        <w:tab/>
        <w:t>37.340</w:t>
        <w:tab/>
        <w:t>18.0.0</w:t>
        <w:tab/>
        <w:t>0381</w:t>
        <w:tab/>
        <w:t>-</w:t>
        <w:tab/>
        <w:t>F</w:t>
        <w:tab/>
        <w:t>NR_Mob_enh2-Core</w:t>
      </w:r>
    </w:p>
    <w:p>
      <w:pPr>
        <w:pStyle w:val="Doc-title"/>
        <w:bidi w:val="0"/>
        <w:spacing w:before="60" w:after="180"/>
        <w:ind w:hanging="1259" w:left="1259"/>
        <w:jc w:val="left"/>
        <w:rPr/>
      </w:pPr>
      <w:hyperlink r:id="rId6" w:tgtFrame="C:Usersmtk65284Documents3GPPtsg_ranWG2_RL2RAN2DocsR2-2401140.zip">
        <w:r>
          <w:rPr>
            <w:rStyle w:val="Hyperlink"/>
          </w:rPr>
          <w:t>R2-2401140</w:t>
        </w:r>
      </w:hyperlink>
      <w:r>
        <w:rPr/>
        <w:tab/>
        <w:t>Discussion on S-CPAC and TP for TS 37.340</w:t>
        <w:tab/>
        <w:t>CMCC</w:t>
        <w:tab/>
        <w:t>discussion</w:t>
        <w:tab/>
        <w:t>Rel-18</w:t>
        <w:tab/>
        <w:t>NR_Mob_enh2-Core</w:t>
      </w:r>
    </w:p>
    <w:p>
      <w:pPr>
        <w:pStyle w:val="Doc-title"/>
        <w:bidi w:val="0"/>
        <w:spacing w:before="60" w:after="180"/>
        <w:ind w:hanging="1259" w:left="1259"/>
        <w:jc w:val="left"/>
        <w:rPr/>
      </w:pPr>
      <w:hyperlink r:id="rId7" w:tgtFrame="C:Usersmtk65284Documents3GPPtsg_ranWG2_RL2RAN2DocsR2-2401470.zip">
        <w:r>
          <w:rPr>
            <w:rStyle w:val="Hyperlink"/>
          </w:rPr>
          <w:t>R2-2401470</w:t>
        </w:r>
      </w:hyperlink>
      <w:r>
        <w:rPr/>
        <w:tab/>
        <w:t>Stage-2 corrections for SCPAC</w:t>
        <w:tab/>
        <w:t>OPPO</w:t>
        <w:tab/>
        <w:t>discussion</w:t>
        <w:tab/>
        <w:t>Rel-18</w:t>
        <w:tab/>
        <w:t>NR_Mob_enh2-Core</w:t>
        <w:tab/>
        <w:t>Late</w:t>
      </w:r>
    </w:p>
    <w:p>
      <w:pPr>
        <w:pStyle w:val="Reference"/>
        <w:numPr>
          <w:ilvl w:val="0"/>
          <w:numId w:val="0"/>
        </w:numPr>
        <w:bidi w:val="0"/>
        <w:spacing w:before="0" w:after="120"/>
        <w:ind w:hanging="0" w:left="0"/>
        <w:rPr>
          <w:rFonts w:eastAsia="宋体"/>
          <w:lang w:val="en-US"/>
        </w:rPr>
      </w:pPr>
      <w:r>
        <w:rPr>
          <w:rFonts w:eastAsia="宋体"/>
          <w:lang w:val="en-US"/>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134" w:right="1134" w:gutter="0" w:header="680" w:top="1134" w:footer="567" w:bottom="1418"/>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CG Times (WN)">
    <w:charset w:val="01"/>
    <w:family w:val="roman"/>
    <w:pitch w:val="variable"/>
  </w:font>
  <w:font w:name="Times New Roman">
    <w:charset w:val="01"/>
    <w:family w:val="roman"/>
    <w:pitch w:val="variable"/>
  </w:font>
  <w:font w:name="Arial">
    <w:charset w:val="01"/>
    <w:family w:val="swiss"/>
    <w:pitch w:val="variable"/>
  </w:font>
  <w:font w:name="Courier New">
    <w:charset w:val="01"/>
    <w:family w:val="roman"/>
    <w:pitch w:val="variable"/>
  </w:font>
  <w:font w:name="Segoe UI">
    <w:charset w:val="01"/>
    <w:family w:val="roman"/>
    <w:pitch w:val="variable"/>
  </w:font>
  <w:font w:name="Arial">
    <w:charset w:val="01"/>
    <w:family w:val="roman"/>
    <w:pitch w:val="variable"/>
  </w:font>
  <w:font w:name="Tahoma">
    <w:charset w:val="01"/>
    <w:family w:val="roman"/>
    <w:pitch w:val="variable"/>
  </w:font>
  <w:font w:name="Calibri">
    <w:charset w:val="01"/>
    <w:family w:val="roman"/>
    <w:pitch w:val="variable"/>
  </w:font>
  <w:font w:name="DejaVu Sans">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567"/>
        <w:tab w:val="center" w:pos="4820" w:leader="none"/>
        <w:tab w:val="right" w:pos="9639" w:leader="none"/>
      </w:tabs>
      <w:bidi w:val="0"/>
      <w:spacing w:before="0" w:after="180"/>
      <w:jc w:val="left"/>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567"/>
        <w:tab w:val="center" w:pos="4820" w:leader="none"/>
        <w:tab w:val="right" w:pos="9639" w:leader="none"/>
      </w:tabs>
      <w:bidi w:val="0"/>
      <w:spacing w:before="0" w:after="180"/>
      <w:jc w:val="left"/>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overflowPunct w:val="true"/>
      <w:bidi w:val="0"/>
      <w:spacing w:before="0" w:after="180"/>
      <w:jc w:val="left"/>
      <w:textAlignment w:val="baseline"/>
      <w:rPr/>
    </w:pPr>
    <w:r>
      <w:rPr/>
      <w:t xml:space="preserve">Page </w:t>
    </w:r>
    <w:r>
      <w:rPr/>
      <w:fldChar w:fldCharType="begin"/>
    </w:r>
    <w:r>
      <w:rPr/>
      <w:instrText xml:space="preserve"> PAGE </w:instrText>
    </w:r>
    <w:r>
      <w:rPr/>
      <w:fldChar w:fldCharType="separate"/>
    </w:r>
    <w:r>
      <w:rPr/>
      <w:t>0</w:t>
    </w:r>
    <w:r>
      <w:rPr/>
      <w:fldChar w:fldCharType="end"/>
    </w:r>
    <w:r>
      <w:rPr/>
      <w:br/>
      <w:t>Draft prETS 300 ???: Month YYYY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overflowPunct w:val="true"/>
      <w:bidi w:val="0"/>
      <w:spacing w:before="0" w:after="180"/>
      <w:jc w:val="left"/>
      <w:textAlignment w:val="baseli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overflowPunct w:val="true"/>
      <w:bidi w:val="0"/>
      <w:spacing w:before="0" w:after="180"/>
      <w:jc w:val="left"/>
      <w:textAlignment w:val="baseli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decimal"/>
      <w:lvlText w:val="%1."/>
      <w:lvlJc w:val="left"/>
      <w:pPr>
        <w:tabs>
          <w:tab w:val="num" w:pos="0"/>
        </w:tabs>
        <w:ind w:left="1004" w:hanging="360"/>
      </w:pPr>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3">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4">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7">
    <w:lvl w:ilvl="0">
      <w:start w:val="1"/>
      <w:numFmt w:val="lowerRoman"/>
      <w:lvlText w:val="%1."/>
      <w:lvlJc w:val="right"/>
      <w:pPr>
        <w:tabs>
          <w:tab w:val="num" w:pos="0"/>
        </w:tabs>
        <w:ind w:left="926"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2138" w:hanging="360"/>
      </w:pPr>
      <w:rPr>
        <w:rFonts w:ascii="Symbol" w:hAnsi="Symbol" w:cs="Symbol"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9">
    <w:lvl w:ilvl="0">
      <w:start w:val="1"/>
      <w:numFmt w:val="decimal"/>
      <w:lvlText w:val="[%1]"/>
      <w:lvlJc w:val="left"/>
      <w:pPr>
        <w:tabs>
          <w:tab w:val="num" w:pos="567"/>
        </w:tabs>
        <w:ind w:left="567"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0">
    <w:lvl w:ilvl="0">
      <w:start w:val="1"/>
      <w:numFmt w:val="decimal"/>
      <w:lvlText w:val="Proposal %1"/>
      <w:lvlJc w:val="left"/>
      <w:pPr>
        <w:tabs>
          <w:tab w:val="num" w:pos="1304"/>
        </w:tabs>
        <w:ind w:left="1304" w:hanging="1304"/>
      </w:pPr>
      <w:rPr/>
    </w:lvl>
    <w:lvl w:ilvl="1">
      <w:start w:val="1"/>
      <w:numFmt w:val="lowerLetter"/>
      <w:lvlText w:val="%2)"/>
      <w:lvlJc w:val="left"/>
      <w:pPr>
        <w:tabs>
          <w:tab w:val="num" w:pos="0"/>
        </w:tabs>
        <w:ind w:left="72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decimal"/>
      <w:lvlText w:val="Observation %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lvl w:ilvl="0">
      <w:start w:val="1"/>
      <w:numFmt w:val="bullet"/>
      <w:lvlText w:val=""/>
      <w:lvlJc w:val="left"/>
      <w:pPr>
        <w:tabs>
          <w:tab w:val="num" w:pos="1494"/>
        </w:tabs>
        <w:ind w:left="1494" w:hanging="360"/>
      </w:pPr>
      <w:rPr>
        <w:rFonts w:ascii="Symbol" w:hAnsi="Symbol" w:cs="Symbol" w:hint="default"/>
        <w:sz w:val="22"/>
        <w:i w:val="false"/>
        <w:b/>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lvl w:ilvl="0">
      <w:start w:val="1"/>
      <w:numFmt w:val="decimal"/>
      <w:lvlText w:val="Observation %1: "/>
      <w:lvlJc w:val="left"/>
      <w:pPr>
        <w:tabs>
          <w:tab w:val="num" w:pos="0"/>
        </w:tabs>
        <w:ind w:left="284" w:hanging="284"/>
      </w:pPr>
      <w:rPr>
        <w:smallCaps w:val="false"/>
        <w:caps w:val="false"/>
        <w:dstrike w:val="false"/>
        <w:strike w:val="false"/>
        <w:vertAlign w:val="baseline"/>
        <w:position w:val="0"/>
        <w:sz w:val="20"/>
        <w:spacing w:val="0"/>
        <w:i/>
        <w:u w:val="none"/>
        <w:b/>
        <w:iCs w:val="false"/>
        <w:bCs w:val="false"/>
        <w:vanish w:val="false"/>
        <w:color w:val="000000"/>
        <w14:shadow w14:blurRad="0" w14:dist="0" w14:dir="0" w14:sx="0" w14:sy="0" w14:kx="0" w14:ky="0" w14:algn="none">
          <w14:srgbClr w14:val="000000"/>
        </w14:shadow>
      </w:rPr>
    </w:lvl>
    <w:lvl w:ilvl="1">
      <w:start w:val="1"/>
      <w:numFmt w:val="lowerLetter"/>
      <w:lvlText w:val="%2)"/>
      <w:lvlJc w:val="left"/>
      <w:pPr>
        <w:tabs>
          <w:tab w:val="num" w:pos="0"/>
        </w:tabs>
        <w:ind w:left="704" w:hanging="284"/>
      </w:pPr>
      <w:rPr/>
    </w:lvl>
    <w:lvl w:ilvl="2">
      <w:start w:val="1"/>
      <w:numFmt w:val="lowerRoman"/>
      <w:lvlText w:val="%3."/>
      <w:lvlJc w:val="right"/>
      <w:pPr>
        <w:tabs>
          <w:tab w:val="num" w:pos="0"/>
        </w:tabs>
        <w:ind w:left="1124" w:hanging="284"/>
      </w:pPr>
      <w:rPr/>
    </w:lvl>
    <w:lvl w:ilvl="3">
      <w:start w:val="1"/>
      <w:numFmt w:val="decimal"/>
      <w:lvlText w:val="%4."/>
      <w:lvlJc w:val="left"/>
      <w:pPr>
        <w:tabs>
          <w:tab w:val="num" w:pos="0"/>
        </w:tabs>
        <w:ind w:left="1544" w:hanging="284"/>
      </w:pPr>
      <w:rPr/>
    </w:lvl>
    <w:lvl w:ilvl="4">
      <w:start w:val="1"/>
      <w:numFmt w:val="lowerLetter"/>
      <w:lvlText w:val="%5)"/>
      <w:lvlJc w:val="left"/>
      <w:pPr>
        <w:tabs>
          <w:tab w:val="num" w:pos="0"/>
        </w:tabs>
        <w:ind w:left="1964" w:hanging="284"/>
      </w:pPr>
      <w:rPr/>
    </w:lvl>
    <w:lvl w:ilvl="5">
      <w:start w:val="1"/>
      <w:numFmt w:val="lowerRoman"/>
      <w:lvlText w:val="%6."/>
      <w:lvlJc w:val="right"/>
      <w:pPr>
        <w:tabs>
          <w:tab w:val="num" w:pos="0"/>
        </w:tabs>
        <w:ind w:left="2384" w:hanging="284"/>
      </w:pPr>
      <w:rPr/>
    </w:lvl>
    <w:lvl w:ilvl="6">
      <w:start w:val="1"/>
      <w:numFmt w:val="decimal"/>
      <w:lvlText w:val="%7."/>
      <w:lvlJc w:val="left"/>
      <w:pPr>
        <w:tabs>
          <w:tab w:val="num" w:pos="0"/>
        </w:tabs>
        <w:ind w:left="2804" w:hanging="284"/>
      </w:pPr>
      <w:rPr/>
    </w:lvl>
    <w:lvl w:ilvl="7">
      <w:start w:val="1"/>
      <w:numFmt w:val="lowerLetter"/>
      <w:lvlText w:val="%8)"/>
      <w:lvlJc w:val="left"/>
      <w:pPr>
        <w:tabs>
          <w:tab w:val="num" w:pos="0"/>
        </w:tabs>
        <w:ind w:left="3224" w:hanging="284"/>
      </w:pPr>
      <w:rPr/>
    </w:lvl>
    <w:lvl w:ilvl="8">
      <w:start w:val="1"/>
      <w:numFmt w:val="lowerRoman"/>
      <w:lvlText w:val="%9."/>
      <w:lvlJc w:val="right"/>
      <w:pPr>
        <w:tabs>
          <w:tab w:val="num" w:pos="0"/>
        </w:tabs>
        <w:ind w:left="3644" w:hanging="284"/>
      </w:pPr>
      <w:rPr/>
    </w:lvl>
  </w:abstractNum>
  <w:abstractNum w:abstractNumId="15">
    <w:lvl w:ilvl="0">
      <w:start w:val="1"/>
      <w:numFmt w:val="decimal"/>
      <w:lvlText w:val="Proposal %1: "/>
      <w:lvlJc w:val="left"/>
      <w:pPr>
        <w:tabs>
          <w:tab w:val="num" w:pos="0"/>
        </w:tabs>
        <w:ind w:left="420" w:hanging="420"/>
      </w:pPr>
      <w:rPr>
        <w:smallCaps w:val="false"/>
        <w:caps w:val="false"/>
        <w:dstrike w:val="false"/>
        <w:strike w:val="false"/>
        <w:vertAlign w:val="baseline"/>
        <w:position w:val="0"/>
        <w:sz w:val="20"/>
        <w:spacing w:val="0"/>
        <w:u w:val="none"/>
        <w:b/>
        <w:bCs/>
        <w:vanish w:val="false"/>
        <w:rFonts w:ascii="Times New Roman" w:hAnsi="Times New Roman"/>
        <w:color w:val="000000"/>
      </w:rPr>
    </w:lvl>
    <w:lvl w:ilvl="1">
      <w:start w:val="1"/>
      <w:numFmt w:val="lowerLetter"/>
      <w:lvlText w:val="%2)"/>
      <w:lvlJc w:val="left"/>
      <w:pPr>
        <w:tabs>
          <w:tab w:val="num" w:pos="0"/>
        </w:tabs>
        <w:ind w:left="840" w:hanging="420"/>
      </w:pPr>
      <w:rPr/>
    </w:lvl>
    <w:lvl w:ilvl="2">
      <w:start w:val="1"/>
      <w:numFmt w:val="lowerRoman"/>
      <w:lvlText w:val="%3."/>
      <w:lvlJc w:val="right"/>
      <w:pPr>
        <w:tabs>
          <w:tab w:val="num" w:pos="0"/>
        </w:tabs>
        <w:ind w:left="1260" w:hanging="420"/>
      </w:pPr>
      <w:rPr/>
    </w:lvl>
    <w:lvl w:ilvl="3">
      <w:start w:val="1"/>
      <w:numFmt w:val="decimal"/>
      <w:lvlText w:val="%4."/>
      <w:lvlJc w:val="left"/>
      <w:pPr>
        <w:tabs>
          <w:tab w:val="num" w:pos="0"/>
        </w:tabs>
        <w:ind w:left="1680" w:hanging="420"/>
      </w:pPr>
      <w:rPr/>
    </w:lvl>
    <w:lvl w:ilvl="4">
      <w:start w:val="1"/>
      <w:numFmt w:val="lowerLetter"/>
      <w:lvlText w:val="%5)"/>
      <w:lvlJc w:val="left"/>
      <w:pPr>
        <w:tabs>
          <w:tab w:val="num" w:pos="0"/>
        </w:tabs>
        <w:ind w:left="2100" w:hanging="420"/>
      </w:pPr>
      <w:rPr/>
    </w:lvl>
    <w:lvl w:ilvl="5">
      <w:start w:val="1"/>
      <w:numFmt w:val="lowerRoman"/>
      <w:lvlText w:val="%6."/>
      <w:lvlJc w:val="right"/>
      <w:pPr>
        <w:tabs>
          <w:tab w:val="num" w:pos="0"/>
        </w:tabs>
        <w:ind w:left="2520" w:hanging="420"/>
      </w:pPr>
      <w:rPr/>
    </w:lvl>
    <w:lvl w:ilvl="6">
      <w:start w:val="1"/>
      <w:numFmt w:val="decimal"/>
      <w:lvlText w:val="%7."/>
      <w:lvlJc w:val="left"/>
      <w:pPr>
        <w:tabs>
          <w:tab w:val="num" w:pos="0"/>
        </w:tabs>
        <w:ind w:left="2940" w:hanging="420"/>
      </w:pPr>
      <w:rPr/>
    </w:lvl>
    <w:lvl w:ilvl="7">
      <w:start w:val="1"/>
      <w:numFmt w:val="lowerLetter"/>
      <w:lvlText w:val="%8)"/>
      <w:lvlJc w:val="left"/>
      <w:pPr>
        <w:tabs>
          <w:tab w:val="num" w:pos="0"/>
        </w:tabs>
        <w:ind w:left="3360" w:hanging="420"/>
      </w:pPr>
      <w:rPr/>
    </w:lvl>
    <w:lvl w:ilvl="8">
      <w:start w:val="1"/>
      <w:numFmt w:val="lowerRoman"/>
      <w:lvlText w:val="%9."/>
      <w:lvlJc w:val="right"/>
      <w:pPr>
        <w:tabs>
          <w:tab w:val="num" w:pos="0"/>
        </w:tabs>
        <w:ind w:left="3780" w:hanging="420"/>
      </w:pPr>
      <w:rPr/>
    </w:lvl>
  </w:abstractNum>
  <w:abstractNum w:abstractNumId="16">
    <w:lvl w:ilvl="0">
      <w:start w:val="1"/>
      <w:numFmt w:val="decimal"/>
      <w:lvlText w:val="%1."/>
      <w:lvlJc w:val="left"/>
      <w:pPr>
        <w:tabs>
          <w:tab w:val="num" w:pos="0"/>
        </w:tabs>
        <w:ind w:left="460" w:hanging="360"/>
      </w:pPr>
      <w:rPr/>
    </w:lvl>
    <w:lvl w:ilvl="1">
      <w:start w:val="1"/>
      <w:numFmt w:val="lowerLetter"/>
      <w:lvlText w:val="%2."/>
      <w:lvlJc w:val="left"/>
      <w:pPr>
        <w:tabs>
          <w:tab w:val="num" w:pos="0"/>
        </w:tabs>
        <w:ind w:left="1180" w:hanging="360"/>
      </w:pPr>
      <w:rPr/>
    </w:lvl>
    <w:lvl w:ilvl="2">
      <w:start w:val="1"/>
      <w:numFmt w:val="lowerRoman"/>
      <w:lvlText w:val="%3."/>
      <w:lvlJc w:val="right"/>
      <w:pPr>
        <w:tabs>
          <w:tab w:val="num" w:pos="0"/>
        </w:tabs>
        <w:ind w:left="1900" w:hanging="180"/>
      </w:pPr>
      <w:rPr/>
    </w:lvl>
    <w:lvl w:ilvl="3">
      <w:start w:val="1"/>
      <w:numFmt w:val="decimal"/>
      <w:lvlText w:val="%4."/>
      <w:lvlJc w:val="left"/>
      <w:pPr>
        <w:tabs>
          <w:tab w:val="num" w:pos="0"/>
        </w:tabs>
        <w:ind w:left="2620" w:hanging="360"/>
      </w:pPr>
      <w:rPr/>
    </w:lvl>
    <w:lvl w:ilvl="4">
      <w:start w:val="1"/>
      <w:numFmt w:val="lowerLetter"/>
      <w:lvlText w:val="%5."/>
      <w:lvlJc w:val="left"/>
      <w:pPr>
        <w:tabs>
          <w:tab w:val="num" w:pos="0"/>
        </w:tabs>
        <w:ind w:left="3340" w:hanging="360"/>
      </w:pPr>
      <w:rPr/>
    </w:lvl>
    <w:lvl w:ilvl="5">
      <w:start w:val="1"/>
      <w:numFmt w:val="lowerRoman"/>
      <w:lvlText w:val="%6."/>
      <w:lvlJc w:val="right"/>
      <w:pPr>
        <w:tabs>
          <w:tab w:val="num" w:pos="0"/>
        </w:tabs>
        <w:ind w:left="4060" w:hanging="180"/>
      </w:pPr>
      <w:rPr/>
    </w:lvl>
    <w:lvl w:ilvl="6">
      <w:start w:val="1"/>
      <w:numFmt w:val="decimal"/>
      <w:lvlText w:val="%7."/>
      <w:lvlJc w:val="left"/>
      <w:pPr>
        <w:tabs>
          <w:tab w:val="num" w:pos="0"/>
        </w:tabs>
        <w:ind w:left="4780" w:hanging="360"/>
      </w:pPr>
      <w:rPr/>
    </w:lvl>
    <w:lvl w:ilvl="7">
      <w:start w:val="1"/>
      <w:numFmt w:val="lowerLetter"/>
      <w:lvlText w:val="%8."/>
      <w:lvlJc w:val="left"/>
      <w:pPr>
        <w:tabs>
          <w:tab w:val="num" w:pos="0"/>
        </w:tabs>
        <w:ind w:left="5500" w:hanging="360"/>
      </w:pPr>
      <w:rPr/>
    </w:lvl>
    <w:lvl w:ilvl="8">
      <w:start w:val="1"/>
      <w:numFmt w:val="lowerRoman"/>
      <w:lvlText w:val="%9."/>
      <w:lvlJc w:val="right"/>
      <w:pPr>
        <w:tabs>
          <w:tab w:val="num" w:pos="0"/>
        </w:tabs>
        <w:ind w:left="6220" w:hanging="180"/>
      </w:pPr>
      <w:rPr/>
    </w:lvl>
  </w:abstractNum>
  <w:abstractNum w:abstractNumId="17">
    <w:lvl w:ilvl="0">
      <w:start w:val="1"/>
      <w:numFmt w:val="decimal"/>
      <w:lvlText w:val="%1."/>
      <w:lvlJc w:val="left"/>
      <w:pPr>
        <w:tabs>
          <w:tab w:val="num" w:pos="0"/>
        </w:tabs>
        <w:ind w:left="460" w:hanging="360"/>
      </w:pPr>
      <w:rPr/>
    </w:lvl>
    <w:lvl w:ilvl="1">
      <w:start w:val="1"/>
      <w:numFmt w:val="lowerLetter"/>
      <w:lvlText w:val="%2."/>
      <w:lvlJc w:val="left"/>
      <w:pPr>
        <w:tabs>
          <w:tab w:val="num" w:pos="0"/>
        </w:tabs>
        <w:ind w:left="1180" w:hanging="360"/>
      </w:pPr>
      <w:rPr/>
    </w:lvl>
    <w:lvl w:ilvl="2">
      <w:start w:val="1"/>
      <w:numFmt w:val="lowerRoman"/>
      <w:lvlText w:val="%3."/>
      <w:lvlJc w:val="right"/>
      <w:pPr>
        <w:tabs>
          <w:tab w:val="num" w:pos="0"/>
        </w:tabs>
        <w:ind w:left="1900" w:hanging="180"/>
      </w:pPr>
      <w:rPr/>
    </w:lvl>
    <w:lvl w:ilvl="3">
      <w:start w:val="1"/>
      <w:numFmt w:val="decimal"/>
      <w:lvlText w:val="%4."/>
      <w:lvlJc w:val="left"/>
      <w:pPr>
        <w:tabs>
          <w:tab w:val="num" w:pos="0"/>
        </w:tabs>
        <w:ind w:left="2620" w:hanging="360"/>
      </w:pPr>
      <w:rPr/>
    </w:lvl>
    <w:lvl w:ilvl="4">
      <w:start w:val="1"/>
      <w:numFmt w:val="lowerLetter"/>
      <w:lvlText w:val="%5."/>
      <w:lvlJc w:val="left"/>
      <w:pPr>
        <w:tabs>
          <w:tab w:val="num" w:pos="0"/>
        </w:tabs>
        <w:ind w:left="3340" w:hanging="360"/>
      </w:pPr>
      <w:rPr/>
    </w:lvl>
    <w:lvl w:ilvl="5">
      <w:start w:val="1"/>
      <w:numFmt w:val="lowerRoman"/>
      <w:lvlText w:val="%6."/>
      <w:lvlJc w:val="right"/>
      <w:pPr>
        <w:tabs>
          <w:tab w:val="num" w:pos="0"/>
        </w:tabs>
        <w:ind w:left="4060" w:hanging="180"/>
      </w:pPr>
      <w:rPr/>
    </w:lvl>
    <w:lvl w:ilvl="6">
      <w:start w:val="1"/>
      <w:numFmt w:val="decimal"/>
      <w:lvlText w:val="%7."/>
      <w:lvlJc w:val="left"/>
      <w:pPr>
        <w:tabs>
          <w:tab w:val="num" w:pos="0"/>
        </w:tabs>
        <w:ind w:left="4780" w:hanging="360"/>
      </w:pPr>
      <w:rPr/>
    </w:lvl>
    <w:lvl w:ilvl="7">
      <w:start w:val="1"/>
      <w:numFmt w:val="lowerLetter"/>
      <w:lvlText w:val="%8."/>
      <w:lvlJc w:val="left"/>
      <w:pPr>
        <w:tabs>
          <w:tab w:val="num" w:pos="0"/>
        </w:tabs>
        <w:ind w:left="5500" w:hanging="360"/>
      </w:pPr>
      <w:rPr/>
    </w:lvl>
    <w:lvl w:ilvl="8">
      <w:start w:val="1"/>
      <w:numFmt w:val="lowerRoman"/>
      <w:lvlText w:val="%9."/>
      <w:lvlJc w:val="right"/>
      <w:pPr>
        <w:tabs>
          <w:tab w:val="num" w:pos="0"/>
        </w:tabs>
        <w:ind w:left="6220" w:hanging="180"/>
      </w:pPr>
      <w:rPr/>
    </w:lvl>
  </w:abstractNum>
  <w:abstractNum w:abstractNumId="18">
    <w:lvl w:ilvl="0">
      <w:start w:val="1"/>
      <w:numFmt w:val="bullet"/>
      <w:lvlText w:val=""/>
      <w:lvlJc w:val="left"/>
      <w:pPr>
        <w:tabs>
          <w:tab w:val="num" w:pos="0"/>
        </w:tabs>
        <w:ind w:left="1180" w:hanging="360"/>
      </w:pPr>
      <w:rPr>
        <w:rFonts w:ascii="Symbol" w:hAnsi="Symbol" w:cs="Symbol" w:hint="default"/>
      </w:rPr>
    </w:lvl>
    <w:lvl w:ilvl="1">
      <w:start w:val="1"/>
      <w:numFmt w:val="bullet"/>
      <w:lvlText w:val="o"/>
      <w:lvlJc w:val="left"/>
      <w:pPr>
        <w:tabs>
          <w:tab w:val="num" w:pos="0"/>
        </w:tabs>
        <w:ind w:left="1900" w:hanging="360"/>
      </w:pPr>
      <w:rPr>
        <w:rFonts w:ascii="Courier New" w:hAnsi="Courier New" w:cs="Courier New" w:hint="default"/>
      </w:rPr>
    </w:lvl>
    <w:lvl w:ilvl="2">
      <w:start w:val="1"/>
      <w:numFmt w:val="bullet"/>
      <w:lvlText w:val=""/>
      <w:lvlJc w:val="left"/>
      <w:pPr>
        <w:tabs>
          <w:tab w:val="num" w:pos="0"/>
        </w:tabs>
        <w:ind w:left="2620" w:hanging="360"/>
      </w:pPr>
      <w:rPr>
        <w:rFonts w:ascii="Wingdings" w:hAnsi="Wingdings" w:cs="Wingdings" w:hint="default"/>
      </w:rPr>
    </w:lvl>
    <w:lvl w:ilvl="3">
      <w:start w:val="1"/>
      <w:numFmt w:val="bullet"/>
      <w:lvlText w:val=""/>
      <w:lvlJc w:val="left"/>
      <w:pPr>
        <w:tabs>
          <w:tab w:val="num" w:pos="0"/>
        </w:tabs>
        <w:ind w:left="3340" w:hanging="360"/>
      </w:pPr>
      <w:rPr>
        <w:rFonts w:ascii="Symbol" w:hAnsi="Symbol" w:cs="Symbol" w:hint="default"/>
      </w:rPr>
    </w:lvl>
    <w:lvl w:ilvl="4">
      <w:start w:val="1"/>
      <w:numFmt w:val="bullet"/>
      <w:lvlText w:val="o"/>
      <w:lvlJc w:val="left"/>
      <w:pPr>
        <w:tabs>
          <w:tab w:val="num" w:pos="0"/>
        </w:tabs>
        <w:ind w:left="4060" w:hanging="360"/>
      </w:pPr>
      <w:rPr>
        <w:rFonts w:ascii="Courier New" w:hAnsi="Courier New" w:cs="Courier New" w:hint="default"/>
      </w:rPr>
    </w:lvl>
    <w:lvl w:ilvl="5">
      <w:start w:val="1"/>
      <w:numFmt w:val="bullet"/>
      <w:lvlText w:val=""/>
      <w:lvlJc w:val="left"/>
      <w:pPr>
        <w:tabs>
          <w:tab w:val="num" w:pos="0"/>
        </w:tabs>
        <w:ind w:left="4780" w:hanging="360"/>
      </w:pPr>
      <w:rPr>
        <w:rFonts w:ascii="Wingdings" w:hAnsi="Wingdings" w:cs="Wingdings" w:hint="default"/>
      </w:rPr>
    </w:lvl>
    <w:lvl w:ilvl="6">
      <w:start w:val="1"/>
      <w:numFmt w:val="bullet"/>
      <w:lvlText w:val=""/>
      <w:lvlJc w:val="left"/>
      <w:pPr>
        <w:tabs>
          <w:tab w:val="num" w:pos="0"/>
        </w:tabs>
        <w:ind w:left="5500" w:hanging="360"/>
      </w:pPr>
      <w:rPr>
        <w:rFonts w:ascii="Symbol" w:hAnsi="Symbol" w:cs="Symbol" w:hint="default"/>
      </w:rPr>
    </w:lvl>
    <w:lvl w:ilvl="7">
      <w:start w:val="1"/>
      <w:numFmt w:val="bullet"/>
      <w:lvlText w:val="o"/>
      <w:lvlJc w:val="left"/>
      <w:pPr>
        <w:tabs>
          <w:tab w:val="num" w:pos="0"/>
        </w:tabs>
        <w:ind w:left="6220" w:hanging="360"/>
      </w:pPr>
      <w:rPr>
        <w:rFonts w:ascii="Courier New" w:hAnsi="Courier New" w:cs="Courier New" w:hint="default"/>
      </w:rPr>
    </w:lvl>
    <w:lvl w:ilvl="8">
      <w:start w:val="1"/>
      <w:numFmt w:val="bullet"/>
      <w:lvlText w:val=""/>
      <w:lvlJc w:val="left"/>
      <w:pPr>
        <w:tabs>
          <w:tab w:val="num" w:pos="0"/>
        </w:tabs>
        <w:ind w:left="6940" w:hanging="360"/>
      </w:pPr>
      <w:rPr>
        <w:rFonts w:ascii="Wingdings" w:hAnsi="Wingdings" w:cs="Wingdings"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60"/>
  <w:defaultTabStop w:val="567"/>
  <w:autoHyphenation w:val="true"/>
  <w:doNotHyphenateCaps/>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宋体" w:cs="CG Times (WN)"/>
        <w:lang w:val="fr-F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index 1" w:uiPriority="0" w:semiHidden="0" w:unhideWhenUsed="0" w:qFormat="1"/>
    <w:lsdException w:name="index 2" w:uiPriority="0" w:semiHidden="0" w:unhideWhenUsed="0" w:qFormat="1"/>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qFormat="1"/>
    <w:lsdException w:name="toc 2" w:uiPriority="39" w:semiHidden="0" w:unhideWhenUsed="0" w:qFormat="1"/>
    <w:lsdException w:name="toc 3" w:uiPriority="39" w:semiHidden="0" w:unhideWhenUsed="0" w:qFormat="1"/>
    <w:lsdException w:name="toc 4" w:uiPriority="39" w:semiHidden="0" w:unhideWhenUsed="0" w:qFormat="1"/>
    <w:lsdException w:name="toc 5" w:uiPriority="39" w:semiHidden="0" w:unhideWhenUsed="0" w:qFormat="1"/>
    <w:lsdException w:name="toc 6" w:uiPriority="39" w:semiHidden="0" w:unhideWhenUsed="0" w:qFormat="1"/>
    <w:lsdException w:name="toc 7" w:uiPriority="39" w:semiHidden="0" w:unhideWhenUsed="0" w:qFormat="1"/>
    <w:lsdException w:name="toc 8" w:uiPriority="39" w:semiHidden="0" w:unhideWhenUsed="0" w:qFormat="1"/>
    <w:lsdException w:name="toc 9" w:uiPriority="39" w:semiHidden="0" w:unhideWhenUsed="0" w:qFormat="1"/>
    <w:lsdException w:name="Normal Indent" w:uiPriority="0" w:semiHidden="0" w:unhideWhenUsed="0"/>
    <w:lsdException w:name="footnote text" w:uiPriority="0" w:semiHidden="0" w:unhideWhenUsed="0" w:qFormat="1"/>
    <w:lsdException w:name="annotation text" w:uiPriority="99" w:semiHidden="0" w:unhideWhenUsed="0" w:qFormat="1"/>
    <w:lsdException w:name="header" w:uiPriority="0" w:semiHidden="0" w:unhideWhenUsed="0" w:qFormat="1"/>
    <w:lsdException w:name="footer" w:uiPriority="0" w:semiHidden="0" w:unhideWhenUsed="0" w:qFormat="1"/>
    <w:lsdException w:name="index heading" w:uiPriority="0" w:semiHidden="0" w:unhideWhenUsed="0" w:qFormat="1"/>
    <w:lsdException w:name="caption" w:uiPriority="0" w:semiHidden="0" w:unhideWhenUsed="0" w:qFormat="1"/>
    <w:lsdException w:name="table of figures" w:uiPriority="99" w:semiHidden="0" w:unhideWhenUsed="0" w:qFormat="1"/>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99" w:semiHidden="0" w:unhideWhenUsed="0" w:qFormat="1"/>
    <w:lsdException w:name="line number" w:uiPriority="0" w:semiHidden="0" w:unhideWhenUsed="0"/>
    <w:lsdException w:name="page number" w:uiPriority="0" w:semiHidden="0" w:unhideWhenUsed="0" w:qFormat="1"/>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qFormat="1"/>
    <w:lsdException w:name="List Bullet" w:uiPriority="0" w:semiHidden="0" w:unhideWhenUsed="0" w:qFormat="1"/>
    <w:lsdException w:name="List Number" w:uiPriority="0" w:semiHidden="0" w:unhideWhenUsed="0" w:qFormat="1"/>
    <w:lsdException w:name="List 2" w:uiPriority="0" w:semiHidden="0" w:unhideWhenUsed="0" w:qFormat="1"/>
    <w:lsdException w:name="List 3" w:uiPriority="0" w:semiHidden="0" w:unhideWhenUsed="0" w:qFormat="1"/>
    <w:lsdException w:name="List 4" w:uiPriority="0" w:semiHidden="0" w:unhideWhenUsed="0" w:qFormat="1"/>
    <w:lsdException w:name="List 5" w:uiPriority="0" w:semiHidden="0" w:unhideWhenUsed="0" w:qFormat="1"/>
    <w:lsdException w:name="List Bullet 2" w:uiPriority="0" w:semiHidden="0" w:unhideWhenUsed="0" w:qFormat="1"/>
    <w:lsdException w:name="List Bullet 3" w:uiPriority="0" w:semiHidden="0" w:unhideWhenUsed="0" w:qFormat="1"/>
    <w:lsdException w:name="List Bullet 4" w:uiPriority="0" w:semiHidden="0" w:unhideWhenUsed="0" w:qFormat="1"/>
    <w:lsdException w:name="List Bullet 5" w:uiPriority="0" w:semiHidden="0" w:unhideWhenUsed="0" w:qFormat="1"/>
    <w:lsdException w:name="List Number 2" w:uiPriority="0" w:semiHidden="0" w:unhideWhenUsed="0" w:qFormat="1"/>
    <w:lsdException w:name="List Number 3" w:uiPriority="0" w:semiHidden="0" w:unhideWhenUsed="0" w:qFormat="1"/>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qFormat="1"/>
    <w:lsdException w:name="Body Text" w:uiPriority="0" w:semiHidden="0" w:unhideWhenUsed="0" w:qFormat="1"/>
    <w:lsdException w:name="Body Text Indent" w:uiPriority="0" w:semiHidden="0" w:unhideWhenUsed="0"/>
    <w:lsdException w:name="List Continue" w:uiPriority="0" w:semiHidden="0" w:unhideWhenUsed="0" w:qFormat="1"/>
    <w:lsdException w:name="List Continue 2" w:uiPriority="0" w:semiHidden="0" w:unhideWhenUsed="0" w:qFormat="1"/>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0" w:semiHidden="0" w:qFormat="1"/>
    <w:lsdException w:name="Strong" w:uiPriority="22" w:semiHidden="0" w:unhideWhenUsed="0" w:qFormat="1"/>
    <w:lsdException w:name="Emphasis" w:uiPriority="0" w:semiHidden="0" w:unhideWhenUsed="0" w:qFormat="1"/>
    <w:lsdException w:name="Document Map" w:uiPriority="0" w:semiHidden="0" w:unhideWhenUsed="0" w:qFormat="1"/>
    <w:lsdException w:name="Plain Text" w:uiPriority="0" w:semiHidden="0" w:unhideWhenUsed="0" w:qFormat="1"/>
    <w:lsdException w:name="E-mail Signature" w:uiPriority="0" w:semiHidden="0" w:unhideWhenUsed="0"/>
    <w:lsdException w:name="Normal (Web)" w:uiPriority="0" w:semiHidden="0" w:unhideWhenUsed="0" w:qFormat="1"/>
    <w:lsdException w:name="HTML Acronym" w:uiPriority="0" w:semiHidden="0" w:unhideWhenUsed="0"/>
    <w:lsdException w:name="HTML Address" w:uiPriority="0" w:semiHidden="0" w:unhideWhenUsed="0"/>
    <w:lsdException w:name="HTML Cite" w:uiPriority="0" w:semiHidden="0" w:unhideWhenUsed="0"/>
    <w:lsdException w:name="HTML Code" w:uiPriority="99" w:semiHidden="0" w:qFormat="1"/>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lsdException w:name="HTML Variable" w:uiPriority="0" w:semiHidden="0" w:unhideWhenUsed="0"/>
    <w:lsdException w:name="Normal Table" w:uiPriority="99" w:qFormat="1"/>
    <w:lsdException w:name="annotation subject" w:uiPriority="0" w:semiHidden="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semiHidden="0" w:unhideWhenUsed="0" w:qFormat="1"/>
    <w:lsdException w:name="Table Grid" w:uiPriority="39" w:semiHidden="0" w:unhideWhenUsed="0" w:qFormat="1"/>
    <w:lsdException w:name="Table Theme" w:uiPriority="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suppressAutoHyphens w:val="true"/>
      <w:overflowPunct w:val="true"/>
      <w:bidi w:val="0"/>
      <w:spacing w:before="0" w:after="180"/>
      <w:textAlignment w:val="baseline"/>
    </w:pPr>
    <w:rPr>
      <w:rFonts w:ascii="Times New Roman" w:hAnsi="Times New Roman" w:eastAsia="Times New Roman" w:cs="Times New Roman"/>
      <w:color w:val="auto"/>
      <w:kern w:val="0"/>
      <w:sz w:val="20"/>
      <w:szCs w:val="20"/>
      <w:lang w:val="en-GB" w:eastAsia="ja-JP" w:bidi="ar-SA"/>
    </w:rPr>
  </w:style>
  <w:style w:type="paragraph" w:styleId="Heading1">
    <w:name w:val="Heading 1"/>
    <w:basedOn w:val="Titre"/>
    <w:next w:val="Normal"/>
    <w:link w:val="1"/>
    <w:uiPriority w:val="0"/>
    <w:qFormat/>
    <w:pPr>
      <w:keepNext w:val="true"/>
      <w:keepLines/>
      <w:pBdr>
        <w:top w:val="single" w:sz="12" w:space="3" w:color="000000"/>
      </w:pBdr>
      <w:overflowPunct w:val="true"/>
      <w:spacing w:before="240" w:after="180"/>
      <w:ind w:hanging="1134" w:left="1134"/>
      <w:textAlignment w:val="baseline"/>
      <w:outlineLvl w:val="0"/>
    </w:pPr>
    <w:rPr>
      <w:rFonts w:ascii="Arial" w:hAnsi="Arial" w:eastAsia="Times New Roman" w:cs="Times New Roman"/>
      <w:sz w:val="36"/>
      <w:lang w:val="en-GB" w:eastAsia="ja-JP" w:bidi="ar-SA"/>
    </w:rPr>
  </w:style>
  <w:style w:type="paragraph" w:styleId="Heading2">
    <w:name w:val="Heading 2"/>
    <w:basedOn w:val="Heading1"/>
    <w:next w:val="Normal"/>
    <w:link w:val="2"/>
    <w:uiPriority w:val="0"/>
    <w:qFormat/>
    <w:pPr>
      <w:pBdr>
        <w:top w:val="nil"/>
      </w:pBdr>
      <w:spacing w:before="180" w:after="180"/>
      <w:outlineLvl w:val="1"/>
    </w:pPr>
    <w:rPr>
      <w:sz w:val="32"/>
    </w:rPr>
  </w:style>
  <w:style w:type="paragraph" w:styleId="Heading3">
    <w:name w:val="Heading 3"/>
    <w:basedOn w:val="Heading2"/>
    <w:next w:val="Normal"/>
    <w:link w:val="3"/>
    <w:uiPriority w:val="0"/>
    <w:qFormat/>
    <w:pPr>
      <w:spacing w:before="120" w:after="180"/>
      <w:outlineLvl w:val="2"/>
    </w:pPr>
    <w:rPr>
      <w:sz w:val="28"/>
    </w:rPr>
  </w:style>
  <w:style w:type="paragraph" w:styleId="Heading4">
    <w:name w:val="Heading 4"/>
    <w:basedOn w:val="Heading3"/>
    <w:next w:val="Normal"/>
    <w:link w:val="4"/>
    <w:uiPriority w:val="0"/>
    <w:qFormat/>
    <w:pPr>
      <w:ind w:hanging="1418" w:left="1418"/>
      <w:outlineLvl w:val="3"/>
    </w:pPr>
    <w:rPr>
      <w:sz w:val="24"/>
    </w:rPr>
  </w:style>
  <w:style w:type="paragraph" w:styleId="Heading5">
    <w:name w:val="Heading 5"/>
    <w:basedOn w:val="Heading4"/>
    <w:next w:val="Normal"/>
    <w:link w:val="5"/>
    <w:uiPriority w:val="0"/>
    <w:qFormat/>
    <w:pPr>
      <w:ind w:hanging="1701" w:left="1701"/>
      <w:outlineLvl w:val="4"/>
    </w:pPr>
    <w:rPr>
      <w:sz w:val="22"/>
    </w:rPr>
  </w:style>
  <w:style w:type="paragraph" w:styleId="Heading6">
    <w:name w:val="Heading 6"/>
    <w:basedOn w:val="H6"/>
    <w:next w:val="Normal"/>
    <w:link w:val="6"/>
    <w:uiPriority w:val="0"/>
    <w:qFormat/>
    <w:pPr>
      <w:outlineLvl w:val="5"/>
    </w:pPr>
    <w:rPr/>
  </w:style>
  <w:style w:type="paragraph" w:styleId="Heading7">
    <w:name w:val="Heading 7"/>
    <w:basedOn w:val="H6"/>
    <w:next w:val="Normal"/>
    <w:link w:val="7"/>
    <w:uiPriority w:val="0"/>
    <w:qFormat/>
    <w:pPr>
      <w:outlineLvl w:val="6"/>
    </w:pPr>
    <w:rPr/>
  </w:style>
  <w:style w:type="paragraph" w:styleId="Heading8">
    <w:name w:val="Heading 8"/>
    <w:basedOn w:val="Heading1"/>
    <w:next w:val="Normal"/>
    <w:link w:val="8"/>
    <w:uiPriority w:val="0"/>
    <w:qFormat/>
    <w:pPr>
      <w:ind w:hanging="0" w:left="0"/>
      <w:outlineLvl w:val="7"/>
    </w:pPr>
    <w:rPr/>
  </w:style>
  <w:style w:type="paragraph" w:styleId="Heading9">
    <w:name w:val="Heading 9"/>
    <w:basedOn w:val="Heading8"/>
    <w:next w:val="Normal"/>
    <w:link w:val="9"/>
    <w:uiPriority w:val="0"/>
    <w:qFormat/>
    <w:pPr>
      <w:outlineLvl w:val="8"/>
    </w:pPr>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Pagenumber">
    <w:name w:val="page number"/>
    <w:basedOn w:val="DefaultParagraphFont"/>
    <w:uiPriority w:val="0"/>
    <w:qFormat/>
    <w:rPr/>
  </w:style>
  <w:style w:type="character" w:styleId="FollowedHyperlink">
    <w:name w:val="FollowedHyperlink"/>
    <w:uiPriority w:val="0"/>
    <w:unhideWhenUsed/>
    <w:qFormat/>
    <w:rPr>
      <w:color w:val="800080"/>
      <w:u w:val="single"/>
    </w:rPr>
  </w:style>
  <w:style w:type="character" w:styleId="Emphasis">
    <w:name w:val="Emphasis"/>
    <w:uiPriority w:val="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hAnsi="Courier New" w:eastAsia="Times New Roman" w:cs="Courier New"/>
      <w:sz w:val="20"/>
      <w:szCs w:val="20"/>
    </w:rPr>
  </w:style>
  <w:style w:type="character" w:styleId="Annotationreference">
    <w:name w:val="annotation reference"/>
    <w:uiPriority w:val="99"/>
    <w:qFormat/>
    <w:rPr>
      <w:sz w:val="16"/>
      <w:szCs w:val="16"/>
    </w:rPr>
  </w:style>
  <w:style w:type="character" w:styleId="Caractresdenotedebasdepage">
    <w:name w:val="Caractères de note de bas de page"/>
    <w:uiPriority w:val="0"/>
    <w:qFormat/>
    <w:rPr>
      <w:b/>
      <w:sz w:val="16"/>
      <w:vertAlign w:val="superscript"/>
    </w:rPr>
  </w:style>
  <w:style w:type="character" w:styleId="FootnoteReference">
    <w:name w:val="Footnote Reference"/>
    <w:rPr>
      <w:b/>
      <w:sz w:val="16"/>
      <w:vertAlign w:val="superscript"/>
    </w:rPr>
  </w:style>
  <w:style w:type="character" w:styleId="Style5" w:customStyle="1">
    <w:name w:val="批注框文本 字符"/>
    <w:link w:val="BalloonText"/>
    <w:uiPriority w:val="0"/>
    <w:qFormat/>
    <w:rPr>
      <w:rFonts w:ascii="Segoe UI" w:hAnsi="Segoe UI" w:cs="Segoe UI"/>
      <w:sz w:val="18"/>
      <w:szCs w:val="18"/>
      <w:lang w:eastAsia="ja-JP"/>
    </w:rPr>
  </w:style>
  <w:style w:type="character" w:styleId="1" w:customStyle="1">
    <w:name w:val="标题 1 字符"/>
    <w:uiPriority w:val="0"/>
    <w:qFormat/>
    <w:rPr>
      <w:rFonts w:ascii="Arial" w:hAnsi="Arial"/>
      <w:sz w:val="36"/>
      <w:lang w:eastAsia="ja-JP"/>
    </w:rPr>
  </w:style>
  <w:style w:type="character" w:styleId="Style6" w:customStyle="1">
    <w:name w:val="正文文本 字符"/>
    <w:uiPriority w:val="0"/>
    <w:qFormat/>
    <w:rPr>
      <w:rFonts w:ascii="Arial" w:hAnsi="Arial"/>
      <w:lang w:eastAsia="zh-CN"/>
    </w:rPr>
  </w:style>
  <w:style w:type="character" w:styleId="ZGSM" w:customStyle="1">
    <w:name w:val="ZGSM"/>
    <w:uiPriority w:val="0"/>
    <w:qFormat/>
    <w:rPr/>
  </w:style>
  <w:style w:type="character" w:styleId="B1Char1" w:customStyle="1">
    <w:name w:val="B1 Char1"/>
    <w:link w:val="B1"/>
    <w:uiPriority w:val="0"/>
    <w:qFormat/>
    <w:rPr>
      <w:rFonts w:ascii="Times New Roman" w:hAnsi="Times New Roman"/>
      <w:lang w:eastAsia="zh-CN"/>
    </w:rPr>
  </w:style>
  <w:style w:type="character" w:styleId="B2Char" w:customStyle="1">
    <w:name w:val="B2 Char"/>
    <w:link w:val="B2"/>
    <w:uiPriority w:val="0"/>
    <w:qFormat/>
    <w:rPr>
      <w:rFonts w:ascii="Times New Roman" w:hAnsi="Times New Roman"/>
      <w:lang w:eastAsia="ja-JP"/>
    </w:rPr>
  </w:style>
  <w:style w:type="character" w:styleId="B3Char2" w:customStyle="1">
    <w:name w:val="B3 Char2"/>
    <w:link w:val="B3"/>
    <w:uiPriority w:val="0"/>
    <w:qFormat/>
    <w:rPr>
      <w:rFonts w:ascii="Times New Roman" w:hAnsi="Times New Roman"/>
      <w:lang w:eastAsia="ja-JP"/>
    </w:rPr>
  </w:style>
  <w:style w:type="character" w:styleId="B4Char" w:customStyle="1">
    <w:name w:val="B4 Char"/>
    <w:link w:val="B4"/>
    <w:uiPriority w:val="0"/>
    <w:qFormat/>
    <w:rPr>
      <w:rFonts w:ascii="Times New Roman" w:hAnsi="Times New Roman"/>
      <w:lang w:eastAsia="ja-JP"/>
    </w:rPr>
  </w:style>
  <w:style w:type="character" w:styleId="B5Char" w:customStyle="1">
    <w:name w:val="B5 Char"/>
    <w:link w:val="B5"/>
    <w:uiPriority w:val="0"/>
    <w:qFormat/>
    <w:rPr>
      <w:rFonts w:ascii="Times New Roman" w:hAnsi="Times New Roman"/>
      <w:lang w:eastAsia="ja-JP"/>
    </w:rPr>
  </w:style>
  <w:style w:type="character" w:styleId="B6Char" w:customStyle="1">
    <w:name w:val="B6 Char"/>
    <w:link w:val="B6"/>
    <w:uiPriority w:val="0"/>
    <w:qFormat/>
    <w:rPr>
      <w:rFonts w:ascii="Times New Roman" w:hAnsi="Times New Roman"/>
      <w:lang w:eastAsia="ja-JP"/>
    </w:rPr>
  </w:style>
  <w:style w:type="character" w:styleId="B7Char" w:customStyle="1">
    <w:name w:val="B7 Char"/>
    <w:basedOn w:val="B6Char"/>
    <w:link w:val="B7"/>
    <w:uiPriority w:val="0"/>
    <w:qFormat/>
    <w:rPr>
      <w:rFonts w:ascii="Times New Roman" w:hAnsi="Times New Roman"/>
      <w:lang w:eastAsia="ja-JP"/>
    </w:rPr>
  </w:style>
  <w:style w:type="character" w:styleId="Style7" w:customStyle="1">
    <w:name w:val="批注文字 字符"/>
    <w:link w:val="Annotationtext"/>
    <w:uiPriority w:val="99"/>
    <w:qFormat/>
    <w:rPr>
      <w:rFonts w:ascii="Times New Roman" w:hAnsi="Times New Roman"/>
      <w:lang w:eastAsia="ja-JP"/>
    </w:rPr>
  </w:style>
  <w:style w:type="character" w:styleId="Style8" w:customStyle="1">
    <w:name w:val="批注主题 字符"/>
    <w:link w:val="Annotationsubject"/>
    <w:uiPriority w:val="0"/>
    <w:qFormat/>
    <w:rPr>
      <w:rFonts w:ascii="Times New Roman" w:hAnsi="Times New Roman"/>
      <w:b/>
      <w:bCs/>
      <w:lang w:eastAsia="ja-JP"/>
    </w:rPr>
  </w:style>
  <w:style w:type="character" w:styleId="CRCoverPageZchn" w:customStyle="1">
    <w:name w:val="CR Cover Page Zchn"/>
    <w:link w:val="CRCoverPage"/>
    <w:uiPriority w:val="0"/>
    <w:qFormat/>
    <w:rPr>
      <w:rFonts w:ascii="Arial" w:hAnsi="Arial"/>
      <w:lang w:eastAsia="ko-KR"/>
    </w:rPr>
  </w:style>
  <w:style w:type="character" w:styleId="Doc-text2Char" w:customStyle="1">
    <w:name w:val="Doc-text2 Char"/>
    <w:link w:val="Doc-text2"/>
    <w:uiPriority w:val="0"/>
    <w:qFormat/>
    <w:locked/>
    <w:rPr>
      <w:rFonts w:ascii="Arial" w:hAnsi="Arial" w:eastAsia="MS Mincho"/>
      <w:szCs w:val="24"/>
      <w:lang w:val="zh-CN" w:eastAsia="zh-CN"/>
    </w:rPr>
  </w:style>
  <w:style w:type="character" w:styleId="Style9" w:customStyle="1">
    <w:name w:val="文档结构图 字符"/>
    <w:link w:val="DocumentMap"/>
    <w:uiPriority w:val="0"/>
    <w:qFormat/>
    <w:rPr>
      <w:rFonts w:ascii="Tahoma" w:hAnsi="Tahoma" w:cs="Tahoma"/>
      <w:shd w:fill="000080" w:val="clear"/>
      <w:lang w:eastAsia="ja-JP"/>
    </w:rPr>
  </w:style>
  <w:style w:type="character" w:styleId="NOChar" w:customStyle="1">
    <w:name w:val="NO Char"/>
    <w:link w:val="NO"/>
    <w:uiPriority w:val="0"/>
    <w:qFormat/>
    <w:rPr>
      <w:rFonts w:ascii="Times New Roman" w:hAnsi="Times New Roman"/>
      <w:lang w:eastAsia="ja-JP"/>
    </w:rPr>
  </w:style>
  <w:style w:type="character" w:styleId="EditorsNoteChar" w:customStyle="1">
    <w:name w:val="Editor's Note Char"/>
    <w:link w:val="EditorsNote"/>
    <w:uiPriority w:val="0"/>
    <w:qFormat/>
    <w:rPr>
      <w:rFonts w:ascii="Times New Roman" w:hAnsi="Times New Roman"/>
      <w:color w:val="FF0000"/>
      <w:lang w:val="zh-CN" w:eastAsia="zh-CN"/>
    </w:rPr>
  </w:style>
  <w:style w:type="character" w:styleId="Style10" w:customStyle="1">
    <w:name w:val="页眉 字符"/>
    <w:uiPriority w:val="0"/>
    <w:qFormat/>
    <w:rPr>
      <w:rFonts w:ascii="Arial" w:hAnsi="Arial"/>
      <w:b/>
      <w:sz w:val="18"/>
      <w:lang w:eastAsia="ja-JP"/>
    </w:rPr>
  </w:style>
  <w:style w:type="character" w:styleId="Style11" w:customStyle="1">
    <w:name w:val="页脚 字符"/>
    <w:uiPriority w:val="0"/>
    <w:qFormat/>
    <w:rPr>
      <w:rFonts w:ascii="Arial" w:hAnsi="Arial"/>
      <w:b/>
      <w:i/>
      <w:sz w:val="18"/>
      <w:lang w:eastAsia="ja-JP"/>
    </w:rPr>
  </w:style>
  <w:style w:type="character" w:styleId="Style12" w:customStyle="1">
    <w:name w:val="脚注文本 字符"/>
    <w:uiPriority w:val="0"/>
    <w:qFormat/>
    <w:rPr>
      <w:rFonts w:ascii="Times New Roman" w:hAnsi="Times New Roman"/>
      <w:sz w:val="16"/>
      <w:lang w:eastAsia="ja-JP"/>
    </w:rPr>
  </w:style>
  <w:style w:type="character" w:styleId="2" w:customStyle="1">
    <w:name w:val="标题 2 字符"/>
    <w:uiPriority w:val="0"/>
    <w:qFormat/>
    <w:rPr>
      <w:rFonts w:ascii="Arial" w:hAnsi="Arial"/>
      <w:sz w:val="32"/>
      <w:lang w:eastAsia="ja-JP"/>
    </w:rPr>
  </w:style>
  <w:style w:type="character" w:styleId="3" w:customStyle="1">
    <w:name w:val="标题 3 字符"/>
    <w:uiPriority w:val="0"/>
    <w:qFormat/>
    <w:rPr>
      <w:rFonts w:ascii="Arial" w:hAnsi="Arial"/>
      <w:sz w:val="28"/>
      <w:lang w:eastAsia="ja-JP"/>
    </w:rPr>
  </w:style>
  <w:style w:type="character" w:styleId="4" w:customStyle="1">
    <w:name w:val="标题 4 字符"/>
    <w:uiPriority w:val="0"/>
    <w:qFormat/>
    <w:rPr>
      <w:rFonts w:ascii="Arial" w:hAnsi="Arial"/>
      <w:sz w:val="24"/>
      <w:lang w:eastAsia="ja-JP"/>
    </w:rPr>
  </w:style>
  <w:style w:type="character" w:styleId="5" w:customStyle="1">
    <w:name w:val="标题 5 字符"/>
    <w:uiPriority w:val="0"/>
    <w:qFormat/>
    <w:rPr>
      <w:rFonts w:ascii="Arial" w:hAnsi="Arial"/>
      <w:sz w:val="22"/>
      <w:lang w:eastAsia="ja-JP"/>
    </w:rPr>
  </w:style>
  <w:style w:type="character" w:styleId="6" w:customStyle="1">
    <w:name w:val="标题 6 字符"/>
    <w:uiPriority w:val="0"/>
    <w:qFormat/>
    <w:rPr>
      <w:rFonts w:ascii="Arial" w:hAnsi="Arial"/>
      <w:lang w:eastAsia="ja-JP"/>
    </w:rPr>
  </w:style>
  <w:style w:type="character" w:styleId="7" w:customStyle="1">
    <w:name w:val="标题 7 字符"/>
    <w:uiPriority w:val="0"/>
    <w:qFormat/>
    <w:rPr>
      <w:rFonts w:ascii="Arial" w:hAnsi="Arial"/>
      <w:lang w:eastAsia="ja-JP"/>
    </w:rPr>
  </w:style>
  <w:style w:type="character" w:styleId="8" w:customStyle="1">
    <w:name w:val="标题 8 字符"/>
    <w:uiPriority w:val="0"/>
    <w:qFormat/>
    <w:rPr>
      <w:rFonts w:ascii="Arial" w:hAnsi="Arial"/>
      <w:sz w:val="36"/>
      <w:lang w:eastAsia="ja-JP"/>
    </w:rPr>
  </w:style>
  <w:style w:type="character" w:styleId="9" w:customStyle="1">
    <w:name w:val="标题 9 字符"/>
    <w:uiPriority w:val="0"/>
    <w:qFormat/>
    <w:rPr>
      <w:rFonts w:ascii="Arial" w:hAnsi="Arial"/>
      <w:sz w:val="36"/>
      <w:lang w:eastAsia="ja-JP"/>
    </w:rPr>
  </w:style>
  <w:style w:type="character" w:styleId="Style13" w:customStyle="1">
    <w:name w:val="列表段落 字符"/>
    <w:link w:val="ListParagraph"/>
    <w:uiPriority w:val="34"/>
    <w:qFormat/>
    <w:locked/>
    <w:rPr>
      <w:rFonts w:ascii="Calibri" w:hAnsi="Calibri" w:eastAsia="Calibri"/>
      <w:sz w:val="22"/>
      <w:szCs w:val="22"/>
      <w:lang w:val="zh-CN" w:eastAsia="en-US"/>
    </w:rPr>
  </w:style>
  <w:style w:type="character" w:styleId="PLChar" w:customStyle="1">
    <w:name w:val="PL Char"/>
    <w:link w:val="PL"/>
    <w:uiPriority w:val="0"/>
    <w:qFormat/>
    <w:rPr>
      <w:rFonts w:ascii="Courier New" w:hAnsi="Courier New" w:eastAsia="Batang"/>
      <w:sz w:val="16"/>
      <w:shd w:fill="E6E6E6" w:val="clear"/>
      <w:lang w:eastAsia="sv-SE"/>
    </w:rPr>
  </w:style>
  <w:style w:type="character" w:styleId="Style14" w:customStyle="1">
    <w:name w:val="纯文本 字符"/>
    <w:link w:val="PlainText"/>
    <w:uiPriority w:val="0"/>
    <w:qFormat/>
    <w:rPr>
      <w:rFonts w:ascii="Courier New" w:hAnsi="Courier New"/>
      <w:lang w:val="nb-NO" w:eastAsia="ja-JP"/>
    </w:rPr>
  </w:style>
  <w:style w:type="character" w:styleId="TALCar" w:customStyle="1">
    <w:name w:val="TAL Car"/>
    <w:link w:val="TAL"/>
    <w:uiPriority w:val="0"/>
    <w:qFormat/>
    <w:rPr>
      <w:rFonts w:ascii="Arial" w:hAnsi="Arial"/>
      <w:sz w:val="18"/>
      <w:lang w:val="zh-CN" w:eastAsia="zh-CN"/>
    </w:rPr>
  </w:style>
  <w:style w:type="character" w:styleId="TAHCar" w:customStyle="1">
    <w:name w:val="TAH Car"/>
    <w:link w:val="TAH"/>
    <w:uiPriority w:val="0"/>
    <w:qFormat/>
    <w:locked/>
    <w:rPr>
      <w:rFonts w:ascii="Arial" w:hAnsi="Arial"/>
      <w:b/>
      <w:sz w:val="18"/>
      <w:lang w:val="zh-CN" w:eastAsia="zh-CN"/>
    </w:rPr>
  </w:style>
  <w:style w:type="character" w:styleId="THChar" w:customStyle="1">
    <w:name w:val="TH Char"/>
    <w:link w:val="TH"/>
    <w:uiPriority w:val="0"/>
    <w:qFormat/>
    <w:rPr>
      <w:rFonts w:ascii="Arial" w:hAnsi="Arial"/>
      <w:b/>
      <w:lang w:val="zh-CN" w:eastAsia="zh-CN"/>
    </w:rPr>
  </w:style>
  <w:style w:type="character" w:styleId="TALCharCharChar" w:customStyle="1">
    <w:name w:val="TAL Char Char Char"/>
    <w:link w:val="TALCharChar"/>
    <w:uiPriority w:val="0"/>
    <w:qFormat/>
    <w:rPr>
      <w:rFonts w:ascii="Arial" w:hAnsi="Arial" w:eastAsia="Malgun Gothic"/>
      <w:sz w:val="18"/>
      <w:lang w:val="zh-CN" w:eastAsia="zh-CN"/>
    </w:rPr>
  </w:style>
  <w:style w:type="character" w:styleId="TFChar" w:customStyle="1">
    <w:name w:val="TF Char"/>
    <w:link w:val="TF"/>
    <w:uiPriority w:val="0"/>
    <w:qFormat/>
    <w:rPr>
      <w:rFonts w:ascii="Arial" w:hAnsi="Arial"/>
      <w:b/>
      <w:lang w:val="zh-CN" w:eastAsia="zh-CN"/>
    </w:rPr>
  </w:style>
  <w:style w:type="character" w:styleId="11" w:customStyle="1">
    <w:name w:val="未处理的提及1"/>
    <w:basedOn w:val="DefaultParagraphFont"/>
    <w:uiPriority w:val="99"/>
    <w:semiHidden/>
    <w:unhideWhenUsed/>
    <w:qFormat/>
    <w:rPr>
      <w:color w:val="808080"/>
      <w:shd w:fill="E6E6E6" w:val="clear"/>
    </w:rPr>
  </w:style>
  <w:style w:type="character" w:styleId="IvDInstructiontextChar" w:customStyle="1">
    <w:name w:val="IvD Instructiontext Char"/>
    <w:link w:val="IvDInstructiontext"/>
    <w:uiPriority w:val="99"/>
    <w:qFormat/>
    <w:rPr>
      <w:rFonts w:ascii="Arial" w:hAnsi="Arial"/>
      <w:i/>
      <w:color w:themeColor="text1" w:themeTint="80" w:val="808080"/>
      <w:spacing w:val="2"/>
      <w:sz w:val="18"/>
      <w:szCs w:val="18"/>
      <w:lang w:val="en-US" w:eastAsia="en-US"/>
      <w14:textFill>
        <w14:solidFill>
          <w14:schemeClr w14:val="tx1">
            <w14:lumMod w14:val="50000"/>
            <w14:lumOff w14:val="50000"/>
          </w14:schemeClr>
        </w14:solidFill>
      </w14:textFill>
    </w:rPr>
  </w:style>
  <w:style w:type="character" w:styleId="IvDbodytextChar" w:customStyle="1">
    <w:name w:val="IvD bodytext Char"/>
    <w:basedOn w:val="DefaultParagraphFont"/>
    <w:link w:val="IvDbodytext"/>
    <w:uiPriority w:val="0"/>
    <w:qFormat/>
    <w:rPr>
      <w:rFonts w:ascii="Arial" w:hAnsi="Arial"/>
      <w:spacing w:val="2"/>
      <w:lang w:val="en-US" w:eastAsia="en-US"/>
    </w:rPr>
  </w:style>
  <w:style w:type="character" w:styleId="Ui-provider" w:customStyle="1">
    <w:name w:val="ui-provider"/>
    <w:basedOn w:val="DefaultParagraphFont"/>
    <w:uiPriority w:val="0"/>
    <w:qFormat/>
    <w:rPr/>
  </w:style>
  <w:style w:type="character" w:styleId="EmailDiscussionChar" w:customStyle="1">
    <w:name w:val="EmailDiscussion Char"/>
    <w:link w:val="EmailDiscussion"/>
    <w:uiPriority w:val="99"/>
    <w:qFormat/>
    <w:rPr>
      <w:rFonts w:ascii="Arial" w:hAnsi="Arial" w:eastAsia="MS Mincho"/>
      <w:b/>
      <w:szCs w:val="24"/>
    </w:rPr>
  </w:style>
  <w:style w:type="paragraph" w:styleId="Titre">
    <w:name w:val="Titre"/>
    <w:basedOn w:val="Normal"/>
    <w:next w:val="BodyText"/>
    <w:qFormat/>
    <w:pPr>
      <w:keepNext w:val="true"/>
      <w:spacing w:before="240" w:after="120"/>
    </w:pPr>
    <w:rPr>
      <w:rFonts w:ascii="DejaVu Sans" w:hAnsi="DejaVu Sans" w:eastAsia="DejaVu Sans" w:cs="FreeSans"/>
      <w:sz w:val="28"/>
      <w:szCs w:val="28"/>
    </w:rPr>
  </w:style>
  <w:style w:type="paragraph" w:styleId="BodyText">
    <w:name w:val="Body Text"/>
    <w:basedOn w:val="Normal"/>
    <w:link w:val="Style6"/>
    <w:uiPriority w:val="0"/>
    <w:qFormat/>
    <w:pPr>
      <w:spacing w:before="0" w:after="120"/>
      <w:jc w:val="both"/>
    </w:pPr>
    <w:rPr>
      <w:rFonts w:ascii="Arial" w:hAnsi="Arial"/>
      <w:lang w:eastAsia="zh-CN"/>
    </w:rPr>
  </w:style>
  <w:style w:type="paragraph" w:styleId="List">
    <w:name w:val="List"/>
    <w:basedOn w:val="Normal"/>
    <w:uiPriority w:val="0"/>
    <w:qFormat/>
    <w:pPr>
      <w:ind w:hanging="284" w:left="568"/>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6" w:customStyle="1">
    <w:name w:val="H6"/>
    <w:basedOn w:val="Heading5"/>
    <w:next w:val="Normal"/>
    <w:uiPriority w:val="0"/>
    <w:qFormat/>
    <w:pPr>
      <w:ind w:hanging="1985" w:left="1985"/>
      <w:outlineLvl w:val="9"/>
    </w:pPr>
    <w:rPr>
      <w:sz w:val="20"/>
    </w:rPr>
  </w:style>
  <w:style w:type="paragraph" w:styleId="List3">
    <w:name w:val="List 3"/>
    <w:basedOn w:val="List2"/>
    <w:uiPriority w:val="0"/>
    <w:qFormat/>
    <w:pPr>
      <w:ind w:left="1135"/>
    </w:pPr>
    <w:rPr/>
  </w:style>
  <w:style w:type="paragraph" w:styleId="List2">
    <w:name w:val="List 2"/>
    <w:basedOn w:val="List"/>
    <w:uiPriority w:val="0"/>
    <w:qFormat/>
    <w:pPr>
      <w:ind w:left="851"/>
    </w:pPr>
    <w:rPr/>
  </w:style>
  <w:style w:type="paragraph" w:styleId="TOC7">
    <w:name w:val="TOC 7"/>
    <w:basedOn w:val="TOC6"/>
    <w:next w:val="Normal"/>
    <w:uiPriority w:val="39"/>
    <w:qFormat/>
    <w:pPr>
      <w:ind w:hanging="2268" w:left="2268"/>
    </w:pPr>
    <w:rPr/>
  </w:style>
  <w:style w:type="paragraph" w:styleId="TOC6">
    <w:name w:val="TOC 6"/>
    <w:basedOn w:val="TOC5"/>
    <w:next w:val="Normal"/>
    <w:uiPriority w:val="39"/>
    <w:qFormat/>
    <w:pPr>
      <w:ind w:hanging="1985" w:left="1985"/>
    </w:pPr>
    <w:rPr/>
  </w:style>
  <w:style w:type="paragraph" w:styleId="TOC5">
    <w:name w:val="TOC 5"/>
    <w:basedOn w:val="TOC4"/>
    <w:next w:val="Normal"/>
    <w:uiPriority w:val="39"/>
    <w:qFormat/>
    <w:pPr>
      <w:ind w:hanging="1701" w:left="1701"/>
    </w:pPr>
    <w:rPr/>
  </w:style>
  <w:style w:type="paragraph" w:styleId="TOC4">
    <w:name w:val="TOC 4"/>
    <w:basedOn w:val="TOC3"/>
    <w:next w:val="Normal"/>
    <w:uiPriority w:val="39"/>
    <w:qFormat/>
    <w:pPr>
      <w:ind w:hanging="1418" w:left="1418"/>
    </w:pPr>
    <w:rPr/>
  </w:style>
  <w:style w:type="paragraph" w:styleId="TOC3">
    <w:name w:val="TOC 3"/>
    <w:basedOn w:val="TOC2"/>
    <w:next w:val="Normal"/>
    <w:uiPriority w:val="39"/>
    <w:qFormat/>
    <w:pPr>
      <w:ind w:hanging="1134" w:left="1134"/>
    </w:pPr>
    <w:rPr/>
  </w:style>
  <w:style w:type="paragraph" w:styleId="TOC2">
    <w:name w:val="TOC 2"/>
    <w:basedOn w:val="TOC1"/>
    <w:next w:val="Normal"/>
    <w:uiPriority w:val="39"/>
    <w:qFormat/>
    <w:pPr>
      <w:keepNext w:val="false"/>
      <w:spacing w:before="0" w:after="180"/>
      <w:ind w:hanging="851" w:left="851"/>
    </w:pPr>
    <w:rPr>
      <w:sz w:val="20"/>
    </w:rPr>
  </w:style>
  <w:style w:type="paragraph" w:styleId="TOC1">
    <w:name w:val="TOC 1"/>
    <w:basedOn w:val="Normal"/>
    <w:next w:val="Normal"/>
    <w:uiPriority w:val="39"/>
    <w:qFormat/>
    <w:pPr>
      <w:keepNext w:val="true"/>
      <w:keepLines/>
      <w:widowControl w:val="false"/>
      <w:tabs>
        <w:tab w:val="clear" w:pos="567"/>
        <w:tab w:val="right" w:pos="9639" w:leader="dot"/>
      </w:tabs>
      <w:spacing w:before="120" w:after="180"/>
      <w:ind w:hanging="567" w:left="567" w:right="425"/>
    </w:pPr>
    <w:rPr>
      <w:sz w:val="22"/>
    </w:rPr>
  </w:style>
  <w:style w:type="paragraph" w:styleId="ListNumber2">
    <w:name w:val="List Number 2"/>
    <w:basedOn w:val="ListNumber"/>
    <w:uiPriority w:val="0"/>
    <w:qFormat/>
    <w:pPr>
      <w:numPr>
        <w:ilvl w:val="0"/>
        <w:numId w:val="1"/>
      </w:numPr>
    </w:pPr>
    <w:rPr/>
  </w:style>
  <w:style w:type="paragraph" w:styleId="ListNumber">
    <w:name w:val="List Number"/>
    <w:basedOn w:val="List"/>
    <w:uiPriority w:val="0"/>
    <w:qFormat/>
    <w:pPr>
      <w:numPr>
        <w:ilvl w:val="0"/>
        <w:numId w:val="2"/>
      </w:numPr>
    </w:pPr>
    <w:rPr/>
  </w:style>
  <w:style w:type="paragraph" w:styleId="ListBullet4">
    <w:name w:val="List Bullet 4"/>
    <w:basedOn w:val="ListBullet3"/>
    <w:uiPriority w:val="0"/>
    <w:qFormat/>
    <w:pPr>
      <w:numPr>
        <w:ilvl w:val="0"/>
        <w:numId w:val="3"/>
      </w:numPr>
    </w:pPr>
    <w:rPr/>
  </w:style>
  <w:style w:type="paragraph" w:styleId="ListBullet3">
    <w:name w:val="List Bullet 3"/>
    <w:basedOn w:val="ListBullet2"/>
    <w:uiPriority w:val="0"/>
    <w:qFormat/>
    <w:pPr>
      <w:numPr>
        <w:ilvl w:val="0"/>
        <w:numId w:val="4"/>
      </w:numPr>
    </w:pPr>
    <w:rPr/>
  </w:style>
  <w:style w:type="paragraph" w:styleId="ListBullet2">
    <w:name w:val="List Bullet 2"/>
    <w:basedOn w:val="ListBullet"/>
    <w:uiPriority w:val="0"/>
    <w:qFormat/>
    <w:pPr>
      <w:numPr>
        <w:ilvl w:val="0"/>
        <w:numId w:val="5"/>
      </w:numPr>
    </w:pPr>
    <w:rPr/>
  </w:style>
  <w:style w:type="paragraph" w:styleId="ListBullet">
    <w:name w:val="List Bullet"/>
    <w:basedOn w:val="List"/>
    <w:uiPriority w:val="0"/>
    <w:qFormat/>
    <w:pPr>
      <w:numPr>
        <w:ilvl w:val="0"/>
        <w:numId w:val="6"/>
      </w:numPr>
    </w:pPr>
    <w:rPr/>
  </w:style>
  <w:style w:type="paragraph" w:styleId="Caption1">
    <w:name w:val="caption1"/>
    <w:basedOn w:val="Normal"/>
    <w:next w:val="Normal"/>
    <w:uiPriority w:val="0"/>
    <w:qFormat/>
    <w:pPr>
      <w:spacing w:before="120" w:after="120"/>
    </w:pPr>
    <w:rPr>
      <w:b/>
      <w:lang w:eastAsia="en-GB"/>
    </w:rPr>
  </w:style>
  <w:style w:type="paragraph" w:styleId="DocumentMap">
    <w:name w:val="Document Map"/>
    <w:basedOn w:val="Normal"/>
    <w:link w:val="Style9"/>
    <w:uiPriority w:val="0"/>
    <w:qFormat/>
    <w:pPr>
      <w:shd w:val="clear" w:color="auto" w:fill="000080"/>
    </w:pPr>
    <w:rPr>
      <w:rFonts w:ascii="Tahoma" w:hAnsi="Tahoma" w:cs="Tahoma"/>
    </w:rPr>
  </w:style>
  <w:style w:type="paragraph" w:styleId="Annotationtext">
    <w:name w:val="annotation text"/>
    <w:basedOn w:val="Normal"/>
    <w:link w:val="Style7"/>
    <w:uiPriority w:val="99"/>
    <w:qFormat/>
    <w:pPr/>
    <w:rPr/>
  </w:style>
  <w:style w:type="paragraph" w:styleId="ListNumber3">
    <w:name w:val="List Number 3"/>
    <w:basedOn w:val="ListNumber2"/>
    <w:uiPriority w:val="0"/>
    <w:qFormat/>
    <w:pPr>
      <w:numPr>
        <w:ilvl w:val="0"/>
        <w:numId w:val="7"/>
      </w:numPr>
      <w:spacing w:before="0" w:after="180"/>
      <w:contextualSpacing/>
    </w:pPr>
    <w:rPr/>
  </w:style>
  <w:style w:type="paragraph" w:styleId="ListContinue">
    <w:name w:val="List Continue"/>
    <w:basedOn w:val="Normal"/>
    <w:uiPriority w:val="0"/>
    <w:qFormat/>
    <w:pPr>
      <w:spacing w:before="0" w:after="120"/>
      <w:ind w:left="283"/>
      <w:contextualSpacing/>
    </w:pPr>
    <w:rPr>
      <w:rFonts w:ascii="Arial" w:hAnsi="Arial"/>
    </w:rPr>
  </w:style>
  <w:style w:type="paragraph" w:styleId="PlainText">
    <w:name w:val="Plain Text"/>
    <w:basedOn w:val="Normal"/>
    <w:link w:val="Style14"/>
    <w:uiPriority w:val="0"/>
    <w:qFormat/>
    <w:pPr/>
    <w:rPr>
      <w:rFonts w:ascii="Courier New" w:hAnsi="Courier New"/>
      <w:lang w:val="nb-NO"/>
    </w:rPr>
  </w:style>
  <w:style w:type="paragraph" w:styleId="ListBullet5">
    <w:name w:val="List Bullet 5"/>
    <w:basedOn w:val="ListBullet4"/>
    <w:uiPriority w:val="0"/>
    <w:qFormat/>
    <w:pPr>
      <w:numPr>
        <w:ilvl w:val="0"/>
        <w:numId w:val="8"/>
      </w:numPr>
    </w:pPr>
    <w:rPr/>
  </w:style>
  <w:style w:type="paragraph" w:styleId="TOC8">
    <w:name w:val="TOC 8"/>
    <w:basedOn w:val="TOC1"/>
    <w:next w:val="Normal"/>
    <w:uiPriority w:val="39"/>
    <w:qFormat/>
    <w:pPr>
      <w:spacing w:before="180" w:after="180"/>
      <w:ind w:hanging="2693" w:left="2693"/>
    </w:pPr>
    <w:rPr>
      <w:b/>
    </w:rPr>
  </w:style>
  <w:style w:type="paragraph" w:styleId="BalloonText">
    <w:name w:val="Balloon Text"/>
    <w:basedOn w:val="Normal"/>
    <w:link w:val="Style5"/>
    <w:uiPriority w:val="0"/>
    <w:qFormat/>
    <w:pPr>
      <w:spacing w:before="0" w:after="0"/>
    </w:pPr>
    <w:rPr>
      <w:rFonts w:ascii="Segoe UI" w:hAnsi="Segoe UI" w:cs="Segoe UI"/>
      <w:sz w:val="18"/>
      <w:szCs w:val="18"/>
    </w:rPr>
  </w:style>
  <w:style w:type="paragraph" w:styleId="En-tteetpieddepage">
    <w:name w:val="En-tête et pied de page"/>
    <w:basedOn w:val="Normal"/>
    <w:qFormat/>
    <w:pPr/>
    <w:rPr/>
  </w:style>
  <w:style w:type="paragraph" w:styleId="Footer">
    <w:name w:val="Footer"/>
    <w:basedOn w:val="Header"/>
    <w:link w:val="Style11"/>
    <w:uiPriority w:val="0"/>
    <w:qFormat/>
    <w:pPr>
      <w:jc w:val="center"/>
    </w:pPr>
    <w:rPr>
      <w:i/>
    </w:rPr>
  </w:style>
  <w:style w:type="paragraph" w:styleId="Header">
    <w:name w:val="Header"/>
    <w:basedOn w:val="En-tteetpieddepage"/>
    <w:link w:val="Style10"/>
    <w:uiPriority w:val="0"/>
    <w:qFormat/>
    <w:pPr>
      <w:widowControl w:val="false"/>
      <w:overflowPunct w:val="true"/>
      <w:textAlignment w:val="baseline"/>
    </w:pPr>
    <w:rPr>
      <w:rFonts w:ascii="Arial" w:hAnsi="Arial" w:eastAsia="Times New Roman" w:cs="Times New Roman"/>
      <w:b/>
      <w:sz w:val="18"/>
      <w:lang w:val="en-GB" w:eastAsia="ja-JP" w:bidi="ar-SA"/>
    </w:rPr>
  </w:style>
  <w:style w:type="paragraph" w:styleId="Indexheading">
    <w:name w:val="index heading"/>
    <w:basedOn w:val="Normal"/>
    <w:next w:val="Normal"/>
    <w:uiPriority w:val="0"/>
    <w:qFormat/>
    <w:pPr>
      <w:pBdr>
        <w:top w:val="single" w:sz="12" w:space="0" w:color="000000"/>
      </w:pBdr>
      <w:spacing w:before="360" w:after="240"/>
    </w:pPr>
    <w:rPr>
      <w:b/>
      <w:i/>
      <w:sz w:val="26"/>
      <w:lang w:eastAsia="en-GB"/>
    </w:rPr>
  </w:style>
  <w:style w:type="paragraph" w:styleId="FootnoteText">
    <w:name w:val="Footnote Text"/>
    <w:basedOn w:val="Normal"/>
    <w:link w:val="Style12"/>
    <w:uiPriority w:val="0"/>
    <w:qFormat/>
    <w:pPr>
      <w:keepLines/>
      <w:spacing w:before="0" w:after="0"/>
      <w:ind w:hanging="454" w:left="454"/>
    </w:pPr>
    <w:rPr>
      <w:sz w:val="16"/>
    </w:rPr>
  </w:style>
  <w:style w:type="paragraph" w:styleId="List5">
    <w:name w:val="List 5"/>
    <w:basedOn w:val="List4"/>
    <w:uiPriority w:val="0"/>
    <w:qFormat/>
    <w:pPr>
      <w:ind w:left="1702"/>
    </w:pPr>
    <w:rPr/>
  </w:style>
  <w:style w:type="paragraph" w:styleId="List4">
    <w:name w:val="List 4"/>
    <w:basedOn w:val="List3"/>
    <w:uiPriority w:val="0"/>
    <w:qFormat/>
    <w:pPr>
      <w:ind w:left="1418"/>
    </w:pPr>
    <w:rPr/>
  </w:style>
  <w:style w:type="paragraph" w:styleId="TableofFigures">
    <w:name w:val="Table of Figures"/>
    <w:basedOn w:val="BodyText"/>
    <w:next w:val="Normal"/>
    <w:uiPriority w:val="99"/>
    <w:qFormat/>
    <w:pPr>
      <w:ind w:hanging="1701" w:left="1701"/>
      <w:jc w:val="left"/>
    </w:pPr>
    <w:rPr>
      <w:b/>
    </w:rPr>
  </w:style>
  <w:style w:type="paragraph" w:styleId="TOC9">
    <w:name w:val="TOC 9"/>
    <w:basedOn w:val="TOC8"/>
    <w:next w:val="Normal"/>
    <w:uiPriority w:val="39"/>
    <w:qFormat/>
    <w:pPr>
      <w:ind w:hanging="1418" w:left="1418"/>
    </w:pPr>
    <w:rPr/>
  </w:style>
  <w:style w:type="paragraph" w:styleId="ListContinue2">
    <w:name w:val="List Continue 2"/>
    <w:basedOn w:val="Normal"/>
    <w:uiPriority w:val="0"/>
    <w:qFormat/>
    <w:pPr>
      <w:spacing w:before="0" w:after="120"/>
      <w:ind w:left="566"/>
      <w:contextualSpacing/>
    </w:pPr>
    <w:rPr>
      <w:rFonts w:ascii="Arial" w:hAnsi="Arial"/>
    </w:rPr>
  </w:style>
  <w:style w:type="paragraph" w:styleId="NormalWeb">
    <w:name w:val="Normal (Web)"/>
    <w:basedOn w:val="Normal"/>
    <w:uiPriority w:val="0"/>
    <w:qFormat/>
    <w:pPr/>
    <w:rPr>
      <w:sz w:val="24"/>
    </w:rPr>
  </w:style>
  <w:style w:type="paragraph" w:styleId="Index1">
    <w:name w:val="index 1"/>
    <w:basedOn w:val="Normal"/>
    <w:next w:val="Normal"/>
    <w:uiPriority w:val="0"/>
    <w:qFormat/>
    <w:pPr>
      <w:keepLines/>
      <w:spacing w:before="0" w:after="0"/>
    </w:pPr>
    <w:rPr/>
  </w:style>
  <w:style w:type="paragraph" w:styleId="Index2">
    <w:name w:val="index 2"/>
    <w:basedOn w:val="Index1"/>
    <w:next w:val="Normal"/>
    <w:uiPriority w:val="0"/>
    <w:qFormat/>
    <w:pPr>
      <w:ind w:left="284"/>
    </w:pPr>
    <w:rPr/>
  </w:style>
  <w:style w:type="paragraph" w:styleId="Annotationsubject">
    <w:name w:val="annotation subject"/>
    <w:basedOn w:val="Annotationtext"/>
    <w:next w:val="Annotationtext"/>
    <w:link w:val="Style8"/>
    <w:uiPriority w:val="0"/>
    <w:qFormat/>
    <w:pPr/>
    <w:rPr>
      <w:b/>
      <w:bCs/>
    </w:rPr>
  </w:style>
  <w:style w:type="paragraph" w:styleId="Figure" w:customStyle="1">
    <w:name w:val="Figure"/>
    <w:basedOn w:val="Normal"/>
    <w:next w:val="Caption1"/>
    <w:uiPriority w:val="0"/>
    <w:qFormat/>
    <w:pPr>
      <w:keepNext w:val="true"/>
      <w:keepLines/>
      <w:spacing w:before="180" w:after="180"/>
      <w:jc w:val="center"/>
    </w:pPr>
    <w:rPr/>
  </w:style>
  <w:style w:type="paragraph" w:styleId="3GPPHeader" w:customStyle="1">
    <w:name w:val="3GPP_Header"/>
    <w:basedOn w:val="BodyText"/>
    <w:uiPriority w:val="0"/>
    <w:qFormat/>
    <w:pPr>
      <w:tabs>
        <w:tab w:val="clear" w:pos="567"/>
        <w:tab w:val="left" w:pos="1701" w:leader="none"/>
        <w:tab w:val="right" w:pos="9639" w:leader="none"/>
      </w:tabs>
      <w:spacing w:before="0" w:after="240"/>
    </w:pPr>
    <w:rPr>
      <w:b/>
      <w:sz w:val="24"/>
    </w:rPr>
  </w:style>
  <w:style w:type="paragraph" w:styleId="EQ" w:customStyle="1">
    <w:name w:val="EQ"/>
    <w:basedOn w:val="Normal"/>
    <w:next w:val="Normal"/>
    <w:uiPriority w:val="0"/>
    <w:qFormat/>
    <w:pPr>
      <w:keepLines/>
      <w:tabs>
        <w:tab w:val="clear" w:pos="567"/>
        <w:tab w:val="center" w:pos="4536" w:leader="none"/>
        <w:tab w:val="right" w:pos="9072" w:leader="none"/>
      </w:tabs>
    </w:pPr>
    <w:rPr/>
  </w:style>
  <w:style w:type="paragraph" w:styleId="EditorsNote" w:customStyle="1">
    <w:name w:val="Editor's Note"/>
    <w:basedOn w:val="NO"/>
    <w:link w:val="EditorsNoteChar"/>
    <w:uiPriority w:val="0"/>
    <w:qFormat/>
    <w:pPr/>
    <w:rPr>
      <w:color w:val="FF0000"/>
      <w:lang w:val="zh-CN" w:eastAsia="zh-CN"/>
    </w:rPr>
  </w:style>
  <w:style w:type="paragraph" w:styleId="NO" w:customStyle="1">
    <w:name w:val="NO"/>
    <w:basedOn w:val="Normal"/>
    <w:link w:val="NOChar"/>
    <w:uiPriority w:val="0"/>
    <w:qFormat/>
    <w:pPr>
      <w:keepLines/>
      <w:ind w:hanging="851" w:left="1135"/>
    </w:pPr>
    <w:rPr/>
  </w:style>
  <w:style w:type="paragraph" w:styleId="Reference" w:customStyle="1">
    <w:name w:val="Reference"/>
    <w:basedOn w:val="BodyText"/>
    <w:uiPriority w:val="0"/>
    <w:qFormat/>
    <w:pPr>
      <w:numPr>
        <w:ilvl w:val="0"/>
        <w:numId w:val="9"/>
      </w:numPr>
    </w:pPr>
    <w:rPr/>
  </w:style>
  <w:style w:type="paragraph" w:styleId="B1" w:customStyle="1">
    <w:name w:val="B1"/>
    <w:basedOn w:val="List"/>
    <w:link w:val="B1Char1"/>
    <w:uiPriority w:val="0"/>
    <w:qFormat/>
    <w:pPr/>
    <w:rPr/>
  </w:style>
  <w:style w:type="paragraph" w:styleId="B2" w:customStyle="1">
    <w:name w:val="B2"/>
    <w:basedOn w:val="List2"/>
    <w:link w:val="B2Char"/>
    <w:uiPriority w:val="0"/>
    <w:qFormat/>
    <w:pPr/>
    <w:rPr/>
  </w:style>
  <w:style w:type="paragraph" w:styleId="B3" w:customStyle="1">
    <w:name w:val="B3"/>
    <w:basedOn w:val="List3"/>
    <w:link w:val="B3Char2"/>
    <w:uiPriority w:val="0"/>
    <w:qFormat/>
    <w:pPr/>
    <w:rPr/>
  </w:style>
  <w:style w:type="paragraph" w:styleId="B4" w:customStyle="1">
    <w:name w:val="B4"/>
    <w:basedOn w:val="List4"/>
    <w:link w:val="B4Char"/>
    <w:uiPriority w:val="0"/>
    <w:qFormat/>
    <w:pPr/>
    <w:rPr/>
  </w:style>
  <w:style w:type="paragraph" w:styleId="Proposal" w:customStyle="1">
    <w:name w:val="Proposal"/>
    <w:basedOn w:val="BodyText"/>
    <w:uiPriority w:val="0"/>
    <w:qFormat/>
    <w:pPr>
      <w:numPr>
        <w:ilvl w:val="0"/>
        <w:numId w:val="10"/>
      </w:numPr>
      <w:tabs>
        <w:tab w:val="clear" w:pos="567"/>
        <w:tab w:val="left" w:pos="1701" w:leader="none"/>
      </w:tabs>
    </w:pPr>
    <w:rPr>
      <w:b/>
      <w:bCs/>
    </w:rPr>
  </w:style>
  <w:style w:type="paragraph" w:styleId="B5" w:customStyle="1">
    <w:name w:val="B5"/>
    <w:basedOn w:val="List5"/>
    <w:link w:val="B5Char"/>
    <w:uiPriority w:val="0"/>
    <w:qFormat/>
    <w:pPr/>
    <w:rPr/>
  </w:style>
  <w:style w:type="paragraph" w:styleId="EX" w:customStyle="1">
    <w:name w:val="EX"/>
    <w:basedOn w:val="Normal"/>
    <w:uiPriority w:val="0"/>
    <w:qFormat/>
    <w:pPr>
      <w:keepLines/>
      <w:ind w:hanging="1418" w:left="1702"/>
    </w:pPr>
    <w:rPr/>
  </w:style>
  <w:style w:type="paragraph" w:styleId="EW" w:customStyle="1">
    <w:name w:val="EW"/>
    <w:basedOn w:val="EX"/>
    <w:uiPriority w:val="0"/>
    <w:qFormat/>
    <w:pPr>
      <w:spacing w:before="0" w:after="0"/>
    </w:pPr>
    <w:rPr/>
  </w:style>
  <w:style w:type="paragraph" w:styleId="TAL" w:customStyle="1">
    <w:name w:val="TAL"/>
    <w:basedOn w:val="Normal"/>
    <w:link w:val="TALCar"/>
    <w:uiPriority w:val="0"/>
    <w:qFormat/>
    <w:pPr>
      <w:keepNext w:val="true"/>
      <w:keepLines/>
      <w:spacing w:before="0" w:after="0"/>
    </w:pPr>
    <w:rPr>
      <w:rFonts w:ascii="Arial" w:hAnsi="Arial"/>
      <w:sz w:val="18"/>
      <w:lang w:val="zh-CN" w:eastAsia="zh-CN"/>
    </w:rPr>
  </w:style>
  <w:style w:type="paragraph" w:styleId="TAC" w:customStyle="1">
    <w:name w:val="TAC"/>
    <w:basedOn w:val="TAL"/>
    <w:uiPriority w:val="0"/>
    <w:qFormat/>
    <w:pPr>
      <w:jc w:val="center"/>
    </w:pPr>
    <w:rPr/>
  </w:style>
  <w:style w:type="paragraph" w:styleId="TAH" w:customStyle="1">
    <w:name w:val="TAH"/>
    <w:basedOn w:val="TAC"/>
    <w:link w:val="TAHCar"/>
    <w:uiPriority w:val="0"/>
    <w:qFormat/>
    <w:pPr/>
    <w:rPr>
      <w:b/>
    </w:rPr>
  </w:style>
  <w:style w:type="paragraph" w:styleId="TAN" w:customStyle="1">
    <w:name w:val="TAN"/>
    <w:basedOn w:val="TAL"/>
    <w:uiPriority w:val="0"/>
    <w:qFormat/>
    <w:pPr>
      <w:ind w:hanging="851" w:left="851"/>
    </w:pPr>
    <w:rPr/>
  </w:style>
  <w:style w:type="paragraph" w:styleId="TAR" w:customStyle="1">
    <w:name w:val="TAR"/>
    <w:basedOn w:val="TAL"/>
    <w:uiPriority w:val="0"/>
    <w:qFormat/>
    <w:pPr>
      <w:jc w:val="right"/>
    </w:pPr>
    <w:rPr/>
  </w:style>
  <w:style w:type="paragraph" w:styleId="TH" w:customStyle="1">
    <w:name w:val="TH"/>
    <w:basedOn w:val="Normal"/>
    <w:link w:val="THChar"/>
    <w:uiPriority w:val="0"/>
    <w:qFormat/>
    <w:pPr>
      <w:keepNext w:val="true"/>
      <w:keepLines/>
      <w:spacing w:before="60" w:after="180"/>
      <w:jc w:val="center"/>
    </w:pPr>
    <w:rPr>
      <w:rFonts w:ascii="Arial" w:hAnsi="Arial"/>
      <w:b/>
      <w:lang w:val="zh-CN" w:eastAsia="zh-CN"/>
    </w:rPr>
  </w:style>
  <w:style w:type="paragraph" w:styleId="TF" w:customStyle="1">
    <w:name w:val="TF"/>
    <w:basedOn w:val="TH"/>
    <w:link w:val="TFChar"/>
    <w:uiPriority w:val="0"/>
    <w:qFormat/>
    <w:pPr>
      <w:keepNext w:val="false"/>
      <w:spacing w:before="0" w:after="240"/>
    </w:pPr>
    <w:rPr/>
  </w:style>
  <w:style w:type="paragraph" w:styleId="TT" w:customStyle="1">
    <w:name w:val="TT"/>
    <w:basedOn w:val="Heading1"/>
    <w:next w:val="Normal"/>
    <w:uiPriority w:val="0"/>
    <w:qFormat/>
    <w:pPr>
      <w:outlineLvl w:val="9"/>
    </w:pPr>
    <w:rPr/>
  </w:style>
  <w:style w:type="paragraph" w:styleId="ZA" w:customStyle="1">
    <w:name w:val="ZA"/>
    <w:uiPriority w:val="0"/>
    <w:qFormat/>
    <w:pPr>
      <w:widowControl w:val="false"/>
      <w:pBdr>
        <w:bottom w:val="single" w:sz="12" w:space="1" w:color="000000"/>
      </w:pBdr>
      <w:overflowPunct w:val="true"/>
      <w:bidi w:val="0"/>
      <w:jc w:val="right"/>
      <w:textAlignment w:val="baseline"/>
    </w:pPr>
    <w:rPr>
      <w:rFonts w:ascii="Arial" w:hAnsi="Arial" w:eastAsia="Times New Roman" w:cs="Times New Roman"/>
      <w:color w:val="auto"/>
      <w:kern w:val="0"/>
      <w:sz w:val="40"/>
      <w:szCs w:val="20"/>
      <w:lang w:val="en-GB" w:eastAsia="ja-JP" w:bidi="ar-SA"/>
    </w:rPr>
  </w:style>
  <w:style w:type="paragraph" w:styleId="ZB" w:customStyle="1">
    <w:name w:val="ZB"/>
    <w:uiPriority w:val="0"/>
    <w:qFormat/>
    <w:pPr>
      <w:widowControl w:val="false"/>
      <w:overflowPunct w:val="true"/>
      <w:bidi w:val="0"/>
      <w:ind w:right="28"/>
      <w:jc w:val="right"/>
      <w:textAlignment w:val="baseline"/>
    </w:pPr>
    <w:rPr>
      <w:rFonts w:ascii="Arial" w:hAnsi="Arial" w:eastAsia="Times New Roman" w:cs="Times New Roman"/>
      <w:i/>
      <w:color w:val="auto"/>
      <w:kern w:val="0"/>
      <w:sz w:val="20"/>
      <w:szCs w:val="20"/>
      <w:lang w:val="en-GB" w:eastAsia="ja-JP" w:bidi="ar-SA"/>
    </w:rPr>
  </w:style>
  <w:style w:type="paragraph" w:styleId="ZD" w:customStyle="1">
    <w:name w:val="ZD"/>
    <w:uiPriority w:val="0"/>
    <w:qFormat/>
    <w:pPr>
      <w:widowControl w:val="false"/>
      <w:overflowPunct w:val="true"/>
      <w:bidi w:val="0"/>
      <w:textAlignment w:val="baseline"/>
    </w:pPr>
    <w:rPr>
      <w:rFonts w:ascii="Arial" w:hAnsi="Arial" w:eastAsia="Times New Roman" w:cs="Times New Roman"/>
      <w:color w:val="auto"/>
      <w:kern w:val="0"/>
      <w:sz w:val="32"/>
      <w:szCs w:val="20"/>
      <w:lang w:val="en-GB" w:eastAsia="ja-JP" w:bidi="ar-SA"/>
    </w:rPr>
  </w:style>
  <w:style w:type="paragraph" w:styleId="ZG" w:customStyle="1">
    <w:name w:val="ZG"/>
    <w:uiPriority w:val="0"/>
    <w:qFormat/>
    <w:pPr>
      <w:widowControl w:val="false"/>
      <w:overflowPunct w:val="true"/>
      <w:bidi w:val="0"/>
      <w:jc w:val="right"/>
      <w:textAlignment w:val="baseline"/>
    </w:pPr>
    <w:rPr>
      <w:rFonts w:ascii="Arial" w:hAnsi="Arial" w:eastAsia="Times New Roman" w:cs="Times New Roman"/>
      <w:color w:val="auto"/>
      <w:kern w:val="0"/>
      <w:sz w:val="20"/>
      <w:szCs w:val="20"/>
      <w:lang w:val="en-GB" w:eastAsia="ja-JP" w:bidi="ar-SA"/>
    </w:rPr>
  </w:style>
  <w:style w:type="paragraph" w:styleId="ZH" w:customStyle="1">
    <w:name w:val="ZH"/>
    <w:uiPriority w:val="0"/>
    <w:qFormat/>
    <w:pPr>
      <w:widowControl w:val="false"/>
      <w:overflowPunct w:val="true"/>
      <w:bidi w:val="0"/>
      <w:textAlignment w:val="baseline"/>
    </w:pPr>
    <w:rPr>
      <w:rFonts w:ascii="Arial" w:hAnsi="Arial" w:eastAsia="Times New Roman" w:cs="Times New Roman"/>
      <w:color w:val="auto"/>
      <w:kern w:val="0"/>
      <w:sz w:val="20"/>
      <w:szCs w:val="20"/>
      <w:lang w:val="en-GB" w:eastAsia="ja-JP" w:bidi="ar-SA"/>
    </w:rPr>
  </w:style>
  <w:style w:type="paragraph" w:styleId="ZT" w:customStyle="1">
    <w:name w:val="ZT"/>
    <w:uiPriority w:val="0"/>
    <w:qFormat/>
    <w:pPr>
      <w:widowControl w:val="false"/>
      <w:overflowPunct w:val="true"/>
      <w:bidi w:val="0"/>
      <w:spacing w:lineRule="atLeast" w:line="240"/>
      <w:jc w:val="right"/>
      <w:textAlignment w:val="baseline"/>
    </w:pPr>
    <w:rPr>
      <w:rFonts w:ascii="Arial" w:hAnsi="Arial" w:eastAsia="Times New Roman" w:cs="Times New Roman"/>
      <w:b/>
      <w:color w:val="auto"/>
      <w:kern w:val="0"/>
      <w:sz w:val="34"/>
      <w:szCs w:val="20"/>
      <w:lang w:val="en-GB" w:eastAsia="ja-JP" w:bidi="ar-SA"/>
    </w:rPr>
  </w:style>
  <w:style w:type="paragraph" w:styleId="ZTD" w:customStyle="1">
    <w:name w:val="ZTD"/>
    <w:basedOn w:val="ZB"/>
    <w:uiPriority w:val="0"/>
    <w:qFormat/>
    <w:pPr/>
    <w:rPr>
      <w:i w:val="false"/>
      <w:sz w:val="40"/>
    </w:rPr>
  </w:style>
  <w:style w:type="paragraph" w:styleId="ZU" w:customStyle="1">
    <w:name w:val="ZU"/>
    <w:uiPriority w:val="0"/>
    <w:qFormat/>
    <w:pPr>
      <w:widowControl w:val="false"/>
      <w:pBdr>
        <w:top w:val="single" w:sz="12" w:space="1" w:color="000000"/>
      </w:pBdr>
      <w:overflowPunct w:val="true"/>
      <w:bidi w:val="0"/>
      <w:jc w:val="right"/>
      <w:textAlignment w:val="baseline"/>
    </w:pPr>
    <w:rPr>
      <w:rFonts w:ascii="Arial" w:hAnsi="Arial" w:eastAsia="Times New Roman" w:cs="Times New Roman"/>
      <w:color w:val="auto"/>
      <w:kern w:val="0"/>
      <w:sz w:val="20"/>
      <w:szCs w:val="20"/>
      <w:lang w:val="en-GB" w:eastAsia="ja-JP" w:bidi="ar-SA"/>
    </w:rPr>
  </w:style>
  <w:style w:type="paragraph" w:styleId="ZV" w:customStyle="1">
    <w:name w:val="ZV"/>
    <w:basedOn w:val="ZU"/>
    <w:uiPriority w:val="0"/>
    <w:qFormat/>
    <w:pPr/>
    <w:rPr/>
  </w:style>
  <w:style w:type="paragraph" w:styleId="FP" w:customStyle="1">
    <w:name w:val="FP"/>
    <w:basedOn w:val="Normal"/>
    <w:uiPriority w:val="0"/>
    <w:qFormat/>
    <w:pPr>
      <w:spacing w:before="0" w:after="0"/>
    </w:pPr>
    <w:rPr/>
  </w:style>
  <w:style w:type="paragraph" w:styleId="Observation" w:customStyle="1">
    <w:name w:val="Observation"/>
    <w:basedOn w:val="Proposal"/>
    <w:uiPriority w:val="0"/>
    <w:qFormat/>
    <w:pPr>
      <w:numPr>
        <w:ilvl w:val="0"/>
        <w:numId w:val="11"/>
      </w:numPr>
      <w:ind w:hanging="1701" w:left="1701"/>
    </w:pPr>
    <w:rPr>
      <w:lang w:eastAsia="ja-JP"/>
    </w:rPr>
  </w:style>
  <w:style w:type="paragraph" w:styleId="B6" w:customStyle="1">
    <w:name w:val="B6"/>
    <w:basedOn w:val="B5"/>
    <w:link w:val="B6Char"/>
    <w:uiPriority w:val="0"/>
    <w:qFormat/>
    <w:pPr>
      <w:ind w:left="1985"/>
    </w:pPr>
    <w:rPr/>
  </w:style>
  <w:style w:type="paragraph" w:styleId="B7" w:customStyle="1">
    <w:name w:val="B7"/>
    <w:basedOn w:val="B6"/>
    <w:link w:val="B7Char"/>
    <w:uiPriority w:val="0"/>
    <w:qFormat/>
    <w:pPr>
      <w:ind w:left="2269"/>
    </w:pPr>
    <w:rPr/>
  </w:style>
  <w:style w:type="paragraph" w:styleId="B8" w:customStyle="1">
    <w:name w:val="B8"/>
    <w:basedOn w:val="B7"/>
    <w:uiPriority w:val="0"/>
    <w:qFormat/>
    <w:pPr>
      <w:ind w:left="2552"/>
    </w:pPr>
    <w:rPr/>
  </w:style>
  <w:style w:type="paragraph" w:styleId="CRCoverPage" w:customStyle="1">
    <w:name w:val="CR Cover Page"/>
    <w:link w:val="CRCoverPageZchn"/>
    <w:uiPriority w:val="0"/>
    <w:qFormat/>
    <w:pPr>
      <w:widowControl w:val="false"/>
      <w:bidi w:val="0"/>
      <w:spacing w:before="0" w:after="120"/>
    </w:pPr>
    <w:rPr>
      <w:rFonts w:ascii="Arial" w:hAnsi="Arial" w:eastAsia="Times New Roman" w:cs="Times New Roman"/>
      <w:color w:val="auto"/>
      <w:kern w:val="0"/>
      <w:sz w:val="20"/>
      <w:szCs w:val="20"/>
      <w:lang w:val="en-GB" w:eastAsia="ko-KR" w:bidi="ar-SA"/>
    </w:rPr>
  </w:style>
  <w:style w:type="paragraph" w:styleId="Doc-text2" w:customStyle="1">
    <w:name w:val="Doc-text2"/>
    <w:basedOn w:val="Normal"/>
    <w:link w:val="Doc-text2Char"/>
    <w:uiPriority w:val="0"/>
    <w:qFormat/>
    <w:pPr>
      <w:tabs>
        <w:tab w:val="clear" w:pos="567"/>
        <w:tab w:val="left" w:pos="1622" w:leader="none"/>
      </w:tabs>
      <w:spacing w:before="0" w:after="0"/>
      <w:ind w:hanging="363" w:left="1622"/>
    </w:pPr>
    <w:rPr>
      <w:rFonts w:ascii="Arial" w:hAnsi="Arial" w:eastAsia="MS Mincho"/>
      <w:szCs w:val="24"/>
      <w:lang w:val="zh-CN" w:eastAsia="zh-CN"/>
    </w:rPr>
  </w:style>
  <w:style w:type="paragraph" w:styleId="EmailDiscussion" w:customStyle="1">
    <w:name w:val="EmailDiscussion"/>
    <w:basedOn w:val="Normal"/>
    <w:next w:val="EmailDiscussion2"/>
    <w:link w:val="EmailDiscussionChar"/>
    <w:uiPriority w:val="99"/>
    <w:qFormat/>
    <w:pPr>
      <w:numPr>
        <w:ilvl w:val="0"/>
        <w:numId w:val="12"/>
      </w:numPr>
      <w:spacing w:before="40" w:after="0"/>
    </w:pPr>
    <w:rPr>
      <w:rFonts w:ascii="Arial" w:hAnsi="Arial" w:eastAsia="MS Mincho"/>
      <w:b/>
      <w:szCs w:val="24"/>
      <w:lang w:eastAsia="en-GB"/>
    </w:rPr>
  </w:style>
  <w:style w:type="paragraph" w:styleId="EmailDiscussion2" w:customStyle="1">
    <w:name w:val="EmailDiscussion2"/>
    <w:basedOn w:val="Doc-text2"/>
    <w:uiPriority w:val="99"/>
    <w:qFormat/>
    <w:pPr>
      <w:overflowPunct w:val="false"/>
      <w:textAlignment w:val="auto"/>
    </w:pPr>
    <w:rPr>
      <w:lang w:val="en-GB" w:eastAsia="en-GB"/>
    </w:rPr>
  </w:style>
  <w:style w:type="paragraph" w:styleId="FigureTitle" w:customStyle="1">
    <w:name w:val="Figure_Title"/>
    <w:basedOn w:val="Normal"/>
    <w:next w:val="Normal"/>
    <w:uiPriority w:val="0"/>
    <w:qFormat/>
    <w:pPr>
      <w:keepLines/>
      <w:tabs>
        <w:tab w:val="clear" w:pos="567"/>
        <w:tab w:val="left" w:pos="794" w:leader="none"/>
        <w:tab w:val="left" w:pos="1191" w:leader="none"/>
        <w:tab w:val="left" w:pos="1588" w:leader="none"/>
        <w:tab w:val="left" w:pos="1985" w:leader="none"/>
      </w:tabs>
      <w:spacing w:before="120" w:after="480"/>
      <w:jc w:val="center"/>
    </w:pPr>
    <w:rPr>
      <w:b/>
      <w:sz w:val="24"/>
      <w:lang w:eastAsia="en-GB"/>
    </w:rPr>
  </w:style>
  <w:style w:type="paragraph" w:styleId="Guidance" w:customStyle="1">
    <w:name w:val="Guidance"/>
    <w:basedOn w:val="Normal"/>
    <w:uiPriority w:val="0"/>
    <w:qFormat/>
    <w:pPr/>
    <w:rPr>
      <w:i/>
      <w:color w:val="0000FF"/>
    </w:rPr>
  </w:style>
  <w:style w:type="paragraph" w:styleId="LD" w:customStyle="1">
    <w:name w:val="LD"/>
    <w:uiPriority w:val="0"/>
    <w:qFormat/>
    <w:pPr>
      <w:keepNext w:val="true"/>
      <w:keepLines/>
      <w:widowControl w:val="false"/>
      <w:overflowPunct w:val="true"/>
      <w:bidi w:val="0"/>
      <w:spacing w:lineRule="exact" w:line="180"/>
      <w:textAlignment w:val="baseline"/>
    </w:pPr>
    <w:rPr>
      <w:rFonts w:ascii="Courier New" w:hAnsi="Courier New" w:eastAsia="Times New Roman" w:cs="Times New Roman"/>
      <w:color w:val="auto"/>
      <w:kern w:val="0"/>
      <w:sz w:val="20"/>
      <w:szCs w:val="20"/>
      <w:lang w:val="en-GB" w:eastAsia="ja-JP" w:bidi="ar-SA"/>
    </w:rPr>
  </w:style>
  <w:style w:type="paragraph" w:styleId="ListParagraph">
    <w:name w:val="List Paragraph"/>
    <w:basedOn w:val="Normal"/>
    <w:link w:val="Style13"/>
    <w:uiPriority w:val="34"/>
    <w:qFormat/>
    <w:pPr>
      <w:spacing w:before="0" w:after="0"/>
      <w:ind w:left="720"/>
    </w:pPr>
    <w:rPr>
      <w:rFonts w:ascii="Calibri" w:hAnsi="Calibri" w:eastAsia="Calibri"/>
      <w:sz w:val="22"/>
      <w:szCs w:val="22"/>
      <w:lang w:val="zh-CN" w:eastAsia="en-US"/>
    </w:rPr>
  </w:style>
  <w:style w:type="paragraph" w:styleId="NF" w:customStyle="1">
    <w:name w:val="NF"/>
    <w:basedOn w:val="NO"/>
    <w:uiPriority w:val="0"/>
    <w:qFormat/>
    <w:pPr>
      <w:keepNext w:val="true"/>
      <w:spacing w:before="0" w:after="0"/>
    </w:pPr>
    <w:rPr>
      <w:rFonts w:ascii="Arial" w:hAnsi="Arial"/>
      <w:sz w:val="18"/>
    </w:rPr>
  </w:style>
  <w:style w:type="paragraph" w:styleId="NW" w:customStyle="1">
    <w:name w:val="NW"/>
    <w:basedOn w:val="NO"/>
    <w:uiPriority w:val="0"/>
    <w:qFormat/>
    <w:pPr>
      <w:spacing w:before="0" w:after="0"/>
    </w:pPr>
    <w:rPr/>
  </w:style>
  <w:style w:type="paragraph" w:styleId="PL" w:customStyle="1">
    <w:name w:val="PL"/>
    <w:link w:val="PLChar"/>
    <w:uiPriority w:val="0"/>
    <w:qFormat/>
    <w:pPr>
      <w:widowControl w:val="false"/>
      <w:shd w:val="clear" w:color="auto" w:fill="E6E6E6"/>
      <w:tabs>
        <w:tab w:val="clear" w:pos="567"/>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 w:val="left" w:pos="9582" w:leader="none"/>
        <w:tab w:val="left" w:pos="9968" w:leader="none"/>
        <w:tab w:val="left" w:pos="10348" w:leader="none"/>
        <w:tab w:val="left" w:pos="10733" w:leader="none"/>
        <w:tab w:val="left" w:pos="11113" w:leader="none"/>
        <w:tab w:val="left" w:pos="11499" w:leader="none"/>
        <w:tab w:val="left" w:pos="11884" w:leader="none"/>
        <w:tab w:val="left" w:pos="12264" w:leader="none"/>
        <w:tab w:val="left" w:pos="12650" w:leader="none"/>
        <w:tab w:val="left" w:pos="13030" w:leader="none"/>
        <w:tab w:val="left" w:pos="13415" w:leader="none"/>
        <w:tab w:val="left" w:pos="13801" w:leader="none"/>
        <w:tab w:val="left" w:pos="14181" w:leader="none"/>
      </w:tabs>
      <w:bidi w:val="0"/>
    </w:pPr>
    <w:rPr>
      <w:rFonts w:ascii="Courier New" w:hAnsi="Courier New" w:eastAsia="Batang" w:cs="Times New Roman"/>
      <w:color w:val="auto"/>
      <w:kern w:val="0"/>
      <w:sz w:val="16"/>
      <w:szCs w:val="20"/>
      <w:lang w:val="en-GB" w:eastAsia="sv-SE" w:bidi="ar-SA"/>
    </w:rPr>
  </w:style>
  <w:style w:type="paragraph" w:styleId="TAJ" w:customStyle="1">
    <w:name w:val="TAJ"/>
    <w:basedOn w:val="TH"/>
    <w:uiPriority w:val="0"/>
    <w:qFormat/>
    <w:pPr/>
    <w:rPr/>
  </w:style>
  <w:style w:type="paragraph" w:styleId="TALCharChar" w:customStyle="1">
    <w:name w:val="TAL Char Char"/>
    <w:basedOn w:val="Normal"/>
    <w:link w:val="TALCharCharChar"/>
    <w:uiPriority w:val="0"/>
    <w:qFormat/>
    <w:pPr>
      <w:keepNext w:val="true"/>
      <w:keepLines/>
      <w:spacing w:before="0" w:after="0"/>
    </w:pPr>
    <w:rPr>
      <w:rFonts w:ascii="Arial" w:hAnsi="Arial" w:eastAsia="Malgun Gothic"/>
      <w:sz w:val="18"/>
      <w:lang w:val="zh-CN" w:eastAsia="zh-CN"/>
    </w:rPr>
  </w:style>
  <w:style w:type="paragraph" w:styleId="12" w:customStyle="1">
    <w:name w:val="修订1"/>
    <w:uiPriority w:val="99"/>
    <w:semiHidden/>
    <w:qFormat/>
    <w:pPr>
      <w:widowControl w:val="false"/>
      <w:bidi w:val="0"/>
    </w:pPr>
    <w:rPr>
      <w:rFonts w:ascii="Times New Roman" w:hAnsi="Times New Roman" w:eastAsia="Times New Roman" w:cs="Times New Roman"/>
      <w:color w:val="auto"/>
      <w:kern w:val="0"/>
      <w:sz w:val="20"/>
      <w:szCs w:val="20"/>
      <w:lang w:val="en-GB" w:eastAsia="ja-JP" w:bidi="ar-SA"/>
    </w:rPr>
  </w:style>
  <w:style w:type="paragraph" w:styleId="IvDInstructiontext" w:customStyle="1">
    <w:name w:val="IvD Instructiontext"/>
    <w:basedOn w:val="BodyText"/>
    <w:link w:val="IvDInstructiontextChar"/>
    <w:uiPriority w:val="99"/>
    <w:qFormat/>
    <w:pPr>
      <w:keepLines/>
      <w:tabs>
        <w:tab w:val="clear" w:pos="567"/>
        <w:tab w:val="left" w:pos="2552" w:leader="none"/>
        <w:tab w:val="left" w:pos="3856" w:leader="none"/>
        <w:tab w:val="left" w:pos="5216" w:leader="none"/>
        <w:tab w:val="left" w:pos="6464" w:leader="none"/>
        <w:tab w:val="left" w:pos="7768" w:leader="none"/>
        <w:tab w:val="left" w:pos="9072" w:leader="none"/>
        <w:tab w:val="left" w:pos="9639" w:leader="none"/>
      </w:tabs>
      <w:overflowPunct w:val="false"/>
      <w:spacing w:before="240" w:after="0"/>
      <w:jc w:val="left"/>
      <w:textAlignment w:val="auto"/>
    </w:pPr>
    <w:rPr>
      <w:i/>
      <w:color w:themeColor="text1" w:themeTint="80" w:val="808080"/>
      <w:spacing w:val="2"/>
      <w:sz w:val="18"/>
      <w:szCs w:val="18"/>
      <w:lang w:val="en-US" w:eastAsia="en-US"/>
      <w14:textFill>
        <w14:solidFill>
          <w14:schemeClr w14:val="tx1">
            <w14:lumMod w14:val="50000"/>
            <w14:lumOff w14:val="50000"/>
          </w14:schemeClr>
        </w14:solidFill>
      </w14:textFill>
    </w:rPr>
  </w:style>
  <w:style w:type="paragraph" w:styleId="IvDbodytext" w:customStyle="1">
    <w:name w:val="IvD bodytext"/>
    <w:basedOn w:val="BodyText"/>
    <w:link w:val="IvDbodytextChar"/>
    <w:uiPriority w:val="0"/>
    <w:qFormat/>
    <w:pPr>
      <w:keepLines/>
      <w:tabs>
        <w:tab w:val="clear" w:pos="567"/>
        <w:tab w:val="left" w:pos="2552" w:leader="none"/>
        <w:tab w:val="left" w:pos="3856" w:leader="none"/>
        <w:tab w:val="left" w:pos="5216" w:leader="none"/>
        <w:tab w:val="left" w:pos="6464" w:leader="none"/>
        <w:tab w:val="left" w:pos="7768" w:leader="none"/>
        <w:tab w:val="left" w:pos="9072" w:leader="none"/>
        <w:tab w:val="left" w:pos="9639" w:leader="none"/>
      </w:tabs>
      <w:overflowPunct w:val="false"/>
      <w:spacing w:before="240" w:after="0"/>
      <w:jc w:val="left"/>
      <w:textAlignment w:val="auto"/>
    </w:pPr>
    <w:rPr>
      <w:spacing w:val="2"/>
      <w:lang w:val="en-US" w:eastAsia="en-US"/>
    </w:rPr>
  </w:style>
  <w:style w:type="paragraph" w:styleId="Agreement" w:customStyle="1">
    <w:name w:val="Agreement"/>
    <w:basedOn w:val="Normal"/>
    <w:next w:val="Doc-text2"/>
    <w:uiPriority w:val="99"/>
    <w:qFormat/>
    <w:pPr>
      <w:numPr>
        <w:ilvl w:val="0"/>
        <w:numId w:val="13"/>
      </w:numPr>
      <w:overflowPunct w:val="false"/>
      <w:spacing w:before="60" w:after="0"/>
      <w:textAlignment w:val="auto"/>
    </w:pPr>
    <w:rPr>
      <w:rFonts w:ascii="Arial" w:hAnsi="Arial" w:eastAsia="MS Mincho"/>
      <w:b/>
      <w:szCs w:val="24"/>
      <w:lang w:eastAsia="en-GB"/>
    </w:rPr>
  </w:style>
  <w:style w:type="paragraph" w:styleId="ZTE-Observation-2021" w:customStyle="1">
    <w:name w:val="!ZTE-Observation-2021"/>
    <w:basedOn w:val="Normal"/>
    <w:uiPriority w:val="0"/>
    <w:qFormat/>
    <w:pPr>
      <w:numPr>
        <w:ilvl w:val="0"/>
        <w:numId w:val="14"/>
      </w:numPr>
      <w:snapToGrid w:val="false"/>
      <w:spacing w:before="50" w:after="50"/>
      <w:ind w:hanging="1273" w:left="1273"/>
      <w:textAlignment w:val="center"/>
    </w:pPr>
    <w:rPr>
      <w:rFonts w:eastAsia="等线" w:cs="宋体" w:eastAsiaTheme="minorEastAsia"/>
      <w:b/>
      <w:bCs/>
      <w:i/>
      <w:iCs/>
      <w:lang w:eastAsia="en-US"/>
    </w:rPr>
  </w:style>
  <w:style w:type="paragraph" w:styleId="ZTE-Proposal-20210505" w:customStyle="1">
    <w:name w:val="!ZTE-Proposal-2021 + 段前: 0.5 行 段后: 0.5 行"/>
    <w:basedOn w:val="Normal"/>
    <w:uiPriority w:val="0"/>
    <w:qFormat/>
    <w:pPr>
      <w:numPr>
        <w:ilvl w:val="0"/>
        <w:numId w:val="15"/>
      </w:numPr>
      <w:spacing w:before="50" w:after="50"/>
      <w:ind w:hanging="1132" w:left="1132"/>
    </w:pPr>
    <w:rPr>
      <w:rFonts w:eastAsia="等线" w:cs="宋体" w:eastAsiaTheme="minorEastAsia"/>
      <w:b/>
      <w:bCs/>
      <w:iCs/>
    </w:rPr>
  </w:style>
  <w:style w:type="paragraph" w:styleId="Doc-title" w:customStyle="1">
    <w:name w:val="Doc-title"/>
    <w:basedOn w:val="Normal"/>
    <w:next w:val="Doc-text2"/>
    <w:uiPriority w:val="0"/>
    <w:qFormat/>
    <w:pPr>
      <w:spacing w:before="60" w:after="180"/>
      <w:ind w:hanging="1259" w:left="1259"/>
    </w:pPr>
    <w:rPr/>
  </w:style>
  <w:style w:type="table" w:default="1" w:styleId="51">
    <w:name w:val="Normal Table"/>
    <w:uiPriority w:val="99"/>
    <w:semiHidden/>
    <w:unhideWhenUsed/>
    <w:qFormat/>
    <w:tblPr>
      <w:tblCellMar>
        <w:top w:w="0" w:type="dxa"/>
        <w:left w:w="108" w:type="dxa"/>
        <w:bottom w:w="0" w:type="dxa"/>
        <w:right w:w="108" w:type="dxa"/>
      </w:tblCellMar>
    </w:tblPr>
  </w:style>
  <w:style w:type="table" w:styleId="52">
    <w:name w:val="Table Grid"/>
    <w:basedOn w:val="51"/>
    <w:uiPriority w:val="39"/>
    <w:qFormat/>
    <w:rPr>
      <w:lang w:val="de-DE"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表 4 - 着色 11"/>
    <w:basedOn w:val="51"/>
    <w:uiPriority w:val="49"/>
    <w:qFormat/>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Pr/>
    </w:tblStylePr>
    <w:tblStylePr w:type="lastCol">
      <w:rPr>
        <w:b/>
        <w:bCs/>
      </w:rPr>
      <w:tbl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mtk65284/Documents/3GPP/tsg_ran/WG2_RL2/RAN2/Docs/R2-2401140.zip" TargetMode="External"/><Relationship Id="rId3" Type="http://schemas.openxmlformats.org/officeDocument/2006/relationships/hyperlink" Target="../../../C:/Users/mtk65284/Documents/3GPP/tsg_ran/WG2_RL2/RAN2/Docs/R2-2401470.zip" TargetMode="External"/><Relationship Id="rId4" Type="http://schemas.openxmlformats.org/officeDocument/2006/relationships/hyperlink" Target="../../../C:/Users/mtk65284/Documents/3GPP/tsg_ran/WG2_RL2/RAN2/Docs/R2-2400310.zip" TargetMode="External"/><Relationship Id="rId5" Type="http://schemas.openxmlformats.org/officeDocument/2006/relationships/hyperlink" Target="../../../C:/Users/mtk65284/Documents/3GPP/tsg_ran/WG2_RL2/RAN2/Docs/R2-2400310.zip" TargetMode="External"/><Relationship Id="rId6" Type="http://schemas.openxmlformats.org/officeDocument/2006/relationships/hyperlink" Target="../../../C:/Users/mtk65284/Documents/3GPP/tsg_ran/WG2_RL2/RAN2/Docs/R2-2401140.zip" TargetMode="External"/><Relationship Id="rId7" Type="http://schemas.openxmlformats.org/officeDocument/2006/relationships/hyperlink" Target="../../../C:/Users/mtk65284/Documents/3GPP/tsg_ran/WG2_RL2/RAN2/Docs/R2-2401470.zip"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Relationship Id="rId22"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9474AD-8ABA-4408-9411-5D0240D76D30}">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65157109-32D4-4090-82E8-4E697C273F07}">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174</TotalTime>
  <Application>LibreOffice/24.2.0.3$Linux_X86_64 LibreOffice_project/420$Build-3</Application>
  <AppVersion>15.0000</AppVersion>
  <Pages>6</Pages>
  <Words>1756</Words>
  <Characters>9541</Characters>
  <CharactersWithSpaces>11181</CharactersWithSpaces>
  <Paragraphs>122</Paragraphs>
  <Company>Ericsson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2024-03-05T02:11:00Z</dcterms:created>
  <dc:creator>Mattias</dc:creator>
  <dc:description/>
  <cp:keywords>3GPP Ericsson TDoc</cp:keywords>
  <dc:language>fr-FR</dc:language>
  <cp:lastModifiedBy/>
  <cp:lastPrinted>2008-02-01T03:09:00Z</cp:lastPrinted>
  <dcterms:modified xsi:type="dcterms:W3CDTF">2024-03-05T10:31:37Z</dcterms:modified>
  <cp:revision>3</cp:revision>
  <dc:subject/>
  <dc:title>Ericsson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Date">
    <vt:filetime>2018-03-26T22:00:00Z</vt:filetime>
  </property>
  <property fmtid="{D5CDD505-2E9C-101B-9397-08002B2CF9AE}" pid="4" name="KSOProductBuildVer">
    <vt:lpwstr>2052-11.8.2.9022</vt:lpwstr>
  </property>
  <property fmtid="{D5CDD505-2E9C-101B-9397-08002B2CF9AE}" pid="5" name="MediaServiceImageTags">
    <vt:lpwstr/>
  </property>
</Properties>
</file>