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SimSun" w:hAnsi="Arial"/>
                <w:lang w:val="en-US" w:eastAsia="zh-CN"/>
              </w:rPr>
            </w:pPr>
            <w:commentRangeStart w:id="2"/>
            <w:r w:rsidRPr="00CC4A18">
              <w:rPr>
                <w:rFonts w:ascii="Arial" w:eastAsia="SimSun" w:hAnsi="Arial"/>
                <w:b/>
                <w:sz w:val="28"/>
                <w:highlight w:val="yellow"/>
                <w:lang w:val="en-US" w:eastAsia="zh-CN"/>
              </w:rPr>
              <w:t>xxxx</w:t>
            </w:r>
            <w:commentRangeEnd w:id="2"/>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SimSun" w:hAnsi="Arial"/>
                <w:b/>
              </w:rPr>
            </w:pPr>
            <w:r>
              <w:rPr>
                <w:rFonts w:ascii="Arial" w:eastAsia="SimSun"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6"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7"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SimSun" w:hAnsi="Arial"/>
                <w:lang w:val="en-US" w:eastAsia="zh-CN"/>
              </w:rPr>
            </w:pPr>
            <w:r>
              <w:rPr>
                <w:rFonts w:ascii="Arial" w:eastAsia="SimSun" w:hAnsi="Arial"/>
              </w:rPr>
              <w:t xml:space="preserve">Introduction of </w:t>
            </w:r>
            <w:r w:rsidR="00CC4A18">
              <w:rPr>
                <w:rFonts w:ascii="Arial" w:eastAsia="SimSun" w:hAnsi="Arial"/>
              </w:rPr>
              <w:t xml:space="preserve">Rel-18 NTN enhancements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w:t>
            </w:r>
            <w:r w:rsidR="00CC4A18">
              <w:rPr>
                <w:rFonts w:ascii="Arial" w:eastAsia="SimSun" w:hAnsi="Arial"/>
                <w:lang w:val="en-US" w:eastAsia="zh-CN"/>
              </w:rPr>
              <w:t>for non-terrestrial network</w:t>
            </w:r>
            <w:r w:rsidR="000945B3">
              <w:rPr>
                <w:rFonts w:ascii="Arial" w:eastAsia="SimSun"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0C239C">
              <w:rPr>
                <w:rFonts w:ascii="Arial" w:eastAsia="SimSun" w:hAnsi="Arial"/>
                <w:lang w:val="en-US" w:eastAsia="zh-CN"/>
              </w:rPr>
              <w:t>non-terrestrial networks</w:t>
            </w:r>
            <w:r w:rsidR="000945B3">
              <w:rPr>
                <w:rFonts w:ascii="Arial" w:eastAsia="SimSun"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SimSun" w:hAnsi="Arial"/>
                <w:lang w:val="en-US" w:eastAsia="zh-CN"/>
              </w:rPr>
            </w:pPr>
            <w:r w:rsidRPr="00DF0779">
              <w:rPr>
                <w:rFonts w:ascii="Arial" w:eastAsia="SimSun" w:hAnsi="Arial"/>
                <w:lang w:val="en-US" w:eastAsia="zh-CN"/>
              </w:rPr>
              <w:t>5.</w:t>
            </w:r>
            <w:r w:rsidR="00590657">
              <w:rPr>
                <w:rFonts w:ascii="Arial" w:eastAsia="SimSun"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w:t>
            </w:r>
            <w:r w:rsidR="00FF06E8">
              <w:rPr>
                <w:rFonts w:ascii="Arial" w:eastAsia="SimSun" w:hAnsi="Arial"/>
              </w:rPr>
              <w:t>6</w:t>
            </w:r>
            <w:r>
              <w:rPr>
                <w:rFonts w:ascii="Arial" w:eastAsia="SimSun" w:hAnsi="Arial"/>
              </w:rPr>
              <w:t xml:space="preserve"> CR </w:t>
            </w:r>
            <w:r w:rsidR="004655F9">
              <w:rPr>
                <w:rFonts w:ascii="Arial" w:eastAsia="SimSun" w:hAnsi="Arial"/>
              </w:rPr>
              <w:t>0357</w:t>
            </w:r>
            <w:r>
              <w:rPr>
                <w:rFonts w:ascii="Arial" w:eastAsia="SimSun"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r>
              <w:rPr>
                <w:rFonts w:ascii="Arial" w:eastAsia="SimSun" w:hAnsi="Arial"/>
              </w:rPr>
              <w:t xml:space="preserve">TS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SimSun" w:hAnsi="Arial"/>
              </w:rPr>
            </w:pPr>
            <w:r>
              <w:rPr>
                <w:rFonts w:ascii="Arial" w:eastAsia="SimSun" w:hAnsi="Arial"/>
              </w:rPr>
              <w:t>-</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 w:name="_Toc37296154"/>
      <w:bookmarkStart w:id="4" w:name="_Toc60791716"/>
      <w:bookmarkStart w:id="5" w:name="_Toc46490280"/>
      <w:bookmarkStart w:id="6" w:name="_Toc29239800"/>
      <w:bookmarkStart w:id="7" w:name="_Toc52796437"/>
      <w:bookmarkStart w:id="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9" w:name="_Toc146701126"/>
      <w:r w:rsidRPr="00982682">
        <w:t>5.2a</w:t>
      </w:r>
      <w:r w:rsidRPr="00982682">
        <w:tab/>
        <w:t>Maintenance of UL Synchronization</w:t>
      </w:r>
      <w:bookmarkEnd w:id="9"/>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0" w:author="RAN2#124" w:date="2023-11-23T15:51:00Z">
        <w:r w:rsidR="001B1990">
          <w:rPr>
            <w:lang w:eastAsia="ko-KR"/>
          </w:rPr>
          <w:t xml:space="preserve"> and </w:t>
        </w:r>
        <w:commentRangeStart w:id="11"/>
        <w:r w:rsidR="001B1990">
          <w:rPr>
            <w:lang w:eastAsia="ko-KR"/>
          </w:rPr>
          <w:t>5.2.2.</w:t>
        </w:r>
      </w:ins>
      <w:ins w:id="12" w:author="RAN2#124" w:date="2023-11-23T15:52:00Z">
        <w:r w:rsidR="00B75475">
          <w:rPr>
            <w:lang w:eastAsia="ko-KR"/>
          </w:rPr>
          <w:t>X</w:t>
        </w:r>
      </w:ins>
      <w:r w:rsidRPr="00982682">
        <w:rPr>
          <w:lang w:eastAsia="ko-KR"/>
        </w:rPr>
        <w:t xml:space="preserve"> </w:t>
      </w:r>
      <w:commentRangeEnd w:id="11"/>
      <w:r w:rsidR="00E87A51">
        <w:rPr>
          <w:rStyle w:val="CommentReference"/>
        </w:rPr>
        <w:commentReference w:id="11"/>
      </w:r>
      <w:r w:rsidRPr="00982682">
        <w:rPr>
          <w:lang w:eastAsia="ko-KR"/>
        </w:rPr>
        <w:t>of TS 38.331 [5]):</w:t>
      </w:r>
    </w:p>
    <w:p w14:paraId="0BBFB79F" w14:textId="26F07F91" w:rsidR="00590657" w:rsidRPr="00982682" w:rsidRDefault="00590657" w:rsidP="00590657">
      <w:pPr>
        <w:pStyle w:val="B2"/>
        <w:rPr>
          <w:ins w:id="13" w:author="RAN2#124" w:date="2023-11-23T15:24:00Z"/>
          <w:lang w:eastAsia="ko-KR"/>
        </w:rPr>
      </w:pPr>
      <w:commentRangeStart w:id="14"/>
      <w:ins w:id="15" w:author="RAN2#124" w:date="2023-11-23T15:24:00Z">
        <w:r w:rsidRPr="00982682">
          <w:rPr>
            <w:lang w:eastAsia="ko-KR"/>
          </w:rPr>
          <w:t>2&gt;</w:t>
        </w:r>
        <w:r w:rsidRPr="00982682">
          <w:rPr>
            <w:lang w:eastAsia="ko-KR"/>
          </w:rPr>
          <w:tab/>
        </w:r>
      </w:ins>
      <w:ins w:id="16" w:author="RAN2#124" w:date="2023-11-23T15:25:00Z">
        <w:r>
          <w:rPr>
            <w:lang w:eastAsia="ko-KR"/>
          </w:rPr>
          <w:t>if</w:t>
        </w:r>
        <w:r w:rsidR="00AF15AD">
          <w:rPr>
            <w:lang w:eastAsia="ko-KR"/>
          </w:rPr>
          <w:t xml:space="preserve"> </w:t>
        </w:r>
      </w:ins>
      <w:ins w:id="17" w:author="RAN2#124" w:date="2023-11-23T15:30:00Z">
        <w:r w:rsidR="00636929">
          <w:rPr>
            <w:lang w:eastAsia="ko-KR"/>
          </w:rPr>
          <w:t xml:space="preserve">indication of </w:t>
        </w:r>
      </w:ins>
      <w:ins w:id="18" w:author="RAN2#124" w:date="2023-11-23T15:25:00Z">
        <w:r w:rsidR="00AF15AD">
          <w:rPr>
            <w:lang w:eastAsia="ko-KR"/>
          </w:rPr>
          <w:t xml:space="preserve">uplink synchronization </w:t>
        </w:r>
      </w:ins>
      <w:ins w:id="19" w:author="RAN2#124" w:date="2023-11-23T15:30:00Z">
        <w:r w:rsidR="00636929">
          <w:rPr>
            <w:lang w:eastAsia="ko-KR"/>
          </w:rPr>
          <w:t xml:space="preserve">is received </w:t>
        </w:r>
        <w:r w:rsidR="008B0AB3">
          <w:rPr>
            <w:lang w:eastAsia="ko-KR"/>
          </w:rPr>
          <w:t>a</w:t>
        </w:r>
      </w:ins>
      <w:ins w:id="20" w:author="RAN2#124" w:date="2023-11-23T15:31:00Z">
        <w:r w:rsidR="008B0AB3">
          <w:rPr>
            <w:lang w:eastAsia="ko-KR"/>
          </w:rPr>
          <w:t>fter indication of uplink synchronization loss due to satellite switch with re-synchronization:</w:t>
        </w:r>
      </w:ins>
      <w:commentRangeEnd w:id="14"/>
      <w:r w:rsidR="00654CDA">
        <w:rPr>
          <w:rStyle w:val="CommentReference"/>
        </w:rPr>
        <w:commentReference w:id="14"/>
      </w:r>
    </w:p>
    <w:p w14:paraId="6967DDA0" w14:textId="7A0CD76C" w:rsidR="008B0AB3" w:rsidRPr="00982682" w:rsidRDefault="008B0AB3" w:rsidP="008B0AB3">
      <w:pPr>
        <w:pStyle w:val="B3"/>
        <w:rPr>
          <w:ins w:id="21" w:author="RAN2#124" w:date="2023-11-23T15:35:00Z"/>
          <w:lang w:eastAsia="ko-KR"/>
        </w:rPr>
      </w:pPr>
      <w:ins w:id="22" w:author="RAN2#124" w:date="2023-11-23T15:33:00Z">
        <w:r>
          <w:rPr>
            <w:lang w:eastAsia="ko-KR"/>
          </w:rPr>
          <w:t xml:space="preserve">3&gt; </w:t>
        </w:r>
      </w:ins>
      <w:ins w:id="23"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4"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5" w:author="RAN2#124" w:date="2023-11-23T15:35:00Z">
        <w:r>
          <w:rPr>
            <w:lang w:eastAsia="ko-KR"/>
          </w:rPr>
          <w:t xml:space="preserve"> to zero</w:t>
        </w:r>
      </w:ins>
      <w:ins w:id="26" w:author="RAN2#124" w:date="2023-11-23T15:36:00Z">
        <w:r>
          <w:rPr>
            <w:lang w:eastAsia="ko-KR"/>
          </w:rPr>
          <w:t xml:space="preserve"> for </w:t>
        </w:r>
      </w:ins>
      <w:ins w:id="27" w:author="RAN2#124" w:date="2023-11-23T15:58:00Z">
        <w:r w:rsidR="00081531">
          <w:rPr>
            <w:lang w:eastAsia="ko-KR"/>
          </w:rPr>
          <w:t>P</w:t>
        </w:r>
      </w:ins>
      <w:commentRangeStart w:id="28"/>
      <w:commentRangeStart w:id="29"/>
      <w:commentRangeStart w:id="30"/>
      <w:ins w:id="31" w:author="RAN2#124" w:date="2023-11-23T15:36:00Z">
        <w:r>
          <w:rPr>
            <w:lang w:eastAsia="ko-KR"/>
          </w:rPr>
          <w:t>TAG;</w:t>
        </w:r>
      </w:ins>
      <w:commentRangeEnd w:id="28"/>
      <w:ins w:id="32" w:author="RAN2#124" w:date="2023-11-23T15:53:00Z">
        <w:r w:rsidR="00E87A51">
          <w:rPr>
            <w:rStyle w:val="CommentReference"/>
          </w:rPr>
          <w:commentReference w:id="28"/>
        </w:r>
      </w:ins>
      <w:commentRangeEnd w:id="29"/>
      <w:r w:rsidR="0022706B">
        <w:rPr>
          <w:rStyle w:val="CommentReference"/>
        </w:rPr>
        <w:commentReference w:id="29"/>
      </w:r>
      <w:commentRangeEnd w:id="30"/>
      <w:r w:rsidR="00654CDA">
        <w:rPr>
          <w:rStyle w:val="CommentReference"/>
        </w:rPr>
        <w:commentReference w:id="30"/>
      </w:r>
    </w:p>
    <w:p w14:paraId="349AA7EA" w14:textId="5A9ADCA7" w:rsidR="001B1990" w:rsidRDefault="001B1990" w:rsidP="008B0AB3">
      <w:pPr>
        <w:pStyle w:val="B3"/>
        <w:rPr>
          <w:ins w:id="33" w:author="RAN2#124" w:date="2023-11-23T15:49:00Z"/>
          <w:lang w:eastAsia="ko-KR"/>
        </w:rPr>
      </w:pPr>
      <w:commentRangeStart w:id="34"/>
      <w:ins w:id="35" w:author="RAN2#124" w:date="2023-11-23T15:49:00Z">
        <w:r>
          <w:rPr>
            <w:lang w:eastAsia="ko-KR"/>
          </w:rPr>
          <w:t xml:space="preserve">3&gt; </w:t>
        </w:r>
        <w:r w:rsidRPr="00982682">
          <w:rPr>
            <w:rFonts w:eastAsia="Malgun Gothic"/>
          </w:rPr>
          <w:t xml:space="preserve">indicate to lower layers </w:t>
        </w:r>
      </w:ins>
      <w:ins w:id="36" w:author="RAN2#124" w:date="2023-11-23T15:50:00Z">
        <w:r>
          <w:rPr>
            <w:rFonts w:eastAsia="Malgun Gothic"/>
          </w:rPr>
          <w:t>a</w:t>
        </w:r>
      </w:ins>
      <w:ins w:id="37" w:author="RAN2#124" w:date="2023-11-23T15:49:00Z">
        <w:r w:rsidRPr="00982682">
          <w:rPr>
            <w:rFonts w:eastAsia="Malgun Gothic"/>
          </w:rPr>
          <w:t xml:space="preserve"> Differential </w:t>
        </w:r>
        <w:r w:rsidRPr="00982682">
          <w:rPr>
            <w:rFonts w:eastAsia="Malgun Gothic"/>
            <w:lang w:eastAsia="ko-KR"/>
          </w:rPr>
          <w:t>Koffset</w:t>
        </w:r>
      </w:ins>
      <w:ins w:id="38" w:author="RAN2#124" w:date="2023-11-23T15:50:00Z">
        <w:r>
          <w:rPr>
            <w:rFonts w:eastAsia="Malgun Gothic"/>
            <w:lang w:eastAsia="ko-KR"/>
          </w:rPr>
          <w:t xml:space="preserve"> </w:t>
        </w:r>
      </w:ins>
      <w:ins w:id="39" w:author="RAN2#124" w:date="2023-11-23T15:55:00Z">
        <w:r w:rsidR="00D938D1">
          <w:rPr>
            <w:rFonts w:eastAsia="Malgun Gothic"/>
            <w:lang w:eastAsia="ko-KR"/>
          </w:rPr>
          <w:t xml:space="preserve">with </w:t>
        </w:r>
      </w:ins>
      <w:ins w:id="40" w:author="RAN2#124" w:date="2023-11-23T15:50:00Z">
        <w:r>
          <w:rPr>
            <w:rFonts w:eastAsia="Malgun Gothic"/>
            <w:lang w:eastAsia="ko-KR"/>
          </w:rPr>
          <w:t>value zero.</w:t>
        </w:r>
      </w:ins>
      <w:commentRangeEnd w:id="34"/>
      <w:r w:rsidR="00654CDA">
        <w:rPr>
          <w:rStyle w:val="CommentReference"/>
        </w:rPr>
        <w:commentReference w:id="34"/>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41" w:author="RAN2#124" w:date="2023-11-23T15:31:00Z">
        <w:r w:rsidR="008B0AB3">
          <w:rPr>
            <w:lang w:eastAsia="ko-KR"/>
          </w:rPr>
          <w:t xml:space="preserve"> </w:t>
        </w:r>
        <w:commentRangeStart w:id="42"/>
        <w:r w:rsidR="008B0AB3">
          <w:rPr>
            <w:lang w:eastAsia="ko-KR"/>
          </w:rPr>
          <w:t>or uplink synchronization loss due to satellite switch with re-synchronization</w:t>
        </w:r>
      </w:ins>
      <w:commentRangeEnd w:id="42"/>
      <w:r w:rsidR="000274BB">
        <w:rPr>
          <w:rStyle w:val="CommentReference"/>
        </w:rPr>
        <w:commentReference w:id="42"/>
      </w:r>
      <w:r w:rsidRPr="00982682">
        <w:rPr>
          <w:lang w:eastAsia="ko-KR"/>
        </w:rPr>
        <w:t xml:space="preserve"> is received from upper layers (see clause 5.2.2.6</w:t>
      </w:r>
      <w:ins w:id="43"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982682"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SimSun"/>
          <w:color w:val="FF0000"/>
          <w:lang w:eastAsia="en-US"/>
        </w:rPr>
      </w:pPr>
      <w:r w:rsidRPr="008D56E6">
        <w:br w:type="page"/>
      </w:r>
    </w:p>
    <w:bookmarkEnd w:id="3"/>
    <w:bookmarkEnd w:id="4"/>
    <w:bookmarkEnd w:id="5"/>
    <w:bookmarkEnd w:id="6"/>
    <w:bookmarkEnd w:id="7"/>
    <w:bookmarkEnd w:id="8"/>
    <w:p w14:paraId="681334C3" w14:textId="77777777" w:rsidR="000654CE" w:rsidRDefault="000654CE" w:rsidP="000654CE">
      <w:pPr>
        <w:pStyle w:val="Heading1"/>
      </w:pPr>
      <w:r>
        <w:lastRenderedPageBreak/>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We don’t consider the impact on Rel-17 UEs behavior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The UE specific Koffset, if configured, is not used after t-Service and the UE uses the cell specifc Koffset until the UE receives new differential Koffset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t-Service in SIB19 can also be interpreted by Rel-18 UE in Connected mode to know that a satellite change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lastRenderedPageBreak/>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11" w:author="RAN2#124" w:date="2023-11-23T15:52:00Z" w:initials="124">
    <w:p w14:paraId="0E14940C" w14:textId="1CC3EC5F" w:rsidR="00E87A51" w:rsidRDefault="00E87A51" w:rsidP="008B3DB9">
      <w:pPr>
        <w:pStyle w:val="CommentText"/>
      </w:pPr>
      <w:r>
        <w:rPr>
          <w:rStyle w:val="CommentReference"/>
        </w:rPr>
        <w:annotationRef/>
      </w:r>
      <w:r>
        <w:t>Corresponding to the new TXY section in the RRC CR.</w:t>
      </w:r>
    </w:p>
  </w:comment>
  <w:comment w:id="14" w:author="Apple - Fangli" w:date="2023-11-27T15:23:00Z" w:initials="MOU">
    <w:p w14:paraId="2CBC8D5E" w14:textId="77777777" w:rsidR="00654CDA" w:rsidRDefault="00654CDA" w:rsidP="00654CDA">
      <w:r>
        <w:rPr>
          <w:rStyle w:val="CommentReference"/>
        </w:rPr>
        <w:annotationRef/>
      </w:r>
      <w:r>
        <w:t>Maybe we can simplify the bullet as below:</w:t>
      </w:r>
    </w:p>
    <w:p w14:paraId="5888241E" w14:textId="77777777" w:rsidR="00654CDA" w:rsidRDefault="00654CDA" w:rsidP="00654CDA"/>
    <w:p w14:paraId="1B8806B3" w14:textId="77777777" w:rsidR="00654CDA" w:rsidRDefault="00654CDA" w:rsidP="00654CDA">
      <w:r>
        <w:t xml:space="preserve">2&gt; if indication of uplink synchronization is </w:t>
      </w:r>
      <w:r>
        <w:rPr>
          <w:strike/>
          <w:color w:val="FF0000"/>
          <w:highlight w:val="yellow"/>
        </w:rPr>
        <w:t xml:space="preserve">received after indication of uplink synchronization loss </w:t>
      </w:r>
      <w:r>
        <w:t>due to satellite switch with re-synchronization</w:t>
      </w:r>
      <w:r>
        <w:rPr>
          <w:highlight w:val="yellow"/>
        </w:rPr>
        <w:t xml:space="preserve"> </w:t>
      </w:r>
      <w:r>
        <w:rPr>
          <w:color w:val="FF0000"/>
          <w:highlight w:val="yellow"/>
        </w:rPr>
        <w:t xml:space="preserve">(see clause </w:t>
      </w:r>
      <w:r>
        <w:rPr>
          <w:color w:val="FF0000"/>
          <w:highlight w:val="yellow"/>
          <w:u w:val="single"/>
        </w:rPr>
        <w:t>5.2.2.X</w:t>
      </w:r>
      <w:r>
        <w:rPr>
          <w:color w:val="FF0000"/>
          <w:highlight w:val="yellow"/>
        </w:rPr>
        <w:t xml:space="preserve"> of TS 38.331 [5]): </w:t>
      </w:r>
    </w:p>
  </w:comment>
  <w:comment w:id="28" w:author="RAN2#124" w:date="2023-11-23T15:53:00Z" w:initials="124">
    <w:p w14:paraId="30FF3544" w14:textId="64E1A1A0"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29" w:author="OPPO" w:date="2023-11-27T10:15:00Z" w:initials="OPPO">
    <w:p w14:paraId="67D12FB1" w14:textId="46222202" w:rsidR="0022706B" w:rsidRPr="0022706B" w:rsidRDefault="0022706B">
      <w:pPr>
        <w:pStyle w:val="CommentText"/>
        <w:rPr>
          <w:rFonts w:eastAsiaTheme="minorEastAsia"/>
        </w:rPr>
      </w:pPr>
      <w:r>
        <w:rPr>
          <w:rStyle w:val="CommentReference"/>
        </w:rPr>
        <w:annotationRef/>
      </w:r>
      <w:r w:rsidRPr="00C06685">
        <w:t xml:space="preserve">We think it is sufficient to </w:t>
      </w:r>
      <w:r w:rsidR="00C06685" w:rsidRPr="00C06685">
        <w:t xml:space="preserve">set </w:t>
      </w:r>
      <w:r w:rsidR="00C06685">
        <w:t>NTA value for PTAG only, since CA is not supported in NTN so far.</w:t>
      </w:r>
    </w:p>
  </w:comment>
  <w:comment w:id="30" w:author="Apple - Fangli" w:date="2023-11-27T15:23:00Z" w:initials="MOU">
    <w:p w14:paraId="5744E143" w14:textId="77777777" w:rsidR="00654CDA" w:rsidRDefault="00654CDA" w:rsidP="00654CDA">
      <w:r>
        <w:rPr>
          <w:rStyle w:val="CommentReference"/>
        </w:rPr>
        <w:annotationRef/>
      </w:r>
      <w:r>
        <w:t xml:space="preserve">We prefer </w:t>
      </w:r>
      <w:r>
        <w:rPr>
          <w:highlight w:val="yellow"/>
        </w:rPr>
        <w:t>PTAG</w:t>
      </w:r>
      <w:r>
        <w:t>, since it is aligned the description as Nta operation during RACH-less HO.</w:t>
      </w:r>
    </w:p>
  </w:comment>
  <w:comment w:id="34" w:author="Apple - Fangli" w:date="2023-11-27T15:23:00Z" w:initials="MOU">
    <w:p w14:paraId="7FE0A1C6" w14:textId="77777777" w:rsidR="00654CDA" w:rsidRDefault="00654CDA" w:rsidP="00654CDA">
      <w:r>
        <w:rPr>
          <w:rStyle w:val="CommentReference"/>
        </w:rPr>
        <w:annotationRef/>
      </w:r>
      <w:r>
        <w:t>Do we need to clarify that MAC informs PHY the cell specific Koffset of target satellite together?</w:t>
      </w:r>
    </w:p>
    <w:p w14:paraId="67AB186C" w14:textId="77777777" w:rsidR="00654CDA" w:rsidRDefault="00654CDA" w:rsidP="00654CDA"/>
    <w:p w14:paraId="29D4CBDD" w14:textId="77777777" w:rsidR="00654CDA" w:rsidRDefault="00654CDA" w:rsidP="00654CDA">
      <w:r>
        <w:t>E.g.</w:t>
      </w:r>
    </w:p>
    <w:p w14:paraId="639DB4F3" w14:textId="77777777" w:rsidR="00654CDA" w:rsidRDefault="00654CDA" w:rsidP="00654CDA"/>
    <w:p w14:paraId="760868A0" w14:textId="77777777" w:rsidR="00654CDA" w:rsidRDefault="00654CDA" w:rsidP="00654CDA">
      <w:r>
        <w:t>3&gt; indicate to lower layers</w:t>
      </w:r>
      <w:r>
        <w:rPr>
          <w:highlight w:val="yellow"/>
        </w:rPr>
        <w:t xml:space="preserve"> </w:t>
      </w:r>
      <w:r>
        <w:rPr>
          <w:color w:val="FF0000"/>
          <w:highlight w:val="yellow"/>
        </w:rPr>
        <w:t xml:space="preserve">the </w:t>
      </w:r>
      <w:r>
        <w:rPr>
          <w:i/>
          <w:iCs/>
          <w:color w:val="FF0000"/>
          <w:highlight w:val="yellow"/>
        </w:rPr>
        <w:t>cellSpecificKoffset</w:t>
      </w:r>
      <w:r>
        <w:rPr>
          <w:color w:val="FF0000"/>
          <w:highlight w:val="yellow"/>
        </w:rPr>
        <w:t xml:space="preserve"> and</w:t>
      </w:r>
      <w:r>
        <w:t xml:space="preserve"> a differential Koffset with value zero. </w:t>
      </w:r>
    </w:p>
  </w:comment>
  <w:comment w:id="42" w:author="Apple - Fangli" w:date="2023-11-27T15:24:00Z" w:initials="MOU">
    <w:p w14:paraId="31BA7441" w14:textId="77777777" w:rsidR="000274BB" w:rsidRDefault="000274BB" w:rsidP="000274BB">
      <w:r>
        <w:rPr>
          <w:rStyle w:val="CommentReference"/>
        </w:rPr>
        <w:annotationRef/>
      </w:r>
      <w:r>
        <w:t xml:space="preserve">Maybe we donot need to add this part, since we already indicate the corresponding clause of RRC spec in the brackets. </w:t>
      </w:r>
    </w:p>
    <w:p w14:paraId="590A9F6E" w14:textId="77777777" w:rsidR="000274BB" w:rsidRDefault="000274BB" w:rsidP="000274BB"/>
    <w:p w14:paraId="0793132F" w14:textId="77777777" w:rsidR="000274BB" w:rsidRDefault="000274BB" w:rsidP="000274BB">
      <w:r>
        <w:t>e.g.</w:t>
      </w:r>
    </w:p>
    <w:p w14:paraId="3053ABD8" w14:textId="77777777" w:rsidR="000274BB" w:rsidRDefault="000274BB" w:rsidP="000274BB">
      <w:r>
        <w:rPr>
          <w:color w:val="000000"/>
        </w:rPr>
        <w:t>1&gt; if an indication of uplink synchronization loss</w:t>
      </w:r>
      <w:r>
        <w:rPr>
          <w:color w:val="007F7F"/>
          <w:u w:val="single"/>
        </w:rPr>
        <w:t xml:space="preserve"> </w:t>
      </w:r>
      <w:r>
        <w:rPr>
          <w:strike/>
          <w:color w:val="007F7F"/>
          <w:highlight w:val="yellow"/>
          <w:u w:val="single"/>
        </w:rPr>
        <w:t>or uplink synchronization loss due to satellite switch with re-synchronization</w:t>
      </w:r>
      <w:r>
        <w:rPr>
          <w:color w:val="000000"/>
        </w:rPr>
        <w:t xml:space="preserve"> is received from upper layers (see clause 5.2.2.6</w:t>
      </w:r>
      <w:r>
        <w:rPr>
          <w:color w:val="007F7F"/>
          <w:u w:val="single"/>
        </w:rPr>
        <w:t xml:space="preserve"> and 5.2.2.X</w:t>
      </w:r>
      <w:r>
        <w:rPr>
          <w:color w:val="000000"/>
        </w:rPr>
        <w:t xml:space="preserve"> of TS 38.331 [5]):</w:t>
      </w:r>
    </w:p>
    <w:p w14:paraId="6F36C5F4" w14:textId="77777777" w:rsidR="000274BB" w:rsidRDefault="000274BB" w:rsidP="000274B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26FDE" w15:done="0"/>
  <w15:commentEx w15:paraId="63AE95AB" w15:done="0"/>
  <w15:commentEx w15:paraId="0E14940C" w15:done="0"/>
  <w15:commentEx w15:paraId="1B8806B3" w15:done="0"/>
  <w15:commentEx w15:paraId="590D46BD" w15:done="0"/>
  <w15:commentEx w15:paraId="67D12FB1" w15:paraIdParent="590D46BD" w15:done="0"/>
  <w15:commentEx w15:paraId="5744E143" w15:paraIdParent="590D46BD" w15:done="0"/>
  <w15:commentEx w15:paraId="760868A0" w15:done="0"/>
  <w15:commentEx w15:paraId="6F36C5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093159BB" w16cex:dateUtc="2023-11-23T20:52:00Z"/>
  <w16cex:commentExtensible w16cex:durableId="36673835" w16cex:dateUtc="2023-11-27T07:23:00Z"/>
  <w16cex:commentExtensible w16cex:durableId="74183429" w16cex:dateUtc="2023-11-23T20:53:00Z"/>
  <w16cex:commentExtensible w16cex:durableId="1C6CE9F3" w16cex:dateUtc="2023-11-27T07:23:00Z"/>
  <w16cex:commentExtensible w16cex:durableId="2C351827" w16cex:dateUtc="2023-11-27T07:23:00Z"/>
  <w16cex:commentExtensible w16cex:durableId="19564B37" w16cex:dateUtc="2023-11-2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26FDE" w16cid:durableId="55076804"/>
  <w16cid:commentId w16cid:paraId="63AE95AB" w16cid:durableId="4F1A0F8B"/>
  <w16cid:commentId w16cid:paraId="0E14940C" w16cid:durableId="093159BB"/>
  <w16cid:commentId w16cid:paraId="1B8806B3" w16cid:durableId="36673835"/>
  <w16cid:commentId w16cid:paraId="590D46BD" w16cid:durableId="74183429"/>
  <w16cid:commentId w16cid:paraId="67D12FB1" w16cid:durableId="290EEACB"/>
  <w16cid:commentId w16cid:paraId="5744E143" w16cid:durableId="1C6CE9F3"/>
  <w16cid:commentId w16cid:paraId="760868A0" w16cid:durableId="2C351827"/>
  <w16cid:commentId w16cid:paraId="6F36C5F4" w16cid:durableId="19564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35EA" w14:textId="77777777" w:rsidR="003F02B1" w:rsidRDefault="003F02B1">
      <w:pPr>
        <w:spacing w:line="240" w:lineRule="auto"/>
      </w:pPr>
      <w:r>
        <w:separator/>
      </w:r>
    </w:p>
  </w:endnote>
  <w:endnote w:type="continuationSeparator" w:id="0">
    <w:p w14:paraId="48756240" w14:textId="77777777" w:rsidR="003F02B1" w:rsidRDefault="003F0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AD3F" w14:textId="77777777" w:rsidR="003F02B1" w:rsidRDefault="003F02B1">
      <w:pPr>
        <w:spacing w:after="0"/>
      </w:pPr>
      <w:r>
        <w:separator/>
      </w:r>
    </w:p>
  </w:footnote>
  <w:footnote w:type="continuationSeparator" w:id="0">
    <w:p w14:paraId="25CE050D" w14:textId="77777777" w:rsidR="003F02B1" w:rsidRDefault="003F02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28744621">
    <w:abstractNumId w:val="11"/>
  </w:num>
  <w:num w:numId="2" w16cid:durableId="1213422652">
    <w:abstractNumId w:val="3"/>
  </w:num>
  <w:num w:numId="3" w16cid:durableId="1649241904">
    <w:abstractNumId w:val="0"/>
  </w:num>
  <w:num w:numId="4" w16cid:durableId="1494642354">
    <w:abstractNumId w:val="1"/>
  </w:num>
  <w:num w:numId="5" w16cid:durableId="664163779">
    <w:abstractNumId w:val="7"/>
  </w:num>
  <w:num w:numId="6" w16cid:durableId="1460873886">
    <w:abstractNumId w:val="5"/>
  </w:num>
  <w:num w:numId="7" w16cid:durableId="426852543">
    <w:abstractNumId w:val="6"/>
  </w:num>
  <w:num w:numId="8" w16cid:durableId="587423730">
    <w:abstractNumId w:val="8"/>
  </w:num>
  <w:num w:numId="9" w16cid:durableId="442383223">
    <w:abstractNumId w:val="9"/>
  </w:num>
  <w:num w:numId="10" w16cid:durableId="800463744">
    <w:abstractNumId w:val="2"/>
  </w:num>
  <w:num w:numId="11" w16cid:durableId="12927610">
    <w:abstractNumId w:val="10"/>
  </w:num>
  <w:num w:numId="12" w16cid:durableId="15121385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084DC69A-CDDF-4E23-9605-C9E460E169AE}">
  <ds:schemaRefs>
    <ds:schemaRef ds:uri="http://schemas.openxmlformats.org/officeDocument/2006/bibliography"/>
  </ds:schemaRefs>
</ds:datastoreItem>
</file>

<file path=customXml/itemProps3.xml><?xml version="1.0" encoding="utf-8"?>
<ds:datastoreItem xmlns:ds="http://schemas.openxmlformats.org/officeDocument/2006/customXml" ds:itemID="{4DF6C729-D93B-492B-977F-A4FE635A033F}">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19</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 Fangli</cp:lastModifiedBy>
  <cp:revision>5</cp:revision>
  <dcterms:created xsi:type="dcterms:W3CDTF">2023-11-27T01:59:00Z</dcterms:created>
  <dcterms:modified xsi:type="dcterms:W3CDTF">2023-11-27T07:24:00Z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