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C97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LQbJz9kA&#10;AAAEAQAADwAAAGRycy9kb3ducmV2LnhtbEyPMU/DQAyFdyT+w8lIbPRSkApKc6kKiKELgpSB0cm5&#10;SUTOF+UuTfj3uF3o8iTr2c/fyzaz69SRhtB6NrBcJKCIK29brg187d/unkCFiGyx80wGfinAJr++&#10;yjC1fuJPOhaxVhLCIUUDTYx9qnWoGnIYFr4nFu/gB4dRxqHWdsBJwl2n75NkpR22LB8a7Omloeqn&#10;GJ0Bl+zncrlrV4/j7qP4fn7flg+HyZjbm/l1LbJdg4o0x/8LOHUQfsgFrPQj26A6A9ImnvXsqfK0&#10;ofNMX8LnfwAAAP//AwBQSwECLQAUAAYACAAAACEAtoM4kv4AAADhAQAAEwAAAAAAAAAAAAAAAAAA&#10;AAAAW0NvbnRlbnRfVHlwZXNdLnhtbFBLAQItABQABgAIAAAAIQA4/SH/1gAAAJQBAAALAAAAAAAA&#10;AAAAAAAAAC8BAABfcmVscy8ucmVsc1BLAQItABQABgAIAAAAIQCcotTtQAQAAFgMAAAOAAAAAAAA&#10;AAAAAAAAAC4CAABkcnMvZTJvRG9jLnhtbFBLAQItABQABgAIAAAAIQAtBsnP2QAAAAQBAAAPAAAA&#10;AAAAAAAAAAAAAJoGAABkcnMvZG93bnJldi54bWxQSwUGAAAAAAQABADzAAAAo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游明朝" w:hAnsi="Arial" w:cs="Arial"/>
                <w:color w:val="000000"/>
                <w:sz w:val="21"/>
                <w:lang w:eastAsia="ja-JP"/>
              </w:rPr>
            </w:pPr>
            <w:r>
              <w:rPr>
                <w:rFonts w:ascii="Arial" w:eastAsia="游明朝" w:hAnsi="Arial" w:cs="Arial" w:hint="eastAsia"/>
                <w:color w:val="000000"/>
                <w:sz w:val="21"/>
                <w:lang w:eastAsia="ja-JP"/>
              </w:rPr>
              <w:t>S</w:t>
            </w:r>
            <w:r>
              <w:rPr>
                <w:rFonts w:ascii="Arial" w:eastAsia="游明朝" w:hAnsi="Arial" w:cs="Arial"/>
                <w:color w:val="000000"/>
                <w:sz w:val="21"/>
                <w:lang w:eastAsia="ja-JP"/>
              </w:rPr>
              <w:t>atoaki Hayashi</w:t>
            </w:r>
          </w:p>
        </w:tc>
        <w:tc>
          <w:tcPr>
            <w:tcW w:w="3510" w:type="dxa"/>
            <w:shd w:val="clear" w:color="auto" w:fill="auto"/>
          </w:tcPr>
          <w:p w14:paraId="6ED27901" w14:textId="2D71C25B" w:rsidR="00C90155" w:rsidRPr="005B4BE0" w:rsidRDefault="00000000" w:rsidP="00DF0723">
            <w:pPr>
              <w:spacing w:before="100" w:beforeAutospacing="1" w:after="100" w:afterAutospacing="1"/>
              <w:jc w:val="both"/>
              <w:rPr>
                <w:rFonts w:ascii="Arial" w:eastAsia="游明朝" w:hAnsi="Arial" w:cs="Arial"/>
                <w:color w:val="000000"/>
                <w:sz w:val="21"/>
                <w:lang w:eastAsia="ja-JP"/>
              </w:rPr>
            </w:pPr>
            <w:hyperlink r:id="rId14" w:history="1">
              <w:r w:rsidR="005B4BE0" w:rsidRPr="003C6058">
                <w:rPr>
                  <w:rStyle w:val="ab"/>
                  <w:rFonts w:ascii="Arial" w:eastAsia="游明朝" w:hAnsi="Arial" w:cs="Arial"/>
                  <w:sz w:val="21"/>
                  <w:lang w:eastAsia="ja-JP"/>
                </w:rPr>
                <w:t>Satoaki-hayashi@nec.com</w:t>
              </w:r>
            </w:hyperlink>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337"/>
        <w:gridCol w:w="3173"/>
        <w:gridCol w:w="2928"/>
      </w:tblGrid>
      <w:tr w:rsidR="00FF6C32" w:rsidRPr="00EA5065" w14:paraId="6EF5110E" w14:textId="77777777" w:rsidTr="006E43CF">
        <w:tc>
          <w:tcPr>
            <w:tcW w:w="1191"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337"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73"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928"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6E43CF">
        <w:tc>
          <w:tcPr>
            <w:tcW w:w="1191"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337"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173"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928"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6E43CF">
        <w:tc>
          <w:tcPr>
            <w:tcW w:w="1191"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337"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173"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lastRenderedPageBreak/>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928"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 xml:space="preserve">This is the </w:t>
            </w:r>
            <w:proofErr w:type="gramStart"/>
            <w:r>
              <w:rPr>
                <w:rFonts w:ascii="Arial" w:eastAsiaTheme="minorEastAsia" w:hAnsi="Arial" w:cs="Arial"/>
                <w:color w:val="000000"/>
                <w:lang w:eastAsia="ko-KR"/>
              </w:rPr>
              <w:t>most tricky</w:t>
            </w:r>
            <w:proofErr w:type="gramEnd"/>
            <w:r>
              <w:rPr>
                <w:rFonts w:ascii="Arial" w:eastAsiaTheme="minorEastAsia" w:hAnsi="Arial" w:cs="Arial"/>
                <w:color w:val="000000"/>
                <w:lang w:eastAsia="ko-KR"/>
              </w:rPr>
              <w:t xml:space="preserve">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7E91A29" w14:textId="77777777" w:rsidR="00564ED6" w:rsidRPr="00141A56" w:rsidRDefault="00564ED6"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6E43CF">
        <w:tc>
          <w:tcPr>
            <w:tcW w:w="1191"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N003</w:t>
            </w:r>
          </w:p>
        </w:tc>
        <w:tc>
          <w:tcPr>
            <w:tcW w:w="2337"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w:t>
            </w:r>
            <w:r w:rsidR="00C33D50">
              <w:t xml:space="preserve"> including</w:t>
            </w:r>
            <w:proofErr w:type="gramEnd"/>
            <w:r w:rsidR="00C33D50">
              <w:t xml:space="preserve"> both already stored PDCP SDUs and newly received PDCP SDUs</w:t>
            </w:r>
            <w:r>
              <w:t>”</w:t>
            </w:r>
          </w:p>
        </w:tc>
        <w:tc>
          <w:tcPr>
            <w:tcW w:w="3173"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w:t>
            </w:r>
            <w:r w:rsidR="00BA42F4">
              <w:rPr>
                <w:rFonts w:ascii="Arial" w:hAnsi="Arial" w:cs="Arial"/>
                <w:color w:val="00B0F0"/>
                <w:lang w:eastAsia="zh-CN"/>
              </w:rPr>
              <w:lastRenderedPageBreak/>
              <w:t xml:space="preserve">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928"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The data volume calculation to be reported in the DSR will consider the at size of 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C4F1984" w14:textId="77777777" w:rsidR="00564ED6" w:rsidRPr="00564ED6" w:rsidRDefault="00564ED6" w:rsidP="00305982">
            <w:pPr>
              <w:spacing w:before="100" w:beforeAutospacing="1" w:after="100" w:afterAutospacing="1"/>
              <w:rPr>
                <w:rFonts w:ascii="Arial" w:eastAsiaTheme="minorEastAsia" w:hAnsi="Arial" w:cs="Arial"/>
                <w:color w:val="000000"/>
                <w:lang w:eastAsia="ko-KR"/>
              </w:rPr>
            </w:pPr>
          </w:p>
        </w:tc>
      </w:tr>
      <w:tr w:rsidR="00FF6C32" w:rsidRPr="00EA5065" w14:paraId="6CC8FEAF" w14:textId="77777777" w:rsidTr="006E43CF">
        <w:tc>
          <w:tcPr>
            <w:tcW w:w="1191"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N004</w:t>
            </w:r>
          </w:p>
        </w:tc>
        <w:tc>
          <w:tcPr>
            <w:tcW w:w="2337"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proofErr w:type="gramStart"/>
            <w:r>
              <w:rPr>
                <w:rFonts w:ascii="Arial" w:hAnsi="Arial" w:cs="Arial"/>
                <w:color w:val="000000"/>
                <w:lang w:eastAsia="zh-CN"/>
              </w:rPr>
              <w:t>5.3 :</w:t>
            </w:r>
            <w:proofErr w:type="gramEnd"/>
            <w:r>
              <w:rPr>
                <w:rFonts w:ascii="Arial" w:hAnsi="Arial" w:cs="Arial"/>
                <w:color w:val="000000"/>
                <w:lang w:eastAsia="zh-CN"/>
              </w:rPr>
              <w:t xml:space="preserve">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173"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proofErr w:type="gramStart"/>
            <w:r w:rsidR="009752B8">
              <w:rPr>
                <w:rFonts w:ascii="Arial" w:hAnsi="Arial" w:cs="Arial"/>
                <w:color w:val="00B0F0"/>
                <w:lang w:eastAsia="zh-CN"/>
              </w:rPr>
              <w:t>impacts</w:t>
            </w:r>
            <w:proofErr w:type="gramEnd"/>
            <w:r w:rsidR="009752B8">
              <w:rPr>
                <w:rFonts w:ascii="Arial" w:hAnsi="Arial" w:cs="Arial"/>
                <w:color w:val="00B0F0"/>
                <w:lang w:eastAsia="zh-CN"/>
              </w:rPr>
              <w:t xml:space="preserve">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928"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1691A739"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p>
        </w:tc>
      </w:tr>
      <w:tr w:rsidR="00FF6C32" w:rsidRPr="00EA5065" w14:paraId="331CB606" w14:textId="77777777" w:rsidTr="006E43CF">
        <w:tc>
          <w:tcPr>
            <w:tcW w:w="1191"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337"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173"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928"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I’ll change “if psi-BasedDiscard is configured” to “if </w:t>
            </w:r>
            <w:proofErr w:type="spellStart"/>
            <w:r>
              <w:rPr>
                <w:rFonts w:ascii="Arial" w:eastAsiaTheme="minorEastAsia" w:hAnsi="Arial" w:cs="Arial"/>
                <w:color w:val="000000"/>
                <w:lang w:eastAsia="ko-KR"/>
              </w:rPr>
              <w:t>discarTimerForLowImportance</w:t>
            </w:r>
            <w:proofErr w:type="spellEnd"/>
            <w:r>
              <w:rPr>
                <w:rFonts w:ascii="Arial" w:eastAsiaTheme="minorEastAsia" w:hAnsi="Arial" w:cs="Arial"/>
                <w:color w:val="000000"/>
                <w:lang w:eastAsia="ko-KR"/>
              </w:rPr>
              <w:t xml:space="preserve"> is configured” in 5.2.1.</w:t>
            </w:r>
          </w:p>
          <w:p w14:paraId="5A7AC677" w14:textId="77777777" w:rsidR="00FF6C32" w:rsidRP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tc>
      </w:tr>
      <w:tr w:rsidR="00FF6C32" w:rsidRPr="00EA5065" w14:paraId="33739E84" w14:textId="77777777" w:rsidTr="006E43CF">
        <w:tc>
          <w:tcPr>
            <w:tcW w:w="1191"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337"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173"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928"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6E43CF">
        <w:tc>
          <w:tcPr>
            <w:tcW w:w="1191" w:type="dxa"/>
            <w:shd w:val="clear" w:color="auto" w:fill="auto"/>
          </w:tcPr>
          <w:p w14:paraId="10F616AF" w14:textId="5CEED455" w:rsidR="005B4BE0" w:rsidRPr="005B4BE0" w:rsidRDefault="005B4BE0" w:rsidP="004F3F23">
            <w:pPr>
              <w:spacing w:before="100" w:beforeAutospacing="1" w:after="100" w:afterAutospacing="1"/>
              <w:rPr>
                <w:rFonts w:ascii="Arial" w:eastAsia="游明朝" w:hAnsi="Arial" w:cs="Arial"/>
                <w:color w:val="000000"/>
                <w:lang w:eastAsia="ja-JP"/>
              </w:rPr>
            </w:pPr>
            <w:r>
              <w:rPr>
                <w:rFonts w:ascii="Arial" w:eastAsia="游明朝" w:hAnsi="Arial" w:cs="Arial" w:hint="eastAsia"/>
                <w:color w:val="000000"/>
                <w:lang w:eastAsia="ja-JP"/>
              </w:rPr>
              <w:t>N</w:t>
            </w:r>
            <w:r>
              <w:rPr>
                <w:rFonts w:ascii="Arial" w:eastAsia="游明朝" w:hAnsi="Arial" w:cs="Arial"/>
                <w:color w:val="000000"/>
                <w:lang w:eastAsia="ja-JP"/>
              </w:rPr>
              <w:t>EC001</w:t>
            </w:r>
          </w:p>
        </w:tc>
        <w:tc>
          <w:tcPr>
            <w:tcW w:w="2337" w:type="dxa"/>
            <w:shd w:val="clear" w:color="auto" w:fill="auto"/>
          </w:tcPr>
          <w:p w14:paraId="4B9E5AA8" w14:textId="3D738C0E" w:rsidR="005B4BE0" w:rsidRPr="005B4BE0" w:rsidRDefault="005B4BE0" w:rsidP="005B4BE0">
            <w:pPr>
              <w:pStyle w:val="af3"/>
              <w:numPr>
                <w:ilvl w:val="1"/>
                <w:numId w:val="45"/>
              </w:numPr>
              <w:spacing w:before="100" w:beforeAutospacing="1" w:after="100" w:afterAutospacing="1"/>
              <w:rPr>
                <w:rFonts w:ascii="Arial" w:eastAsia="游明朝" w:hAnsi="Arial" w:cs="Arial"/>
                <w:color w:val="000000"/>
                <w:lang w:eastAsia="ja-JP"/>
              </w:rPr>
            </w:pPr>
            <w:r w:rsidRPr="005B4BE0">
              <w:rPr>
                <w:rFonts w:ascii="Arial" w:eastAsia="游明朝"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游明朝" w:hAnsi="Arial" w:cs="Arial"/>
                <w:color w:val="000000"/>
                <w:lang w:eastAsia="ja-JP"/>
              </w:rPr>
              <w:t>The definition of “</w:t>
            </w:r>
            <w:r w:rsidRPr="00AE08D9">
              <w:rPr>
                <w:rFonts w:ascii="Arial" w:hAnsi="Arial" w:cs="Arial"/>
                <w:lang w:eastAsia="ko-KR"/>
              </w:rPr>
              <w:t>Delay-critical PDCP SDU</w:t>
            </w:r>
            <w:r>
              <w:rPr>
                <w:rFonts w:ascii="游明朝" w:eastAsia="游明朝" w:hAnsi="游明朝" w:cs="Arial" w:hint="eastAsia"/>
                <w:lang w:eastAsia="ja-JP"/>
              </w:rPr>
              <w:t xml:space="preserve">” </w:t>
            </w:r>
          </w:p>
        </w:tc>
        <w:tc>
          <w:tcPr>
            <w:tcW w:w="3173"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游明朝" w:hAnsi="Arial" w:cs="Arial"/>
                <w:lang w:eastAsia="ja-JP"/>
              </w:rPr>
            </w:pPr>
            <w:r w:rsidRPr="00AE08D9">
              <w:rPr>
                <w:rFonts w:ascii="Arial" w:eastAsia="游明朝" w:hAnsi="Arial" w:cs="Arial"/>
                <w:lang w:eastAsia="ja-JP"/>
              </w:rPr>
              <w:t>Suggest deleting following text</w:t>
            </w:r>
            <w:r>
              <w:rPr>
                <w:rFonts w:ascii="Arial" w:eastAsia="游明朝" w:hAnsi="Arial" w:cs="Arial" w:hint="eastAsia"/>
                <w:lang w:eastAsia="ja-JP"/>
              </w:rPr>
              <w:t xml:space="preserve"> </w:t>
            </w:r>
            <w:r>
              <w:rPr>
                <w:rFonts w:ascii="Arial" w:eastAsia="游明朝" w:hAnsi="Arial" w:cs="Arial"/>
                <w:lang w:eastAsia="ja-JP"/>
              </w:rPr>
              <w:t>and moving it to other section if necessary</w:t>
            </w:r>
            <w:r w:rsidR="006D4922">
              <w:rPr>
                <w:rFonts w:ascii="Arial" w:eastAsia="游明朝"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w:t>
            </w:r>
            <w:proofErr w:type="spellStart"/>
            <w:r w:rsidRPr="00AE08D9">
              <w:rPr>
                <w:rFonts w:ascii="Arial" w:eastAsia="Malgun Gothic" w:hAnsi="Arial" w:cs="Arial"/>
                <w:i/>
                <w:strike/>
                <w:lang w:eastAsia="ko-KR"/>
              </w:rPr>
              <w:t>pdu-SetDiscard</w:t>
            </w:r>
            <w:proofErr w:type="spellEnd"/>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w:t>
            </w:r>
            <w:r w:rsidRPr="00AE08D9">
              <w:rPr>
                <w:rFonts w:ascii="Arial" w:hAnsi="Arial" w:cs="Arial"/>
                <w:strike/>
              </w:rPr>
              <w:lastRenderedPageBreak/>
              <w:t xml:space="preserve">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游明朝" w:hAnsi="Arial" w:cs="Arial"/>
                <w:color w:val="000000"/>
                <w:lang w:eastAsia="ja-JP"/>
              </w:rPr>
            </w:pPr>
            <w:r w:rsidRPr="00616C88">
              <w:rPr>
                <w:rFonts w:ascii="Arial" w:eastAsia="游明朝" w:hAnsi="Arial" w:cs="Arial" w:hint="eastAsia"/>
                <w:color w:val="000000"/>
                <w:lang w:eastAsia="ja-JP"/>
              </w:rPr>
              <w:t>R</w:t>
            </w:r>
            <w:r w:rsidRPr="00616C88">
              <w:rPr>
                <w:rFonts w:ascii="Arial" w:eastAsia="游明朝"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928" w:type="dxa"/>
          </w:tcPr>
          <w:p w14:paraId="5DCA1983" w14:textId="77777777" w:rsidR="005B4BE0" w:rsidRDefault="005B4BE0" w:rsidP="00305982">
            <w:pPr>
              <w:spacing w:before="100" w:beforeAutospacing="1" w:after="100" w:afterAutospacing="1"/>
              <w:rPr>
                <w:rFonts w:ascii="Arial" w:eastAsiaTheme="minorEastAsia" w:hAnsi="Arial" w:cs="Arial"/>
                <w:color w:val="000000"/>
                <w:lang w:eastAsia="ko-KR"/>
              </w:rPr>
            </w:pPr>
          </w:p>
        </w:tc>
      </w:tr>
      <w:tr w:rsidR="006E43CF" w:rsidRPr="00EA5065" w14:paraId="093BDE08" w14:textId="77777777" w:rsidTr="006E43CF">
        <w:tc>
          <w:tcPr>
            <w:tcW w:w="1191" w:type="dxa"/>
            <w:shd w:val="clear" w:color="auto" w:fill="auto"/>
          </w:tcPr>
          <w:p w14:paraId="7594F26F" w14:textId="651F9054" w:rsidR="006E43CF" w:rsidRPr="006D4922" w:rsidRDefault="006E43CF" w:rsidP="006E43CF">
            <w:pPr>
              <w:spacing w:before="100" w:beforeAutospacing="1" w:after="100" w:afterAutospacing="1"/>
              <w:rPr>
                <w:rFonts w:ascii="Arial" w:eastAsia="游明朝" w:hAnsi="Arial" w:cs="Arial"/>
                <w:color w:val="000000"/>
                <w:lang w:eastAsia="ja-JP"/>
              </w:rPr>
            </w:pPr>
            <w:r>
              <w:rPr>
                <w:rFonts w:ascii="Arial" w:eastAsia="游明朝" w:hAnsi="Arial" w:cs="Arial" w:hint="eastAsia"/>
                <w:color w:val="000000"/>
                <w:lang w:eastAsia="ja-JP"/>
              </w:rPr>
              <w:t>N</w:t>
            </w:r>
            <w:r>
              <w:rPr>
                <w:rFonts w:ascii="Arial" w:eastAsia="游明朝" w:hAnsi="Arial" w:cs="Arial"/>
                <w:color w:val="000000"/>
                <w:lang w:eastAsia="ja-JP"/>
              </w:rPr>
              <w:t>EC002</w:t>
            </w:r>
          </w:p>
        </w:tc>
        <w:tc>
          <w:tcPr>
            <w:tcW w:w="2337" w:type="dxa"/>
            <w:shd w:val="clear" w:color="auto" w:fill="auto"/>
          </w:tcPr>
          <w:p w14:paraId="7E3078DF" w14:textId="77777777" w:rsidR="006E43CF" w:rsidRPr="00DD3C17" w:rsidRDefault="006E43CF" w:rsidP="006E43CF">
            <w:pPr>
              <w:pStyle w:val="af3"/>
              <w:numPr>
                <w:ilvl w:val="1"/>
                <w:numId w:val="46"/>
              </w:numPr>
              <w:spacing w:before="100" w:beforeAutospacing="1" w:after="100" w:afterAutospacing="1"/>
              <w:rPr>
                <w:rFonts w:ascii="Arial" w:eastAsia="游明朝" w:hAnsi="Arial" w:cs="Arial"/>
                <w:color w:val="000000"/>
                <w:lang w:eastAsia="ja-JP"/>
              </w:rPr>
            </w:pPr>
            <w:r w:rsidRPr="00DD3C17">
              <w:rPr>
                <w:rFonts w:ascii="Arial" w:eastAsia="游明朝"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游明朝"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游明朝" w:hAnsi="Arial" w:cs="Arial"/>
                <w:lang w:eastAsia="ja-JP"/>
              </w:rPr>
              <w:t>” if Option 3 is adopted.</w:t>
            </w:r>
          </w:p>
        </w:tc>
        <w:tc>
          <w:tcPr>
            <w:tcW w:w="3173"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928" w:type="dxa"/>
          </w:tcPr>
          <w:p w14:paraId="548B90B9" w14:textId="77777777" w:rsidR="006E43CF" w:rsidRPr="00507DAC" w:rsidRDefault="006E43CF" w:rsidP="006E43CF">
            <w:pPr>
              <w:spacing w:before="100" w:beforeAutospacing="1" w:after="100" w:afterAutospacing="1"/>
              <w:rPr>
                <w:rFonts w:ascii="Arial" w:hAnsi="Arial" w:cs="Arial"/>
                <w:color w:val="000000"/>
                <w:lang w:eastAsia="zh-CN"/>
              </w:rPr>
            </w:pPr>
          </w:p>
        </w:tc>
      </w:tr>
      <w:tr w:rsidR="006E43CF" w:rsidRPr="00EA5065" w14:paraId="7A41731F" w14:textId="77777777" w:rsidTr="006E43CF">
        <w:tc>
          <w:tcPr>
            <w:tcW w:w="1191" w:type="dxa"/>
            <w:shd w:val="clear" w:color="auto" w:fill="auto"/>
          </w:tcPr>
          <w:p w14:paraId="5A27784F" w14:textId="1892056D" w:rsidR="006E43CF" w:rsidRDefault="006E43CF" w:rsidP="006E43CF">
            <w:pPr>
              <w:spacing w:before="100" w:beforeAutospacing="1" w:after="100" w:afterAutospacing="1"/>
              <w:rPr>
                <w:rFonts w:ascii="Arial" w:eastAsia="游明朝" w:hAnsi="Arial" w:cs="Arial"/>
                <w:color w:val="000000"/>
                <w:lang w:eastAsia="ja-JP"/>
              </w:rPr>
            </w:pPr>
            <w:r>
              <w:rPr>
                <w:rFonts w:ascii="Arial" w:eastAsia="游明朝" w:hAnsi="Arial" w:cs="Arial" w:hint="eastAsia"/>
                <w:color w:val="000000"/>
                <w:lang w:eastAsia="ja-JP"/>
              </w:rPr>
              <w:t>N</w:t>
            </w:r>
            <w:r>
              <w:rPr>
                <w:rFonts w:ascii="Arial" w:eastAsia="游明朝" w:hAnsi="Arial" w:cs="Arial"/>
                <w:color w:val="000000"/>
                <w:lang w:eastAsia="ja-JP"/>
              </w:rPr>
              <w:t>EC003</w:t>
            </w:r>
          </w:p>
        </w:tc>
        <w:tc>
          <w:tcPr>
            <w:tcW w:w="2337"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游明朝" w:hAnsi="Arial" w:cs="Arial"/>
                <w:color w:val="000000"/>
                <w:lang w:eastAsia="ja-JP"/>
              </w:rPr>
            </w:pPr>
          </w:p>
        </w:tc>
        <w:tc>
          <w:tcPr>
            <w:tcW w:w="3173"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proofErr w:type="spellStart"/>
            <w:r w:rsidRPr="00D15AB7">
              <w:rPr>
                <w:rFonts w:ascii="Arial" w:eastAsia="Malgun Gothic" w:hAnsi="Arial" w:cs="Arial"/>
                <w:i/>
                <w:sz w:val="21"/>
                <w:szCs w:val="21"/>
                <w:lang w:eastAsia="ko-KR"/>
              </w:rPr>
              <w:t>pdu-SetDiscard</w:t>
            </w:r>
            <w:proofErr w:type="spellEnd"/>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928" w:type="dxa"/>
          </w:tcPr>
          <w:p w14:paraId="7A8C7A6C" w14:textId="77777777" w:rsidR="006E43CF" w:rsidRPr="00507DAC" w:rsidRDefault="006E43CF" w:rsidP="006E43CF">
            <w:pPr>
              <w:spacing w:before="100" w:beforeAutospacing="1" w:after="100" w:afterAutospacing="1"/>
              <w:rPr>
                <w:rFonts w:ascii="Arial" w:hAnsi="Arial" w:cs="Arial"/>
                <w:color w:val="000000"/>
                <w:lang w:eastAsia="zh-CN"/>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D557" w14:textId="77777777" w:rsidR="00C8734B" w:rsidRDefault="00C8734B">
      <w:r>
        <w:separator/>
      </w:r>
    </w:p>
  </w:endnote>
  <w:endnote w:type="continuationSeparator" w:id="0">
    <w:p w14:paraId="38EB5BC0" w14:textId="77777777" w:rsidR="00C8734B" w:rsidRDefault="00C8734B">
      <w:r>
        <w:continuationSeparator/>
      </w:r>
    </w:p>
  </w:endnote>
  <w:endnote w:type="continuationNotice" w:id="1">
    <w:p w14:paraId="7D1AFC71" w14:textId="77777777" w:rsidR="00C8734B" w:rsidRDefault="00C87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3967" w14:textId="77777777" w:rsidR="00C8734B" w:rsidRDefault="00C8734B">
      <w:r>
        <w:separator/>
      </w:r>
    </w:p>
  </w:footnote>
  <w:footnote w:type="continuationSeparator" w:id="0">
    <w:p w14:paraId="133D1EF1" w14:textId="77777777" w:rsidR="00C8734B" w:rsidRDefault="00C8734B">
      <w:r>
        <w:continuationSeparator/>
      </w:r>
    </w:p>
  </w:footnote>
  <w:footnote w:type="continuationNotice" w:id="1">
    <w:p w14:paraId="57C14FE7" w14:textId="77777777" w:rsidR="00C8734B" w:rsidRDefault="00C873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027252">
    <w:abstractNumId w:val="31"/>
  </w:num>
  <w:num w:numId="2" w16cid:durableId="1233079884">
    <w:abstractNumId w:val="3"/>
  </w:num>
  <w:num w:numId="3" w16cid:durableId="480973820">
    <w:abstractNumId w:val="19"/>
  </w:num>
  <w:num w:numId="4" w16cid:durableId="1698386157">
    <w:abstractNumId w:val="29"/>
  </w:num>
  <w:num w:numId="5" w16cid:durableId="1959292248">
    <w:abstractNumId w:val="29"/>
    <w:lvlOverride w:ilvl="0">
      <w:startOverride w:val="1"/>
    </w:lvlOverride>
  </w:num>
  <w:num w:numId="6" w16cid:durableId="1620723471">
    <w:abstractNumId w:val="29"/>
    <w:lvlOverride w:ilvl="0">
      <w:startOverride w:val="1"/>
    </w:lvlOverride>
  </w:num>
  <w:num w:numId="7" w16cid:durableId="2058308970">
    <w:abstractNumId w:val="11"/>
  </w:num>
  <w:num w:numId="8" w16cid:durableId="1888489315">
    <w:abstractNumId w:val="30"/>
  </w:num>
  <w:num w:numId="9" w16cid:durableId="237986818">
    <w:abstractNumId w:val="26"/>
  </w:num>
  <w:num w:numId="10" w16cid:durableId="443232848">
    <w:abstractNumId w:val="28"/>
  </w:num>
  <w:num w:numId="11" w16cid:durableId="190001071">
    <w:abstractNumId w:val="29"/>
  </w:num>
  <w:num w:numId="12" w16cid:durableId="1417245422">
    <w:abstractNumId w:val="27"/>
  </w:num>
  <w:num w:numId="13" w16cid:durableId="668098727">
    <w:abstractNumId w:val="6"/>
  </w:num>
  <w:num w:numId="14" w16cid:durableId="238758790">
    <w:abstractNumId w:val="33"/>
  </w:num>
  <w:num w:numId="15" w16cid:durableId="1362974707">
    <w:abstractNumId w:val="25"/>
  </w:num>
  <w:num w:numId="16" w16cid:durableId="1948348008">
    <w:abstractNumId w:val="16"/>
  </w:num>
  <w:num w:numId="17" w16cid:durableId="580994145">
    <w:abstractNumId w:val="29"/>
  </w:num>
  <w:num w:numId="18" w16cid:durableId="431825779">
    <w:abstractNumId w:val="32"/>
  </w:num>
  <w:num w:numId="19" w16cid:durableId="1138303698">
    <w:abstractNumId w:val="24"/>
  </w:num>
  <w:num w:numId="20" w16cid:durableId="1264994824">
    <w:abstractNumId w:val="29"/>
  </w:num>
  <w:num w:numId="21" w16cid:durableId="37166069">
    <w:abstractNumId w:val="12"/>
  </w:num>
  <w:num w:numId="22" w16cid:durableId="370619266">
    <w:abstractNumId w:val="20"/>
  </w:num>
  <w:num w:numId="23" w16cid:durableId="1904830042">
    <w:abstractNumId w:val="8"/>
  </w:num>
  <w:num w:numId="24" w16cid:durableId="1942297567">
    <w:abstractNumId w:val="32"/>
  </w:num>
  <w:num w:numId="25" w16cid:durableId="235479727">
    <w:abstractNumId w:val="15"/>
  </w:num>
  <w:num w:numId="26" w16cid:durableId="1578788872">
    <w:abstractNumId w:val="31"/>
  </w:num>
  <w:num w:numId="27" w16cid:durableId="960500716">
    <w:abstractNumId w:val="31"/>
  </w:num>
  <w:num w:numId="28" w16cid:durableId="1285192275">
    <w:abstractNumId w:val="31"/>
  </w:num>
  <w:num w:numId="29" w16cid:durableId="1001355074">
    <w:abstractNumId w:val="21"/>
  </w:num>
  <w:num w:numId="30" w16cid:durableId="1531525394">
    <w:abstractNumId w:val="5"/>
  </w:num>
  <w:num w:numId="31" w16cid:durableId="148451369">
    <w:abstractNumId w:val="7"/>
  </w:num>
  <w:num w:numId="32" w16cid:durableId="526724663">
    <w:abstractNumId w:val="2"/>
  </w:num>
  <w:num w:numId="33" w16cid:durableId="474644073">
    <w:abstractNumId w:val="14"/>
  </w:num>
  <w:num w:numId="34" w16cid:durableId="232862417">
    <w:abstractNumId w:val="9"/>
  </w:num>
  <w:num w:numId="35" w16cid:durableId="1932665959">
    <w:abstractNumId w:val="17"/>
  </w:num>
  <w:num w:numId="36" w16cid:durableId="664287090">
    <w:abstractNumId w:val="4"/>
  </w:num>
  <w:num w:numId="37" w16cid:durableId="2051610776">
    <w:abstractNumId w:val="23"/>
  </w:num>
  <w:num w:numId="38" w16cid:durableId="172495779">
    <w:abstractNumId w:val="13"/>
  </w:num>
  <w:num w:numId="39" w16cid:durableId="153960676">
    <w:abstractNumId w:val="18"/>
  </w:num>
  <w:num w:numId="40" w16cid:durableId="92822057">
    <w:abstractNumId w:val="24"/>
  </w:num>
  <w:num w:numId="41" w16cid:durableId="729961019">
    <w:abstractNumId w:val="0"/>
  </w:num>
  <w:num w:numId="42" w16cid:durableId="1466697817">
    <w:abstractNumId w:val="22"/>
  </w:num>
  <w:num w:numId="43" w16cid:durableId="38407696">
    <w:abstractNumId w:val="31"/>
  </w:num>
  <w:num w:numId="44" w16cid:durableId="2054381392">
    <w:abstractNumId w:val="31"/>
  </w:num>
  <w:num w:numId="45" w16cid:durableId="541601575">
    <w:abstractNumId w:val="10"/>
  </w:num>
  <w:num w:numId="46" w16cid:durableId="18985875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2706"/>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F2"/>
    <w:rsid w:val="004F2A16"/>
    <w:rsid w:val="004F2AE1"/>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6B2F"/>
    <w:rsid w:val="0096783B"/>
    <w:rsid w:val="0097071D"/>
    <w:rsid w:val="00970799"/>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4">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qFormat/>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5">
    <w:name w:val="List Bullet 2"/>
    <w:basedOn w:val="a8"/>
    <w:pPr>
      <w:ind w:left="851"/>
    </w:pPr>
  </w:style>
  <w:style w:type="paragraph" w:styleId="32">
    <w:name w:val="List Bullet 3"/>
    <w:basedOn w:val="25"/>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6">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6"/>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
    <w:qFormat/>
  </w:style>
  <w:style w:type="paragraph" w:customStyle="1" w:styleId="B2">
    <w:name w:val="B2"/>
    <w:basedOn w:val="26"/>
    <w:link w:val="B2Char"/>
    <w:qFormat/>
  </w:style>
  <w:style w:type="paragraph" w:customStyle="1" w:styleId="B3">
    <w:name w:val="B3"/>
    <w:basedOn w:val="33"/>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コメント文字列 (文字)"/>
    <w:link w:val="ad"/>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4"/>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505E15"/>
    <w:rPr>
      <w:rFonts w:ascii="Arial" w:eastAsia="ＭＳ 明朝"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5"/>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表題 (文字)"/>
    <w:link w:val="af8"/>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ＭＳ 明朝"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Web">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9A0FD3"/>
    <w:rPr>
      <w:rFonts w:ascii="Arial" w:eastAsia="ＭＳ 明朝"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aliases w:val="Head2A (文字),2 (文字),H2 (文字),UNDERRUBRIK 1-2 (文字),DO NOT USE_h2 (文字),h2 (文字),h21 (文字),H2 Char (文字),h2 Char (文字),标题 2 (文字),Header 2 (文字),Header2 (文字),22 (文字),heading2 (文字),2nd level (文字),H21 (文字),H22 (文字),H23 (文字),H24 (文字),H25 (文字),R2 (文字)"/>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DengXian"/>
      <w:i/>
      <w:iCs/>
      <w:color w:val="44546A"/>
      <w:sz w:val="18"/>
      <w:szCs w:val="18"/>
      <w:lang w:val="en-US"/>
    </w:rPr>
  </w:style>
  <w:style w:type="character" w:customStyle="1" w:styleId="afd">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link w:val="afc"/>
    <w:qFormat/>
    <w:rsid w:val="00826177"/>
    <w:rPr>
      <w:rFonts w:ascii="Times New Roman" w:eastAsia="DengXian" w:hAnsi="Times New Roman"/>
      <w:i/>
      <w:iCs/>
      <w:color w:val="44546A"/>
      <w:sz w:val="18"/>
      <w:szCs w:val="18"/>
      <w:lang w:eastAsia="en-US"/>
    </w:rPr>
  </w:style>
  <w:style w:type="character" w:customStyle="1" w:styleId="af4">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3"/>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ＭＳ 明朝"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ＭＳ 明朝"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ＭＳ 明朝"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Unresolved Mention"/>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86008D-B3B5-4B2F-BBA4-20D700DA0103}">
  <ds:schemaRefs>
    <ds:schemaRef ds:uri="http://schemas.openxmlformats.org/officeDocument/2006/bibliography"/>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967</Words>
  <Characters>5513</Characters>
  <Application>Microsoft Office Word</Application>
  <DocSecurity>0</DocSecurity>
  <Lines>45</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NEC</cp:lastModifiedBy>
  <cp:revision>6</cp:revision>
  <dcterms:created xsi:type="dcterms:W3CDTF">2023-11-24T07:17:00Z</dcterms:created>
  <dcterms:modified xsi:type="dcterms:W3CDTF">2023-11-24T07:45:00Z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