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77777777" w:rsidR="00505E15" w:rsidRDefault="00000000" w:rsidP="00C93588">
      <w:pPr>
        <w:pStyle w:val="Header"/>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0"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1;visibility:hidden">
            <v:textbox inset="5.85pt,.7pt,5.85pt,.7pt"/>
            <w10:anchorlock/>
          </v:shape>
        </w:pic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w:t>
      </w:r>
      <w:proofErr w:type="gramStart"/>
      <w:r>
        <w:rPr>
          <w:lang w:val="fr-FR"/>
        </w:rPr>
        <w:t>037][</w:t>
      </w:r>
      <w:proofErr w:type="gramEnd"/>
      <w:r>
        <w:rPr>
          <w:lang w:val="fr-FR"/>
        </w:rPr>
        <w:t>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421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3FD7CC18"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54BD98BF"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w:t>
      </w:r>
      <w:proofErr w:type="gramStart"/>
      <w:r w:rsidR="00F157E0">
        <w:rPr>
          <w:rFonts w:cs="Arial"/>
          <w:lang w:eastAsia="zh-CN"/>
        </w:rPr>
        <w:t>CR</w:t>
      </w:r>
      <w:proofErr w:type="gramEnd"/>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137"/>
        <w:gridCol w:w="4347"/>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 xml:space="preserve">Doesn’t impact MAC spec or already </w:t>
      </w:r>
      <w:proofErr w:type="gramStart"/>
      <w:r w:rsidRPr="00D477B3">
        <w:rPr>
          <w:rStyle w:val="ui-provider"/>
          <w:sz w:val="22"/>
          <w:szCs w:val="22"/>
          <w:highlight w:val="cyan"/>
        </w:rPr>
        <w:t>specified</w:t>
      </w:r>
      <w:proofErr w:type="gramEnd"/>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lastRenderedPageBreak/>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lastRenderedPageBreak/>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lastRenderedPageBreak/>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 xml:space="preserve">Add a flag to event configuration (as in the current running CR) for NES specific CHO </w:t>
      </w:r>
      <w:proofErr w:type="gramStart"/>
      <w:r w:rsidRPr="00904FFE">
        <w:rPr>
          <w:rStyle w:val="Emphasis"/>
          <w:highlight w:val="cyan"/>
        </w:rPr>
        <w:t>execution</w:t>
      </w:r>
      <w:proofErr w:type="gramEnd"/>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5"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lastRenderedPageBreak/>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w:t>
      </w:r>
      <w:proofErr w:type="gramStart"/>
      <w:r w:rsidRPr="00C67E87">
        <w:rPr>
          <w:highlight w:val="cyan"/>
        </w:rPr>
        <w:t>respectively</w:t>
      </w:r>
      <w:proofErr w:type="gramEnd"/>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w:t>
      </w:r>
      <w:proofErr w:type="gramStart"/>
      <w:r w:rsidRPr="00C67E87">
        <w:rPr>
          <w:highlight w:val="cyan"/>
        </w:rPr>
        <w:t>i.e.</w:t>
      </w:r>
      <w:proofErr w:type="gramEnd"/>
      <w:r w:rsidRPr="00C67E87">
        <w:rPr>
          <w:highlight w:val="cyan"/>
        </w:rPr>
        <w:t xml:space="preserv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non active </w:t>
      </w:r>
      <w:proofErr w:type="gramStart"/>
      <w:r w:rsidRPr="00887FD5">
        <w:rPr>
          <w:rFonts w:ascii="Calibri" w:eastAsia="Calibri" w:hAnsi="Calibri" w:cs="Calibri"/>
          <w:sz w:val="22"/>
          <w:szCs w:val="22"/>
          <w:highlight w:val="green"/>
          <w:lang w:val="en-US"/>
        </w:rPr>
        <w:t>period</w:t>
      </w:r>
      <w:proofErr w:type="gramEnd"/>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In running MAC CR, capture a NOTE </w:t>
      </w:r>
      <w:proofErr w:type="gramStart"/>
      <w:r w:rsidRPr="00887FD5">
        <w:rPr>
          <w:rFonts w:ascii="Calibri" w:eastAsia="Calibri" w:hAnsi="Calibri" w:cs="Calibri"/>
          <w:sz w:val="22"/>
          <w:szCs w:val="22"/>
          <w:highlight w:val="green"/>
          <w:lang w:val="en-US"/>
        </w:rPr>
        <w:t>similar to</w:t>
      </w:r>
      <w:proofErr w:type="gramEnd"/>
      <w:r w:rsidRPr="00887FD5">
        <w:rPr>
          <w:rFonts w:ascii="Calibri" w:eastAsia="Calibri" w:hAnsi="Calibri" w:cs="Calibri"/>
          <w:sz w:val="22"/>
          <w:szCs w:val="22"/>
          <w:highlight w:val="green"/>
          <w:lang w:val="en-US"/>
        </w:rPr>
        <w:t xml:space="preserve">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 xml:space="preserve">No need to restrict that the cell DRX is only configured when C-DRX is </w:t>
      </w:r>
      <w:proofErr w:type="gramStart"/>
      <w:r w:rsidRPr="00887FD5">
        <w:rPr>
          <w:rFonts w:ascii="Calibri" w:eastAsia="Calibri" w:hAnsi="Calibri" w:cs="Calibri"/>
          <w:sz w:val="22"/>
          <w:szCs w:val="22"/>
          <w:highlight w:val="cyan"/>
          <w:lang w:val="en-US"/>
        </w:rPr>
        <w:t>configured</w:t>
      </w:r>
      <w:proofErr w:type="gramEnd"/>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 xml:space="preserve">not monitor PDCCH irrespective of the requirements of clause 5.7, unless explicitly stated otherwise in this </w:t>
      </w:r>
      <w:proofErr w:type="gramStart"/>
      <w:r w:rsidRPr="00887FD5">
        <w:rPr>
          <w:rFonts w:ascii="Calibri" w:eastAsia="Calibri" w:hAnsi="Calibri" w:cs="Calibri"/>
          <w:sz w:val="22"/>
          <w:szCs w:val="22"/>
          <w:highlight w:val="green"/>
          <w:u w:val="single"/>
          <w:lang w:val="en-US"/>
        </w:rPr>
        <w:t>clause;</w:t>
      </w:r>
      <w:proofErr w:type="gramEnd"/>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w:t>
      </w:r>
      <w:proofErr w:type="gramStart"/>
      <w:r w:rsidRPr="007C1A92">
        <w:rPr>
          <w:highlight w:val="cyan"/>
        </w:rPr>
        <w:t>broadcast</w:t>
      </w:r>
      <w:proofErr w:type="gramEnd"/>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 xml:space="preserve">FFS whether there will be exception case(s) for UE transmitting listed signals/channels during non-active periods of </w:t>
            </w:r>
            <w:proofErr w:type="gramStart"/>
            <w:r>
              <w:rPr>
                <w:lang w:eastAsia="ko-KR"/>
              </w:rPr>
              <w:t>DRX</w:t>
            </w:r>
            <w:proofErr w:type="gramEnd"/>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gramStart"/>
            <w:r>
              <w:rPr>
                <w:lang w:eastAsia="ko-KR"/>
              </w:rPr>
              <w:t>gNB</w:t>
            </w:r>
            <w:proofErr w:type="gramEnd"/>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w:t>
            </w:r>
            <w:proofErr w:type="gramStart"/>
            <w:r>
              <w:rPr>
                <w:rFonts w:ascii="Times" w:eastAsia="Batang" w:hAnsi="Times"/>
                <w:color w:val="000000"/>
                <w:spacing w:val="-6"/>
                <w:kern w:val="20"/>
              </w:rPr>
              <w:t>configurations</w:t>
            </w:r>
            <w:proofErr w:type="gramEnd"/>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w:t>
            </w:r>
            <w:proofErr w:type="gramStart"/>
            <w:r>
              <w:rPr>
                <w:rFonts w:ascii="Times" w:eastAsia="Batang" w:hAnsi="Times"/>
                <w:color w:val="000000"/>
                <w:spacing w:val="-6"/>
                <w:kern w:val="20"/>
                <w:highlight w:val="yellow"/>
              </w:rPr>
              <w:t>supported</w:t>
            </w:r>
            <w:proofErr w:type="gramEnd"/>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Only one MAC CE is used for this </w:t>
            </w:r>
            <w:proofErr w:type="gramStart"/>
            <w:r>
              <w:rPr>
                <w:rFonts w:ascii="Times" w:eastAsia="Batang" w:hAnsi="Times"/>
                <w:color w:val="000000"/>
                <w:spacing w:val="-6"/>
                <w:kern w:val="20"/>
                <w:highlight w:val="yellow"/>
              </w:rPr>
              <w:t>triggering</w:t>
            </w:r>
            <w:proofErr w:type="gramEnd"/>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lastRenderedPageBreak/>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 xml:space="preserve">Rel-18 UE supporting cell DTX is not required to monitor the following signals/channels from the gNB, during non-active periods of cell </w:t>
            </w:r>
            <w:proofErr w:type="gramStart"/>
            <w:r>
              <w:rPr>
                <w:highlight w:val="green"/>
                <w:lang w:eastAsia="zh-CN"/>
              </w:rPr>
              <w:t>DTX</w:t>
            </w:r>
            <w:proofErr w:type="gramEnd"/>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 xml:space="preserve">UE transmits a subset of the repetitions in a CG bundle that do not overlap with the cell DRX non-active </w:t>
            </w:r>
            <w:proofErr w:type="gramStart"/>
            <w:r>
              <w:rPr>
                <w:rFonts w:ascii="Times" w:hAnsi="Times" w:cs="Times"/>
                <w:highlight w:val="cyan"/>
                <w:lang w:eastAsia="x-none"/>
              </w:rPr>
              <w:t>period</w:t>
            </w:r>
            <w:proofErr w:type="gramEnd"/>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 xml:space="preserve">There is no consensus in RAN1 on </w:t>
            </w:r>
            <w:proofErr w:type="gramStart"/>
            <w:r>
              <w:rPr>
                <w:rFonts w:ascii="Times" w:hAnsi="Times" w:cs="Times"/>
                <w:lang w:eastAsia="zh-CN"/>
              </w:rPr>
              <w:t>whether or not</w:t>
            </w:r>
            <w:proofErr w:type="gramEnd"/>
            <w:r>
              <w:rPr>
                <w:rFonts w:ascii="Times" w:hAnsi="Times" w:cs="Times"/>
                <w:lang w:eastAsia="zh-CN"/>
              </w:rPr>
              <w:t xml:space="preserve">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7777777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6"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3759" w14:textId="77777777" w:rsidR="002D0E85" w:rsidRDefault="002D0E85">
      <w:r>
        <w:separator/>
      </w:r>
    </w:p>
  </w:endnote>
  <w:endnote w:type="continuationSeparator" w:id="0">
    <w:p w14:paraId="7610D7CD" w14:textId="77777777" w:rsidR="002D0E85" w:rsidRDefault="002D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C990" w14:textId="77777777" w:rsidR="002D0E85" w:rsidRDefault="002D0E85">
      <w:r>
        <w:separator/>
      </w:r>
    </w:p>
  </w:footnote>
  <w:footnote w:type="continuationSeparator" w:id="0">
    <w:p w14:paraId="3260971F" w14:textId="77777777" w:rsidR="002D0E85" w:rsidRDefault="002D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22"/>
  </w:num>
  <w:num w:numId="2" w16cid:durableId="202013890">
    <w:abstractNumId w:val="1"/>
  </w:num>
  <w:num w:numId="3" w16cid:durableId="1636712894">
    <w:abstractNumId w:val="8"/>
  </w:num>
  <w:num w:numId="4" w16cid:durableId="1743522145">
    <w:abstractNumId w:val="20"/>
  </w:num>
  <w:num w:numId="5" w16cid:durableId="637493080">
    <w:abstractNumId w:val="16"/>
  </w:num>
  <w:num w:numId="6" w16cid:durableId="902716152">
    <w:abstractNumId w:val="13"/>
  </w:num>
  <w:num w:numId="7" w16cid:durableId="1164055478">
    <w:abstractNumId w:val="0"/>
  </w:num>
  <w:num w:numId="8" w16cid:durableId="1590119274">
    <w:abstractNumId w:val="14"/>
  </w:num>
  <w:num w:numId="9" w16cid:durableId="191041535">
    <w:abstractNumId w:val="16"/>
  </w:num>
  <w:num w:numId="10" w16cid:durableId="365645118">
    <w:abstractNumId w:val="11"/>
  </w:num>
  <w:num w:numId="11" w16cid:durableId="313729601">
    <w:abstractNumId w:val="21"/>
  </w:num>
  <w:num w:numId="12" w16cid:durableId="1568106901">
    <w:abstractNumId w:val="7"/>
  </w:num>
  <w:num w:numId="13" w16cid:durableId="1361667089">
    <w:abstractNumId w:val="17"/>
  </w:num>
  <w:num w:numId="14" w16cid:durableId="253100354">
    <w:abstractNumId w:val="16"/>
  </w:num>
  <w:num w:numId="15" w16cid:durableId="2126927565">
    <w:abstractNumId w:val="4"/>
  </w:num>
  <w:num w:numId="16" w16cid:durableId="1172725214">
    <w:abstractNumId w:val="3"/>
  </w:num>
  <w:num w:numId="17" w16cid:durableId="922836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597328">
    <w:abstractNumId w:val="15"/>
  </w:num>
  <w:num w:numId="19" w16cid:durableId="684475929">
    <w:abstractNumId w:val="5"/>
  </w:num>
  <w:num w:numId="20" w16cid:durableId="36892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852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4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683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6907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74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Docs/R1-231240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panidx\OneDrive%20-%20InterDigital%20Communications,%20Inc\Documents\3GPP%20RAN\TSGR2_124\Docs\R2-.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7</Pages>
  <Words>2527</Words>
  <Characters>14407</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RAN2#124</cp:lastModifiedBy>
  <cp:revision>35</cp:revision>
  <dcterms:created xsi:type="dcterms:W3CDTF">2023-11-21T15:18:00Z</dcterms:created>
  <dcterms:modified xsi:type="dcterms:W3CDTF">2023-11-21T17:41:00Z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