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USA,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Nov.</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rsidR="0098108A" w:rsidRDefault="006B1C62">
      <w:pPr>
        <w:widowControl/>
        <w:tabs>
          <w:tab w:val="left" w:pos="1985"/>
        </w:tabs>
        <w:spacing w:after="120"/>
        <w:ind w:left="255" w:hangingChars="100" w:hanging="25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 xml:space="preserve">Huawei, </w:t>
      </w:r>
      <w:proofErr w:type="spellStart"/>
      <w:r>
        <w:rPr>
          <w:rFonts w:ascii="Arial" w:eastAsia="SimSun" w:hAnsi="Arial" w:cs="Arial"/>
          <w:b/>
          <w:kern w:val="0"/>
          <w:sz w:val="26"/>
          <w:szCs w:val="26"/>
        </w:rPr>
        <w:t>HiSilicon</w:t>
      </w:r>
      <w:proofErr w:type="spellEnd"/>
    </w:p>
    <w:p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98108A" w:rsidRDefault="006B1C62">
      <w:pPr>
        <w:pStyle w:val="1"/>
        <w:numPr>
          <w:ilvl w:val="0"/>
          <w:numId w:val="10"/>
        </w:numPr>
        <w:rPr>
          <w:lang w:eastAsia="zh-CN"/>
        </w:rPr>
      </w:pPr>
      <w:r>
        <w:rPr>
          <w:lang w:eastAsia="zh-CN"/>
        </w:rPr>
        <w:t>Background</w:t>
      </w:r>
    </w:p>
    <w:p w:rsidR="0098108A" w:rsidRDefault="006B1C62">
      <w:pPr>
        <w:spacing w:afterLines="0" w:after="0"/>
        <w:rPr>
          <w:rFonts w:cs="Times New Roman"/>
          <w:lang w:val="en-GB"/>
        </w:rPr>
      </w:pPr>
      <w:r>
        <w:rPr>
          <w:rFonts w:cs="Times New Roman"/>
          <w:lang w:val="en-GB"/>
        </w:rPr>
        <w:t xml:space="preserve">The following post </w:t>
      </w:r>
      <w:r>
        <w:rPr>
          <w:rFonts w:cs="Times New Roman"/>
          <w:lang w:val="en-GB"/>
        </w:rPr>
        <w:t>meeting email discussion has been planned during RAN2#123bis:</w:t>
      </w:r>
    </w:p>
    <w:p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r>
      <w:r>
        <w:rPr>
          <w:rFonts w:ascii="Arial" w:eastAsia="MS Mincho" w:hAnsi="Arial" w:cs="Times New Roman"/>
          <w:kern w:val="0"/>
          <w:sz w:val="20"/>
          <w:szCs w:val="24"/>
          <w:lang w:val="en-GB" w:eastAsia="en-GB"/>
        </w:rPr>
        <w:t>Deadline: Medium (2 weeks)</w:t>
      </w:r>
    </w:p>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1"/>
        <w:tblW w:w="0" w:type="auto"/>
        <w:tblLook w:val="04A0" w:firstRow="1" w:lastRow="0" w:firstColumn="1" w:lastColumn="0" w:noHBand="0" w:noVBand="1"/>
      </w:tblPr>
      <w:tblGrid>
        <w:gridCol w:w="9629"/>
      </w:tblGrid>
      <w:tr w:rsidR="0098108A">
        <w:tc>
          <w:tcPr>
            <w:tcW w:w="9629" w:type="dxa"/>
          </w:tcPr>
          <w:p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rsidR="0098108A" w:rsidRDefault="006B1C62">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Update the running CR with </w:t>
            </w:r>
            <w:r>
              <w:rPr>
                <w:rFonts w:ascii="Arial" w:eastAsia="MS Mincho" w:hAnsi="Arial" w:cs="Arial"/>
                <w:sz w:val="20"/>
                <w:lang w:eastAsia="ko-KR"/>
              </w:rPr>
              <w:t>agreements from the meeting</w:t>
            </w:r>
          </w:p>
          <w:p w:rsidR="0098108A" w:rsidRDefault="006B1C62">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rsidR="0098108A" w:rsidRDefault="006B1C62">
            <w:pPr>
              <w:pStyle w:val="af5"/>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rsidR="0098108A" w:rsidRDefault="006B1C62">
            <w:pPr>
              <w:pStyle w:val="af5"/>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Focus on stage-3 issues </w:t>
            </w:r>
            <w:r>
              <w:rPr>
                <w:rFonts w:ascii="Arial" w:eastAsia="MS Mincho" w:hAnsi="Arial" w:cs="Arial"/>
                <w:sz w:val="20"/>
                <w:highlight w:val="green"/>
                <w:lang w:eastAsia="ko-KR"/>
              </w:rPr>
              <w:t xml:space="preserve">which are better handled via offline, e.g. </w:t>
            </w:r>
            <w:proofErr w:type="spellStart"/>
            <w:r>
              <w:rPr>
                <w:rFonts w:ascii="Arial" w:eastAsia="MS Mincho" w:hAnsi="Arial" w:cs="Arial"/>
                <w:sz w:val="20"/>
                <w:highlight w:val="green"/>
                <w:lang w:eastAsia="ko-KR"/>
              </w:rPr>
              <w:t>signaling</w:t>
            </w:r>
            <w:proofErr w:type="spellEnd"/>
            <w:r>
              <w:rPr>
                <w:rFonts w:ascii="Arial" w:eastAsia="MS Mincho" w:hAnsi="Arial" w:cs="Arial"/>
                <w:sz w:val="20"/>
                <w:highlight w:val="green"/>
                <w:lang w:eastAsia="ko-KR"/>
              </w:rPr>
              <w:t xml:space="preserve"> details, parameter values/ranges, NOT functionality discussion</w:t>
            </w:r>
          </w:p>
          <w:p w:rsidR="0098108A" w:rsidRDefault="006B1C62">
            <w:pPr>
              <w:pStyle w:val="af5"/>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For these issues, the discussion rapporteur submits a report with proposals to the next meeting, and input via 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should be avoid</w:t>
            </w:r>
            <w:r>
              <w:rPr>
                <w:rFonts w:ascii="Arial" w:eastAsia="MS Mincho" w:hAnsi="Arial" w:cs="Arial"/>
                <w:sz w:val="20"/>
                <w:highlight w:val="green"/>
                <w:lang w:eastAsia="ko-KR"/>
              </w:rPr>
              <w:t>ed</w:t>
            </w:r>
          </w:p>
          <w:p w:rsidR="0098108A" w:rsidRDefault="006B1C62">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rsidR="0098108A" w:rsidRDefault="006B1C62">
            <w:pPr>
              <w:pStyle w:val="af5"/>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for the next meeting should focus on these issues</w:t>
            </w:r>
          </w:p>
        </w:tc>
      </w:tr>
      <w:bookmarkEnd w:id="4"/>
    </w:tbl>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This contribution intends to propose solutions for the remaining spec issues from the rappo</w:t>
      </w:r>
      <w:r>
        <w:rPr>
          <w:rFonts w:cs="Times New Roman"/>
          <w:lang w:val="en-GB"/>
        </w:rPr>
        <w:t xml:space="preserve">rteur’s point of view, without functionality discussion. </w:t>
      </w:r>
    </w:p>
    <w:p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w:t>
      </w:r>
      <w:r>
        <w:rPr>
          <w:lang w:val="en-GB"/>
        </w:rPr>
        <w:t>roposed WF from the MAC rapporteur.</w:t>
      </w:r>
    </w:p>
    <w:p w:rsidR="0098108A" w:rsidRDefault="006B1C62">
      <w:pPr>
        <w:pStyle w:val="1"/>
        <w:rPr>
          <w:lang w:eastAsia="zh-CN"/>
        </w:rPr>
      </w:pPr>
      <w:r>
        <w:rPr>
          <w:lang w:eastAsia="zh-CN"/>
        </w:rPr>
        <w:t>2</w:t>
      </w:r>
      <w:r>
        <w:rPr>
          <w:lang w:eastAsia="zh-CN"/>
        </w:rPr>
        <w:tab/>
        <w:t>Discussions on MAC open issues for SL positioning</w:t>
      </w:r>
    </w:p>
    <w:p w:rsidR="0098108A" w:rsidRDefault="006B1C62">
      <w:pPr>
        <w:pStyle w:val="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rsidR="0098108A" w:rsidRDefault="006B1C62">
      <w:pPr>
        <w:pStyle w:val="EditorsNote"/>
        <w:spacing w:after="120"/>
        <w:rPr>
          <w:rFonts w:eastAsia="DengXian"/>
          <w:lang w:eastAsia="zh-CN"/>
        </w:rPr>
      </w:pPr>
      <w:bookmarkStart w:id="7" w:name="_Hlk148713529"/>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 xml:space="preserve">Whether the above formula for determining the CG occasion for CG type 1 for SL-SCH can be </w:t>
      </w:r>
      <w:r>
        <w:rPr>
          <w:rFonts w:eastAsia="DengXian"/>
          <w:lang w:eastAsia="zh-CN"/>
        </w:rPr>
        <w:t>reused for SL-PRS</w:t>
      </w:r>
    </w:p>
    <w:bookmarkEnd w:id="7"/>
    <w:p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w:t>
      </w:r>
      <w:bookmarkStart w:id="8" w:name="_GoBack"/>
      <w:bookmarkEnd w:id="8"/>
      <w:r>
        <w:rPr>
          <w:b/>
        </w:rPr>
        <w:t>tions are fully determined</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the formula determining CG occas</w:t>
      </w:r>
      <w:r>
        <w:rPr>
          <w:b/>
          <w:i/>
          <w:lang w:val="en-GB"/>
        </w:rPr>
        <w:t>ions?</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spacing w:after="120"/>
      </w:pPr>
    </w:p>
    <w:p w:rsidR="0098108A" w:rsidRDefault="006B1C62">
      <w:pPr>
        <w:keepNext/>
        <w:keepLines/>
        <w:spacing w:before="120" w:after="120"/>
        <w:ind w:left="1418" w:hanging="1418"/>
        <w:outlineLvl w:val="3"/>
        <w:rPr>
          <w:rFonts w:ascii="Arial" w:hAnsi="Arial"/>
          <w:sz w:val="24"/>
        </w:rPr>
      </w:pPr>
      <w:bookmarkStart w:id="9" w:name="_Toc146701225"/>
      <w:bookmarkStart w:id="10" w:name="_Toc52796548"/>
      <w:bookmarkStart w:id="11" w:name="_Toc46490391"/>
      <w:bookmarkStart w:id="12" w:name="_Toc52752086"/>
      <w:bookmarkStart w:id="13" w:name="_Toc37296260"/>
      <w:bookmarkStart w:id="14" w:name="_Hlk146575656"/>
      <w:r>
        <w:rPr>
          <w:rFonts w:ascii="Arial" w:hAnsi="Arial"/>
          <w:sz w:val="24"/>
        </w:rPr>
        <w:t>5.22.1.5</w:t>
      </w:r>
      <w:r>
        <w:rPr>
          <w:rFonts w:ascii="Arial" w:hAnsi="Arial"/>
          <w:sz w:val="24"/>
        </w:rPr>
        <w:tab/>
        <w:t>Scheduling Request</w:t>
      </w:r>
      <w:bookmarkEnd w:id="9"/>
      <w:bookmarkEnd w:id="10"/>
      <w:bookmarkEnd w:id="11"/>
      <w:bookmarkEnd w:id="12"/>
      <w:bookmarkEnd w:id="13"/>
    </w:p>
    <w:p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 and PUCCH resource</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xml:space="preserve">: There can be zero or one SR configuration for SL-PRS resource </w:t>
      </w:r>
      <w:r>
        <w:rPr>
          <w:b/>
        </w:rPr>
        <w:t>request MAC CE</w:t>
      </w:r>
    </w:p>
    <w:p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SR configuration and PUCCH</w:t>
      </w:r>
      <w:r>
        <w:rPr>
          <w:b/>
          <w:i/>
          <w:lang w:val="en-GB"/>
        </w:rPr>
        <w:t xml:space="preserve"> resource?</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tabs>
          <w:tab w:val="left" w:pos="6564"/>
        </w:tabs>
        <w:spacing w:after="120"/>
        <w:rPr>
          <w:b/>
          <w:lang w:val="en-GB"/>
        </w:rPr>
      </w:pPr>
    </w:p>
    <w:p w:rsidR="0098108A" w:rsidRDefault="006B1C62">
      <w:pPr>
        <w:pStyle w:val="40"/>
      </w:pPr>
      <w:bookmarkStart w:id="15" w:name="_Toc37296249"/>
      <w:bookmarkStart w:id="16" w:name="_Toc131023474"/>
      <w:bookmarkStart w:id="17" w:name="_Toc52796535"/>
      <w:bookmarkStart w:id="18" w:name="_Toc12569232"/>
      <w:bookmarkStart w:id="19" w:name="_Toc52752073"/>
      <w:bookmarkStart w:id="20" w:name="_Toc46490378"/>
      <w:r>
        <w:t>5.22.1.1</w:t>
      </w:r>
      <w:r>
        <w:tab/>
        <w:t>SL Grant reception and SCI transmission</w:t>
      </w:r>
      <w:bookmarkEnd w:id="15"/>
      <w:bookmarkEnd w:id="16"/>
      <w:bookmarkEnd w:id="17"/>
      <w:bookmarkEnd w:id="18"/>
      <w:bookmarkEnd w:id="19"/>
      <w:bookmarkEnd w:id="20"/>
    </w:p>
    <w:p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FFS the details of number of SL-PRS retransmissions selection based on CBR and L1 priority, including the exact RRC fields, </w:t>
      </w:r>
      <w:proofErr w:type="spellStart"/>
      <w:r>
        <w:rPr>
          <w:rFonts w:eastAsia="DengXian"/>
          <w:lang w:eastAsia="zh-CN"/>
        </w:rPr>
        <w:t>etc</w:t>
      </w:r>
      <w:proofErr w:type="spellEnd"/>
    </w:p>
    <w:p w:rsidR="0098108A" w:rsidRDefault="006B1C62">
      <w:pPr>
        <w:tabs>
          <w:tab w:val="left" w:pos="6564"/>
        </w:tabs>
        <w:spacing w:after="120"/>
        <w:rPr>
          <w:b/>
        </w:rPr>
      </w:pPr>
      <w:proofErr w:type="spellStart"/>
      <w:r>
        <w:rPr>
          <w:b/>
          <w:i/>
          <w:highlight w:val="yellow"/>
          <w:u w:val="single"/>
        </w:rPr>
        <w:t>ProposedWF</w:t>
      </w:r>
      <w:proofErr w:type="spellEnd"/>
      <w:r>
        <w:rPr>
          <w:b/>
        </w:rPr>
        <w:t xml:space="preserve">: Come back to this issue when the signaling details, </w:t>
      </w:r>
      <w:proofErr w:type="spellStart"/>
      <w:r>
        <w:rPr>
          <w:b/>
        </w:rPr>
        <w:t>i.e</w:t>
      </w:r>
      <w:proofErr w:type="spellEnd"/>
      <w:r>
        <w:rPr>
          <w:b/>
        </w:rPr>
        <w:t>, the RRC configurations and L1 parameters are completed</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parameters selected during resource selection?</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spacing w:after="120"/>
        <w:rPr>
          <w:lang w:val="en-GB"/>
        </w:rPr>
      </w:pPr>
    </w:p>
    <w:p w:rsidR="0098108A" w:rsidRDefault="006B1C62">
      <w:pPr>
        <w:keepNext/>
        <w:keepLines/>
        <w:spacing w:before="120" w:after="120"/>
        <w:ind w:left="1985" w:hanging="1985"/>
        <w:outlineLvl w:val="5"/>
        <w:rPr>
          <w:rFonts w:ascii="Arial" w:eastAsia="Yu Mincho" w:hAnsi="Arial"/>
        </w:rPr>
      </w:pPr>
      <w:bookmarkStart w:id="21"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21"/>
    </w:p>
    <w:p w:rsidR="0098108A" w:rsidRDefault="006B1C62">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prioritization between PRS and data from SCCH, CSI reporting MAC CE, etc.</w:t>
      </w:r>
    </w:p>
    <w:p w:rsidR="0098108A" w:rsidRDefault="006B1C62">
      <w:pPr>
        <w:tabs>
          <w:tab w:val="left" w:pos="6564"/>
        </w:tabs>
        <w:spacing w:after="120"/>
        <w:rPr>
          <w:b/>
        </w:rPr>
      </w:pPr>
      <w:proofErr w:type="spellStart"/>
      <w:r>
        <w:rPr>
          <w:b/>
          <w:i/>
          <w:highlight w:val="yellow"/>
          <w:u w:val="single"/>
        </w:rPr>
        <w:t>ProposedWF</w:t>
      </w:r>
      <w:proofErr w:type="spellEnd"/>
      <w:r>
        <w:rPr>
          <w:b/>
        </w:rPr>
        <w:t xml:space="preserve">: SL-PRS’s priority is on the same level as data from SCCH and lower </w:t>
      </w:r>
      <w:r>
        <w:rPr>
          <w:b/>
        </w:rPr>
        <w:t>than SCI reporting MAC CE, Sidelink Inter-UE Coordination Request MAC CE and Sidelink Inter-UE Coordination Information MAC CE, Sidelink DRX Command MAC CE and data from SCCH.</w:t>
      </w:r>
    </w:p>
    <w:p w:rsidR="0098108A" w:rsidRDefault="006B1C62">
      <w:pPr>
        <w:tabs>
          <w:tab w:val="left" w:pos="6564"/>
        </w:tabs>
        <w:spacing w:after="120"/>
        <w:rPr>
          <w:b/>
          <w:i/>
          <w:lang w:val="en-GB"/>
        </w:rPr>
      </w:pPr>
      <w:proofErr w:type="spellStart"/>
      <w:r>
        <w:rPr>
          <w:b/>
          <w:i/>
          <w:lang w:val="en-GB"/>
        </w:rPr>
        <w:lastRenderedPageBreak/>
        <w:t>Quesiton</w:t>
      </w:r>
      <w:proofErr w:type="spellEnd"/>
      <w:r>
        <w:rPr>
          <w:b/>
          <w:i/>
          <w:lang w:val="en-GB"/>
        </w:rPr>
        <w:t>: Do companies agree with the proposed way-forward for the priority of S</w:t>
      </w:r>
      <w:r>
        <w:rPr>
          <w:b/>
          <w:i/>
          <w:lang w:val="en-GB"/>
        </w:rPr>
        <w:t xml:space="preserve">L-PRS with data from SCCH, CSI reporting MAC CE, </w:t>
      </w:r>
      <w:proofErr w:type="spellStart"/>
      <w:r>
        <w:rPr>
          <w:b/>
          <w:i/>
          <w:lang w:val="en-GB"/>
        </w:rPr>
        <w:t>etc</w:t>
      </w:r>
      <w:proofErr w:type="spellEnd"/>
      <w:r>
        <w:rPr>
          <w:b/>
          <w:i/>
          <w:lang w:val="en-GB"/>
        </w:rPr>
        <w:t>?</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No</w:t>
            </w:r>
          </w:p>
        </w:tc>
        <w:tc>
          <w:tcPr>
            <w:tcW w:w="5381" w:type="dxa"/>
          </w:tcPr>
          <w:p w:rsidR="0098108A" w:rsidRDefault="006B1C62">
            <w:pPr>
              <w:tabs>
                <w:tab w:val="left" w:pos="6564"/>
              </w:tabs>
              <w:spacing w:after="120"/>
              <w:rPr>
                <w:b/>
              </w:rPr>
            </w:pPr>
            <w:r>
              <w:rPr>
                <w:rFonts w:hint="eastAsia"/>
                <w:b/>
              </w:rPr>
              <w:t xml:space="preserve">should be </w:t>
            </w:r>
            <w:r>
              <w:rPr>
                <w:b/>
              </w:rPr>
              <w:t>‘</w:t>
            </w:r>
            <w:r>
              <w:rPr>
                <w:b/>
              </w:rPr>
              <w:t>SL-PRS’s priority is on the same level as data from S</w:t>
            </w:r>
            <w:del w:id="22" w:author="ZTE-Yu Pan" w:date="2023-10-25T16:06:00Z">
              <w:r>
                <w:rPr>
                  <w:b/>
                </w:rPr>
                <w:delText>C</w:delText>
              </w:r>
            </w:del>
            <w:ins w:id="23" w:author="ZTE-Yu Pan" w:date="2023-10-25T16:06:00Z">
              <w:r>
                <w:rPr>
                  <w:rFonts w:hint="eastAsia"/>
                  <w:b/>
                </w:rPr>
                <w:t>T</w:t>
              </w:r>
            </w:ins>
            <w:r>
              <w:rPr>
                <w:b/>
              </w:rPr>
              <w:t xml:space="preserve">CH and lower than SCI reporting MAC CE, Sidelink Inter-UE Coordination Request MAC CE and Sidelink </w:t>
            </w:r>
            <w:r>
              <w:rPr>
                <w:b/>
              </w:rPr>
              <w:t>Inter-UE Coordination Information MAC CE, Sidelink DRX Command MAC CE and data from SCCH.</w:t>
            </w:r>
            <w:r>
              <w:rPr>
                <w:b/>
              </w:rPr>
              <w:t>’</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pStyle w:val="B1"/>
              <w:spacing w:after="120"/>
              <w:ind w:left="440" w:hanging="440"/>
              <w:rPr>
                <w:lang w:eastAsia="ko-KR"/>
              </w:rPr>
            </w:pPr>
            <w:r>
              <w:rPr>
                <w:lang w:eastAsia="ko-KR"/>
              </w:rPr>
              <w:t>-</w:t>
            </w:r>
            <w:r>
              <w:rPr>
                <w:lang w:eastAsia="ko-KR"/>
              </w:rPr>
              <w:tab/>
              <w:t>data from SCCH;</w:t>
            </w:r>
          </w:p>
          <w:p w:rsidR="0098108A" w:rsidRDefault="006B1C62">
            <w:pPr>
              <w:pStyle w:val="B1"/>
              <w:spacing w:after="120"/>
              <w:ind w:left="440" w:hanging="440"/>
              <w:rPr>
                <w:lang w:eastAsia="ko-KR"/>
              </w:rPr>
            </w:pPr>
            <w:r>
              <w:rPr>
                <w:lang w:eastAsia="ko-KR"/>
              </w:rPr>
              <w:t>-</w:t>
            </w:r>
            <w:r>
              <w:rPr>
                <w:lang w:eastAsia="ko-KR"/>
              </w:rPr>
              <w:tab/>
              <w:t>Sidelink CSI Reporting MAC CE;</w:t>
            </w:r>
          </w:p>
          <w:p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rsidR="0098108A" w:rsidRDefault="006B1C62">
            <w:pPr>
              <w:pStyle w:val="B1"/>
              <w:spacing w:after="120"/>
              <w:ind w:left="440" w:hanging="440"/>
              <w:rPr>
                <w:lang w:eastAsia="ko-KR"/>
              </w:rPr>
            </w:pPr>
            <w:r>
              <w:rPr>
                <w:lang w:eastAsia="ko-KR"/>
              </w:rPr>
              <w:t>-</w:t>
            </w:r>
            <w:r>
              <w:rPr>
                <w:lang w:eastAsia="ko-KR"/>
              </w:rPr>
              <w:tab/>
              <w:t>Sidelink DRX Command MAC CE;</w:t>
            </w:r>
          </w:p>
          <w:p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Same view as ZTE</w:t>
            </w:r>
          </w:p>
        </w:tc>
      </w:tr>
    </w:tbl>
    <w:p w:rsidR="0098108A" w:rsidRDefault="0098108A">
      <w:pPr>
        <w:tabs>
          <w:tab w:val="left" w:pos="6564"/>
        </w:tabs>
        <w:spacing w:after="120"/>
        <w:rPr>
          <w:b/>
          <w:i/>
          <w:highlight w:val="green"/>
          <w:u w:val="single"/>
        </w:rPr>
      </w:pPr>
    </w:p>
    <w:p w:rsidR="0098108A" w:rsidRDefault="006B1C62">
      <w:pPr>
        <w:pStyle w:val="40"/>
        <w:rPr>
          <w:rFonts w:eastAsia="DengXian"/>
          <w:lang w:eastAsia="zh-CN"/>
        </w:rPr>
      </w:pPr>
      <w:r>
        <w:rPr>
          <w:rFonts w:eastAsia="DengXian" w:hint="eastAsia"/>
          <w:lang w:eastAsia="zh-CN"/>
        </w:rPr>
        <w:t>5</w:t>
      </w:r>
      <w:r>
        <w:rPr>
          <w:rFonts w:eastAsia="DengXian"/>
          <w:lang w:eastAsia="zh-CN"/>
        </w:rPr>
        <w:t>.22.1</w:t>
      </w:r>
      <w:proofErr w:type="gramStart"/>
      <w:r>
        <w:rPr>
          <w:rFonts w:eastAsia="DengXian"/>
          <w:lang w:eastAsia="zh-CN"/>
        </w:rPr>
        <w:t>.xx</w:t>
      </w:r>
      <w:proofErr w:type="gramEnd"/>
      <w:r>
        <w:rPr>
          <w:rFonts w:eastAsia="DengXian"/>
          <w:lang w:eastAsia="zh-CN"/>
        </w:rPr>
        <w:tab/>
        <w:t>SL-PRS transmission on SL-PRS dedicated resource pool</w:t>
      </w:r>
    </w:p>
    <w:p w:rsidR="0098108A" w:rsidRDefault="006B1C62">
      <w:pPr>
        <w:pStyle w:val="EditorsNote"/>
        <w:spacing w:after="120"/>
        <w:rPr>
          <w:rFonts w:eastAsia="DengXian"/>
          <w:lang w:eastAsia="zh-CN"/>
        </w:rPr>
      </w:pPr>
      <w:bookmarkStart w:id="24" w:name="_Hlk148879279"/>
      <w:r>
        <w:rPr>
          <w:rFonts w:eastAsia="DengXian" w:hint="eastAsia"/>
          <w:lang w:eastAsia="zh-CN"/>
        </w:rPr>
        <w:t>E</w:t>
      </w:r>
      <w:r>
        <w:rPr>
          <w:rFonts w:eastAsia="DengXian"/>
          <w:lang w:eastAsia="zh-CN"/>
        </w:rPr>
        <w:t>ditor's NOTE:</w:t>
      </w:r>
      <w:r>
        <w:rPr>
          <w:rFonts w:eastAsia="DengXian"/>
          <w:lang w:eastAsia="zh-CN"/>
        </w:rPr>
        <w:tab/>
        <w:t xml:space="preserve">FFS when source ID length configured as 12bit, whether it is the MSB or LSB of the source layer-2 ID of the </w:t>
      </w:r>
      <w:r>
        <w:rPr>
          <w:rFonts w:eastAsia="DengXian"/>
          <w:lang w:eastAsia="zh-CN"/>
        </w:rPr>
        <w:t>UE.</w:t>
      </w:r>
    </w:p>
    <w:bookmarkEnd w:id="24"/>
    <w:p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xml:space="preserve">: Do companies agree with the proposed way-forward for the source ID when it is configured to be </w:t>
      </w:r>
      <w:r>
        <w:rPr>
          <w:b/>
          <w:i/>
          <w:lang w:val="en-GB"/>
        </w:rPr>
        <w:t>12 bits?</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tabs>
                <w:tab w:val="left" w:pos="6564"/>
              </w:tabs>
              <w:spacing w:after="120"/>
              <w:rPr>
                <w:b/>
              </w:rPr>
            </w:pPr>
            <w:r>
              <w:rPr>
                <w:rFonts w:hint="eastAsia"/>
                <w:b/>
              </w:rPr>
              <w:t>In legacy procedure for SL data, LSB is used in SCI MSB is used in MAC. So this is ok</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Ok to follow legacy principle</w:t>
            </w:r>
          </w:p>
        </w:tc>
      </w:tr>
    </w:tbl>
    <w:p w:rsidR="0098108A" w:rsidRDefault="0098108A">
      <w:pPr>
        <w:tabs>
          <w:tab w:val="left" w:pos="6564"/>
        </w:tabs>
        <w:spacing w:after="120"/>
        <w:rPr>
          <w:b/>
          <w:i/>
          <w:highlight w:val="green"/>
          <w:u w:val="single"/>
        </w:rPr>
      </w:pPr>
    </w:p>
    <w:p w:rsidR="0098108A" w:rsidRDefault="0098108A">
      <w:pPr>
        <w:tabs>
          <w:tab w:val="left" w:pos="6564"/>
        </w:tabs>
        <w:spacing w:after="120"/>
        <w:rPr>
          <w:b/>
          <w:i/>
          <w:highlight w:val="green"/>
          <w:u w:val="single"/>
        </w:rPr>
      </w:pPr>
    </w:p>
    <w:p w:rsidR="0098108A" w:rsidRDefault="006B1C62">
      <w:pPr>
        <w:pStyle w:val="40"/>
        <w:rPr>
          <w:rFonts w:eastAsia="DengXian"/>
          <w:lang w:eastAsia="zh-CN"/>
        </w:rPr>
      </w:pPr>
      <w:r>
        <w:rPr>
          <w:rFonts w:eastAsia="DengXian" w:hint="eastAsia"/>
          <w:lang w:eastAsia="zh-CN"/>
        </w:rPr>
        <w:t>6</w:t>
      </w:r>
      <w:r>
        <w:rPr>
          <w:rFonts w:eastAsia="DengXian"/>
          <w:lang w:eastAsia="zh-CN"/>
        </w:rPr>
        <w:t>.1.3</w:t>
      </w:r>
      <w:proofErr w:type="gramStart"/>
      <w:r>
        <w:rPr>
          <w:rFonts w:eastAsia="DengXian"/>
          <w:lang w:eastAsia="zh-CN"/>
        </w:rPr>
        <w:t>.xx</w:t>
      </w:r>
      <w:proofErr w:type="gramEnd"/>
      <w:r>
        <w:rPr>
          <w:rFonts w:eastAsia="DengXian"/>
          <w:lang w:eastAsia="zh-CN"/>
        </w:rPr>
        <w:tab/>
        <w:t>SL-PRS resource request MAC CE</w:t>
      </w:r>
    </w:p>
    <w:p w:rsidR="0098108A" w:rsidRDefault="006B1C62">
      <w:pPr>
        <w:pStyle w:val="EditorsNote"/>
        <w:spacing w:after="120"/>
        <w:rPr>
          <w:rFonts w:eastAsia="DengXian"/>
          <w:lang w:eastAsia="zh-CN"/>
        </w:rPr>
      </w:pPr>
      <w:r>
        <w:rPr>
          <w:rFonts w:eastAsia="DengXian"/>
          <w:lang w:eastAsia="zh-CN"/>
        </w:rPr>
        <w:t>Editor's NOTE:</w:t>
      </w:r>
      <w:r>
        <w:rPr>
          <w:rFonts w:eastAsia="DengXian"/>
          <w:lang w:eastAsia="zh-CN"/>
        </w:rPr>
        <w:tab/>
        <w:t>FFS LCID/</w:t>
      </w:r>
      <w:proofErr w:type="spellStart"/>
      <w:r>
        <w:rPr>
          <w:rFonts w:eastAsia="DengXian"/>
          <w:lang w:eastAsia="zh-CN"/>
        </w:rPr>
        <w:t>eLCID</w:t>
      </w:r>
      <w:proofErr w:type="spellEnd"/>
      <w:r>
        <w:rPr>
          <w:rFonts w:eastAsia="DengXian"/>
          <w:lang w:eastAsia="zh-CN"/>
        </w:rPr>
        <w:t xml:space="preserve"> is used for the MAC CE and the number of</w:t>
      </w:r>
      <w:r>
        <w:rPr>
          <w:rFonts w:eastAsia="DengXian"/>
          <w:lang w:eastAsia="zh-CN"/>
        </w:rPr>
        <w:t xml:space="preserve"> bits for destination ID and priority</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rsidR="0098108A" w:rsidRDefault="006B1C62">
      <w:pPr>
        <w:tabs>
          <w:tab w:val="left" w:pos="6564"/>
        </w:tabs>
        <w:spacing w:after="120"/>
      </w:pPr>
      <w:proofErr w:type="spellStart"/>
      <w:r>
        <w:rPr>
          <w:rFonts w:hint="eastAsia"/>
          <w:b/>
          <w:i/>
          <w:highlight w:val="yellow"/>
          <w:u w:val="single"/>
        </w:rPr>
        <w:lastRenderedPageBreak/>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rsidR="0098108A" w:rsidRDefault="006B1C62">
      <w:pPr>
        <w:tabs>
          <w:tab w:val="left" w:pos="6564"/>
        </w:tabs>
        <w:spacing w:after="120"/>
        <w:rPr>
          <w:b/>
          <w:i/>
          <w:lang w:val="en-GB"/>
        </w:rPr>
      </w:pPr>
      <w:r>
        <w:rPr>
          <w:b/>
          <w:i/>
          <w:lang w:val="en-GB"/>
        </w:rPr>
        <w:t>Question: Do companies a</w:t>
      </w:r>
      <w:r>
        <w:rPr>
          <w:b/>
          <w:i/>
          <w:lang w:val="en-GB"/>
        </w:rPr>
        <w:t>gree with the proposed way-forward for the fields in the MAC CE?</w:t>
      </w:r>
    </w:p>
    <w:tbl>
      <w:tblPr>
        <w:tblStyle w:val="af1"/>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p>
    <w:p w:rsidR="0098108A" w:rsidRDefault="006B1C62">
      <w:pPr>
        <w:spacing w:after="120"/>
        <w:rPr>
          <w:lang w:val="en-GB"/>
        </w:rPr>
      </w:pPr>
      <w:r>
        <w:rPr>
          <w:lang w:val="en-GB"/>
        </w:rPr>
        <w:t>In addition to above, the rapporteur would like to understand whether there are other open issues by the following question:</w:t>
      </w:r>
    </w:p>
    <w:p w:rsidR="0098108A" w:rsidRDefault="006B1C62">
      <w:pPr>
        <w:tabs>
          <w:tab w:val="left" w:pos="6564"/>
        </w:tabs>
        <w:spacing w:after="120"/>
        <w:rPr>
          <w:b/>
          <w:i/>
          <w:lang w:val="en-GB"/>
        </w:rPr>
      </w:pPr>
      <w:r>
        <w:rPr>
          <w:b/>
          <w:i/>
          <w:lang w:val="en-GB"/>
        </w:rPr>
        <w:t xml:space="preserve">Question: Do </w:t>
      </w:r>
      <w:r>
        <w:rPr>
          <w:b/>
          <w:i/>
          <w:lang w:val="en-GB"/>
        </w:rPr>
        <w:t>companies think there are other non-functional open issues for MAC spec for SL positioning?</w:t>
      </w:r>
    </w:p>
    <w:tbl>
      <w:tblPr>
        <w:tblStyle w:val="af1"/>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p>
    <w:p w:rsidR="0098108A" w:rsidRDefault="006B1C62">
      <w:pPr>
        <w:pStyle w:val="1"/>
        <w:rPr>
          <w:lang w:eastAsia="zh-CN"/>
        </w:rPr>
      </w:pPr>
      <w:r>
        <w:rPr>
          <w:rFonts w:hint="eastAsia"/>
          <w:lang w:eastAsia="zh-CN"/>
        </w:rPr>
        <w:t>3</w:t>
      </w:r>
      <w:r>
        <w:rPr>
          <w:lang w:eastAsia="zh-CN"/>
        </w:rPr>
        <w:tab/>
        <w:t>Discussion on MAC open issues for LPHAP</w:t>
      </w:r>
    </w:p>
    <w:p w:rsidR="0098108A" w:rsidRDefault="006B1C62">
      <w:pPr>
        <w:spacing w:after="120"/>
        <w:rPr>
          <w:lang w:val="en-GB"/>
        </w:rPr>
      </w:pPr>
      <w:r>
        <w:rPr>
          <w:lang w:val="en-GB"/>
        </w:rPr>
        <w:t>There are no non-functional open issues in LPHAP for MAC spec from the rapporteur’s point of view.</w:t>
      </w:r>
      <w:r>
        <w:rPr>
          <w:lang w:val="en-GB"/>
        </w:rPr>
        <w:t xml:space="preserve">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af1"/>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5B5DE2">
        <w:tc>
          <w:tcPr>
            <w:tcW w:w="2122" w:type="dxa"/>
          </w:tcPr>
          <w:p w:rsidR="005B5DE2" w:rsidRPr="008A109B" w:rsidRDefault="005B5DE2" w:rsidP="005B5DE2">
            <w:pPr>
              <w:tabs>
                <w:tab w:val="left" w:pos="6564"/>
              </w:tabs>
              <w:spacing w:after="120"/>
              <w:rPr>
                <w:rFonts w:eastAsia="맑은 고딕"/>
                <w:b/>
                <w:lang w:val="en-GB" w:eastAsia="ko-KR"/>
              </w:rPr>
            </w:pPr>
            <w:r>
              <w:rPr>
                <w:rFonts w:eastAsia="맑은 고딕" w:hint="eastAsia"/>
                <w:b/>
                <w:lang w:val="en-GB" w:eastAsia="ko-KR"/>
              </w:rPr>
              <w:t>Samsung</w:t>
            </w:r>
          </w:p>
        </w:tc>
        <w:tc>
          <w:tcPr>
            <w:tcW w:w="7371" w:type="dxa"/>
          </w:tcPr>
          <w:p w:rsidR="005B5DE2" w:rsidRDefault="005B5DE2" w:rsidP="005B5DE2">
            <w:pPr>
              <w:tabs>
                <w:tab w:val="left" w:pos="6564"/>
              </w:tabs>
              <w:spacing w:after="120"/>
              <w:rPr>
                <w:rFonts w:eastAsia="맑은 고딕"/>
                <w:lang w:val="en-GB" w:eastAsia="ko-KR"/>
              </w:rPr>
            </w:pPr>
            <w:r>
              <w:rPr>
                <w:rFonts w:eastAsia="맑은 고딕"/>
                <w:lang w:val="en-GB" w:eastAsia="ko-KR"/>
              </w:rPr>
              <w:t>Regarding</w:t>
            </w:r>
            <w:r w:rsidRPr="008A109B">
              <w:rPr>
                <w:rFonts w:eastAsia="맑은 고딕" w:hint="eastAsia"/>
                <w:lang w:val="en-GB" w:eastAsia="ko-KR"/>
              </w:rPr>
              <w:t xml:space="preserve"> the</w:t>
            </w:r>
            <w:r>
              <w:rPr>
                <w:rFonts w:eastAsia="맑은 고딕"/>
                <w:lang w:val="en-GB" w:eastAsia="ko-KR"/>
              </w:rPr>
              <w:t xml:space="preserve"> following</w:t>
            </w:r>
            <w:r w:rsidRPr="008A109B">
              <w:rPr>
                <w:rFonts w:eastAsia="맑은 고딕" w:hint="eastAsia"/>
                <w:lang w:val="en-GB" w:eastAsia="ko-KR"/>
              </w:rPr>
              <w:t xml:space="preserve"> </w:t>
            </w:r>
            <w:r>
              <w:rPr>
                <w:rFonts w:eastAsia="맑은 고딕"/>
                <w:lang w:val="en-GB" w:eastAsia="ko-KR"/>
              </w:rPr>
              <w:t xml:space="preserve">change for UE autonomous TA update </w:t>
            </w:r>
            <w:r w:rsidRPr="008A109B">
              <w:rPr>
                <w:rFonts w:eastAsia="맑은 고딕"/>
                <w:lang w:val="en-GB" w:eastAsia="ko-KR"/>
              </w:rPr>
              <w:t>in</w:t>
            </w:r>
            <w:r>
              <w:rPr>
                <w:rFonts w:eastAsia="맑은 고딕"/>
                <w:lang w:val="en-GB" w:eastAsia="ko-KR"/>
              </w:rPr>
              <w:t xml:space="preserve"> the running CR</w:t>
            </w:r>
          </w:p>
          <w:tbl>
            <w:tblPr>
              <w:tblStyle w:val="af1"/>
              <w:tblW w:w="0" w:type="auto"/>
              <w:tblLook w:val="04A0" w:firstRow="1" w:lastRow="0" w:firstColumn="1" w:lastColumn="0" w:noHBand="0" w:noVBand="1"/>
            </w:tblPr>
            <w:tblGrid>
              <w:gridCol w:w="7145"/>
            </w:tblGrid>
            <w:tr w:rsidR="005B5DE2" w:rsidTr="00D0376D">
              <w:tc>
                <w:tcPr>
                  <w:tcW w:w="7145" w:type="dxa"/>
                </w:tcPr>
                <w:p w:rsidR="005B5DE2" w:rsidRDefault="005B5DE2" w:rsidP="005B5DE2">
                  <w:pPr>
                    <w:pStyle w:val="B2"/>
                    <w:spacing w:after="120"/>
                    <w:ind w:left="440" w:hanging="440"/>
                    <w:rPr>
                      <w:rFonts w:eastAsia="DengXian"/>
                    </w:rPr>
                  </w:pPr>
                  <w:r>
                    <w:rPr>
                      <w:rFonts w:eastAsia="DengXian" w:hint="eastAsia"/>
                    </w:rPr>
                    <w:t>2</w:t>
                  </w:r>
                  <w:r>
                    <w:rPr>
                      <w:rFonts w:eastAsia="DengXian"/>
                    </w:rPr>
                    <w:t>&gt;</w:t>
                  </w:r>
                  <w:r>
                    <w:rPr>
                      <w:rFonts w:eastAsia="DengXian"/>
                    </w:rPr>
                    <w:tab/>
                    <w:t xml:space="preserve">if the </w:t>
                  </w:r>
                  <w:r>
                    <w:rPr>
                      <w:rFonts w:eastAsia="DengXian" w:hint="eastAsia"/>
                    </w:rPr>
                    <w:t>UE</w:t>
                  </w:r>
                  <w:r>
                    <w:rPr>
                      <w:rFonts w:eastAsia="DengXian"/>
                    </w:rPr>
                    <w:t xml:space="preserve"> is configured with SRS with validity area and </w:t>
                  </w:r>
                  <w:r w:rsidRPr="008A109B">
                    <w:rPr>
                      <w:rFonts w:eastAsia="DengXian"/>
                      <w:color w:val="FF0000"/>
                    </w:rPr>
                    <w:t>the upper layer indicates the MAC to update the stored RSRP</w:t>
                  </w:r>
                  <w:r>
                    <w:rPr>
                      <w:rFonts w:eastAsia="DengXian"/>
                    </w:rPr>
                    <w:t>:</w:t>
                  </w:r>
                </w:p>
                <w:p w:rsidR="005B5DE2" w:rsidRDefault="005B5DE2" w:rsidP="005B5DE2">
                  <w:pPr>
                    <w:pStyle w:val="B3"/>
                    <w:spacing w:after="120"/>
                    <w:ind w:leftChars="200" w:left="420" w:firstLineChars="0" w:firstLine="0"/>
                    <w:rPr>
                      <w:rFonts w:eastAsia="맑은 고딕"/>
                      <w:lang w:val="en-GB" w:eastAsia="ko-KR"/>
                    </w:rPr>
                  </w:pPr>
                  <w:r>
                    <w:rPr>
                      <w:rFonts w:eastAsia="DengXian"/>
                    </w:rPr>
                    <w:t>3&gt;</w:t>
                  </w:r>
                  <w:r>
                    <w:rPr>
                      <w:rFonts w:eastAsia="DengXian"/>
                    </w:rPr>
                    <w:tab/>
                    <w:t>store the RSRP of the downlink pathloss reference with the current RSRP value of the downlink pathloss reference of the camped cell as in TS 38.331</w:t>
                  </w:r>
                </w:p>
              </w:tc>
            </w:tr>
          </w:tbl>
          <w:p w:rsidR="005B5DE2" w:rsidRPr="00C550FA" w:rsidRDefault="005B5DE2" w:rsidP="005B5DE2">
            <w:pPr>
              <w:tabs>
                <w:tab w:val="left" w:pos="6564"/>
              </w:tabs>
              <w:spacing w:after="120"/>
              <w:rPr>
                <w:rFonts w:eastAsia="맑은 고딕"/>
                <w:lang w:eastAsia="ko-KR"/>
              </w:rPr>
            </w:pPr>
            <w:r>
              <w:rPr>
                <w:rFonts w:eastAsia="맑은 고딕" w:hint="eastAsia"/>
                <w:lang w:eastAsia="ko-KR"/>
              </w:rPr>
              <w:t xml:space="preserve">From our </w:t>
            </w:r>
            <w:r>
              <w:rPr>
                <w:rFonts w:eastAsia="맑은 고딕"/>
                <w:lang w:eastAsia="ko-KR"/>
              </w:rPr>
              <w:t>understanding</w:t>
            </w:r>
            <w:r>
              <w:rPr>
                <w:rFonts w:eastAsia="맑은 고딕" w:hint="eastAsia"/>
                <w:lang w:eastAsia="ko-KR"/>
              </w:rPr>
              <w:t>,</w:t>
            </w:r>
            <w:r>
              <w:rPr>
                <w:rFonts w:eastAsia="맑은 고딕"/>
                <w:lang w:eastAsia="ko-KR"/>
              </w:rPr>
              <w:t xml:space="preserve"> </w:t>
            </w:r>
            <w:r>
              <w:rPr>
                <w:rFonts w:eastAsia="DengXian"/>
              </w:rPr>
              <w:t xml:space="preserve">the current MAC/RRC running CR seem to implement only the </w:t>
            </w:r>
            <w:r w:rsidRPr="00C550FA">
              <w:rPr>
                <w:rFonts w:eastAsia="DengXian"/>
                <w:highlight w:val="cyan"/>
              </w:rPr>
              <w:t>blue part</w:t>
            </w:r>
            <w:r>
              <w:rPr>
                <w:rFonts w:eastAsia="DengXian"/>
              </w:rPr>
              <w:t xml:space="preserve"> of the following RAN1 agreement and not to capture the </w:t>
            </w:r>
            <w:r w:rsidRPr="00C550FA">
              <w:rPr>
                <w:rFonts w:eastAsia="DengXian"/>
                <w:highlight w:val="yellow"/>
              </w:rPr>
              <w:t>yellow part</w:t>
            </w:r>
            <w:r>
              <w:rPr>
                <w:rFonts w:eastAsia="DengXian"/>
              </w:rPr>
              <w:t>.</w:t>
            </w:r>
          </w:p>
          <w:tbl>
            <w:tblPr>
              <w:tblStyle w:val="af1"/>
              <w:tblW w:w="0" w:type="auto"/>
              <w:tblLook w:val="04A0" w:firstRow="1" w:lastRow="0" w:firstColumn="1" w:lastColumn="0" w:noHBand="0" w:noVBand="1"/>
            </w:tblPr>
            <w:tblGrid>
              <w:gridCol w:w="7145"/>
            </w:tblGrid>
            <w:tr w:rsidR="005B5DE2" w:rsidTr="00D0376D">
              <w:tc>
                <w:tcPr>
                  <w:tcW w:w="7145" w:type="dxa"/>
                </w:tcPr>
                <w:p w:rsidR="005B5DE2" w:rsidRPr="00B867A7" w:rsidRDefault="005B5DE2" w:rsidP="005B5DE2">
                  <w:pPr>
                    <w:spacing w:after="120"/>
                    <w:rPr>
                      <w:lang w:eastAsia="x-none"/>
                    </w:rPr>
                  </w:pPr>
                  <w:r w:rsidRPr="00B867A7">
                    <w:rPr>
                      <w:highlight w:val="green"/>
                      <w:lang w:eastAsia="x-none"/>
                    </w:rPr>
                    <w:t>Agreement</w:t>
                  </w:r>
                </w:p>
                <w:p w:rsidR="005B5DE2" w:rsidRPr="00B867A7" w:rsidRDefault="005B5DE2" w:rsidP="005B5DE2">
                  <w:pPr>
                    <w:spacing w:after="120"/>
                  </w:pPr>
                  <w:r w:rsidRPr="00B867A7">
                    <w:t>With regards to the reference RS for the RSRP change for TA validation:</w:t>
                  </w:r>
                </w:p>
                <w:p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rsidR="005B5DE2" w:rsidRPr="00C550FA" w:rsidRDefault="005B5DE2" w:rsidP="005B5DE2">
                  <w:pPr>
                    <w:widowControl/>
                    <w:numPr>
                      <w:ilvl w:val="1"/>
                      <w:numId w:val="13"/>
                    </w:numPr>
                    <w:spacing w:afterLines="0" w:after="120" w:line="240" w:lineRule="auto"/>
                    <w:jc w:val="left"/>
                  </w:pPr>
                  <w:proofErr w:type="gramStart"/>
                  <w:r w:rsidRPr="00B867A7">
                    <w:t>otherwise</w:t>
                  </w:r>
                  <w:proofErr w:type="gramEnd"/>
                  <w:r w:rsidRPr="00B867A7">
                    <w:t xml:space="preserve"> when UE determines to </w:t>
                  </w:r>
                  <w:r w:rsidRPr="00C550FA">
                    <w:rPr>
                      <w:highlight w:val="yellow"/>
                    </w:rPr>
                    <w:t>autonomously adjust TA</w:t>
                  </w:r>
                  <w:r w:rsidRPr="00B867A7">
                    <w:t xml:space="preserve"> when enabled by the network and when cell re-selection occurs, if confirmed </w:t>
                  </w:r>
                  <w:r w:rsidRPr="00B867A7">
                    <w:lastRenderedPageBreak/>
                    <w:t xml:space="preserve">by RAN4, </w:t>
                  </w:r>
                  <w:r w:rsidRPr="00C550FA">
                    <w:rPr>
                      <w:highlight w:val="cyan"/>
                    </w:rPr>
                    <w:t>the stored RSRP of the downlink pathloss reference is updated</w:t>
                  </w:r>
                  <w:r w:rsidRPr="00B867A7">
                    <w:t xml:space="preserve"> with a new value derived from SSBs of the current camping cell.</w:t>
                  </w:r>
                </w:p>
              </w:tc>
            </w:tr>
          </w:tbl>
          <w:p w:rsidR="005B5DE2" w:rsidRDefault="005B5DE2" w:rsidP="005B5DE2">
            <w:pPr>
              <w:tabs>
                <w:tab w:val="left" w:pos="6564"/>
              </w:tabs>
              <w:spacing w:after="120"/>
              <w:rPr>
                <w:rFonts w:eastAsia="맑은 고딕"/>
                <w:lang w:val="en-GB" w:eastAsia="ko-KR"/>
              </w:rPr>
            </w:pPr>
            <w:r>
              <w:rPr>
                <w:rFonts w:eastAsia="맑은 고딕" w:hint="eastAsia"/>
                <w:lang w:val="en-GB" w:eastAsia="ko-KR"/>
              </w:rPr>
              <w:lastRenderedPageBreak/>
              <w:t>We understand that the autonomous TA adjustment is performed by PHY layer</w:t>
            </w:r>
            <w:r>
              <w:rPr>
                <w:rFonts w:eastAsia="맑은 고딕"/>
                <w:lang w:val="en-GB" w:eastAsia="ko-KR"/>
              </w:rPr>
              <w:t xml:space="preserve"> anyway</w:t>
            </w:r>
            <w:r>
              <w:rPr>
                <w:rFonts w:eastAsia="맑은 고딕" w:hint="eastAsia"/>
                <w:lang w:val="en-GB" w:eastAsia="ko-KR"/>
              </w:rPr>
              <w:t xml:space="preserve"> and</w:t>
            </w:r>
            <w:r>
              <w:rPr>
                <w:rFonts w:eastAsia="맑은 고딕"/>
                <w:lang w:val="en-GB" w:eastAsia="ko-KR"/>
              </w:rPr>
              <w:t xml:space="preserve"> </w:t>
            </w:r>
            <w:r>
              <w:rPr>
                <w:rFonts w:eastAsia="맑은 고딕" w:hint="eastAsia"/>
                <w:lang w:val="en-GB" w:eastAsia="ko-KR"/>
              </w:rPr>
              <w:t xml:space="preserve">how to perform it is out of </w:t>
            </w:r>
            <w:r>
              <w:rPr>
                <w:rFonts w:eastAsia="맑은 고딕"/>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rsidR="005B5DE2" w:rsidRDefault="005B5DE2" w:rsidP="005B5DE2">
            <w:pPr>
              <w:tabs>
                <w:tab w:val="left" w:pos="6564"/>
              </w:tabs>
              <w:spacing w:after="120"/>
              <w:rPr>
                <w:rFonts w:eastAsia="DengXian"/>
              </w:rPr>
            </w:pPr>
            <w:r>
              <w:rPr>
                <w:rFonts w:eastAsia="맑은 고딕"/>
                <w:lang w:val="en-GB" w:eastAsia="ko-KR"/>
              </w:rPr>
              <w:t xml:space="preserve">Also, we are not sure whether RRC layer is the right place to trigger the autonomous TA update since RRC layer </w:t>
            </w:r>
            <w:proofErr w:type="spellStart"/>
            <w:r>
              <w:rPr>
                <w:rFonts w:eastAsia="맑은 고딕"/>
                <w:lang w:val="en-GB" w:eastAsia="ko-KR"/>
              </w:rPr>
              <w:t>can not</w:t>
            </w:r>
            <w:proofErr w:type="spellEnd"/>
            <w:r>
              <w:rPr>
                <w:rFonts w:eastAsia="맑은 고딕"/>
                <w:lang w:val="en-GB" w:eastAsia="ko-KR"/>
              </w:rPr>
              <w:t xml:space="preserve"> know if there is ongoing SRS transmission (i.e., </w:t>
            </w:r>
            <w:proofErr w:type="spellStart"/>
            <w:r>
              <w:rPr>
                <w:rFonts w:eastAsia="DengXian"/>
                <w:i/>
              </w:rPr>
              <w:t>srs-ValidityAreaTimeAlignmentTimer</w:t>
            </w:r>
            <w:proofErr w:type="spellEnd"/>
            <w:r>
              <w:rPr>
                <w:rFonts w:eastAsia="DengXian"/>
                <w:i/>
              </w:rPr>
              <w:t xml:space="preserve"> </w:t>
            </w:r>
            <w:r w:rsidRPr="00C550FA">
              <w:rPr>
                <w:rFonts w:eastAsia="DengXian"/>
              </w:rPr>
              <w:t>is running)</w:t>
            </w:r>
            <w:r>
              <w:rPr>
                <w:rFonts w:eastAsia="DengXian"/>
              </w:rPr>
              <w:t xml:space="preserve"> or not</w:t>
            </w:r>
            <w:r w:rsidRPr="00C550FA">
              <w:rPr>
                <w:rFonts w:eastAsia="DengXian"/>
              </w:rPr>
              <w:t>.</w:t>
            </w:r>
            <w:r>
              <w:rPr>
                <w:rFonts w:eastAsia="DengXian"/>
              </w:rPr>
              <w:t xml:space="preserve"> </w:t>
            </w:r>
          </w:p>
          <w:p w:rsidR="005B5DE2" w:rsidRPr="00C550FA" w:rsidRDefault="005B5DE2" w:rsidP="005B5DE2">
            <w:pPr>
              <w:tabs>
                <w:tab w:val="left" w:pos="6564"/>
              </w:tabs>
              <w:spacing w:after="120"/>
              <w:rPr>
                <w:rFonts w:eastAsia="DengXian"/>
              </w:rPr>
            </w:pPr>
            <w:r>
              <w:rPr>
                <w:rFonts w:eastAsia="DengXian"/>
              </w:rPr>
              <w:br/>
              <w:t>From our perspective, the overall procedure between layers to support the autonomous TA update procedure can be summarized as below.</w:t>
            </w:r>
            <w:r>
              <w:rPr>
                <w:rFonts w:eastAsia="DengXian"/>
              </w:rPr>
              <w:br/>
              <w:t>1. Upon cell reselection within the validity area, RRC can check whether the autonomous TA update is enabled by NW. If it is enabled, RRC can indicate the event to MAC.</w:t>
            </w:r>
            <w:r>
              <w:rPr>
                <w:rFonts w:eastAsia="DengXian"/>
              </w:rPr>
              <w:br/>
              <w:t xml:space="preserve">2. When the cell reselection event is indicated by RRC, MAC can actually trigger the TA update procedure after further check whether there is ongoing SRS transmission or not. If the TA update procedure is triggered, MAC can indicate PHY to perform the TA update and update the stored RSRP. </w:t>
            </w:r>
          </w:p>
        </w:tc>
      </w:tr>
    </w:tbl>
    <w:p w:rsidR="0098108A" w:rsidRDefault="0098108A">
      <w:pPr>
        <w:spacing w:after="120"/>
        <w:rPr>
          <w:lang w:val="en-GB"/>
        </w:rPr>
      </w:pPr>
    </w:p>
    <w:p w:rsidR="0098108A" w:rsidRDefault="006B1C62">
      <w:pPr>
        <w:pStyle w:val="1"/>
        <w:rPr>
          <w:lang w:eastAsia="zh-CN"/>
        </w:rPr>
      </w:pPr>
      <w:r>
        <w:rPr>
          <w:lang w:eastAsia="zh-CN"/>
        </w:rPr>
        <w:t>4</w:t>
      </w:r>
      <w:r>
        <w:rPr>
          <w:lang w:eastAsia="zh-CN"/>
        </w:rPr>
        <w:tab/>
        <w:t>Discussion on MAC open issues for REDCAP positioning</w:t>
      </w:r>
    </w:p>
    <w:p w:rsidR="0098108A" w:rsidRDefault="006B1C62">
      <w:pPr>
        <w:spacing w:after="120"/>
        <w:rPr>
          <w:lang w:val="en-GB"/>
        </w:rPr>
      </w:pPr>
      <w:r>
        <w:rPr>
          <w:lang w:val="en-GB"/>
        </w:rPr>
        <w:t xml:space="preserve">There are no </w:t>
      </w:r>
      <w:r>
        <w:rPr>
          <w:lang w:val="en-GB"/>
        </w:rPr>
        <w:t>non-functional open issues in REDCAP positioning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REDC</w:t>
      </w:r>
      <w:r>
        <w:rPr>
          <w:b/>
          <w:i/>
          <w:lang w:val="en-GB"/>
        </w:rPr>
        <w:t>AP positioning?</w:t>
      </w:r>
    </w:p>
    <w:tbl>
      <w:tblPr>
        <w:tblStyle w:val="af1"/>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6B1C62">
      <w:pPr>
        <w:pStyle w:val="1"/>
        <w:rPr>
          <w:lang w:eastAsia="zh-CN"/>
        </w:rPr>
      </w:pPr>
      <w:r>
        <w:rPr>
          <w:rFonts w:hint="eastAsia"/>
          <w:lang w:eastAsia="zh-CN"/>
        </w:rPr>
        <w:t>3</w:t>
      </w:r>
      <w:r>
        <w:rPr>
          <w:lang w:eastAsia="zh-CN"/>
        </w:rPr>
        <w:tab/>
        <w:t>Discussion on MAC open issues for CA positioning</w:t>
      </w:r>
    </w:p>
    <w:p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w:t>
      </w:r>
      <w:r>
        <w:rPr>
          <w:lang w:val="en-GB"/>
        </w:rPr>
        <w:t>stion:</w:t>
      </w:r>
    </w:p>
    <w:p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af1"/>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98108A">
      <w:pPr>
        <w:spacing w:after="120"/>
        <w:rPr>
          <w:lang w:val="en-GB"/>
        </w:rPr>
      </w:pPr>
    </w:p>
    <w:bookmarkEnd w:id="14"/>
    <w:p w:rsidR="0098108A" w:rsidRDefault="006B1C62">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98108A" w:rsidRDefault="006B1C62">
      <w:pPr>
        <w:spacing w:after="120"/>
        <w:rPr>
          <w:i/>
          <w:u w:val="single"/>
          <w:lang w:val="en-GB"/>
        </w:rPr>
      </w:pPr>
      <w:r>
        <w:rPr>
          <w:i/>
          <w:u w:val="single"/>
          <w:lang w:val="en-GB"/>
        </w:rPr>
        <w:t>TBD</w:t>
      </w:r>
    </w:p>
    <w:p w:rsidR="0098108A" w:rsidRDefault="006B1C62">
      <w:pPr>
        <w:tabs>
          <w:tab w:val="left" w:pos="6564"/>
        </w:tabs>
        <w:spacing w:after="120"/>
        <w:rPr>
          <w:lang w:val="en-GB"/>
        </w:rPr>
      </w:pPr>
      <w:r>
        <w:rPr>
          <w:rFonts w:hint="eastAsia"/>
          <w:b/>
          <w:i/>
          <w:u w:val="single"/>
        </w:rPr>
        <w:t>P</w:t>
      </w:r>
      <w:r>
        <w:rPr>
          <w:b/>
          <w:i/>
          <w:u w:val="single"/>
        </w:rPr>
        <w:t>roposal1a</w:t>
      </w:r>
      <w:r>
        <w:rPr>
          <w:b/>
        </w:rPr>
        <w:t xml:space="preserve">: </w:t>
      </w:r>
      <w:bookmarkStart w:id="25" w:name="_Hlk147919158"/>
    </w:p>
    <w:bookmarkEnd w:id="25"/>
    <w:p w:rsidR="0098108A" w:rsidRDefault="0098108A">
      <w:pPr>
        <w:spacing w:after="120"/>
      </w:pPr>
    </w:p>
    <w:sectPr w:rsidR="0098108A">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62" w:rsidRDefault="006B1C62">
      <w:pPr>
        <w:spacing w:after="120" w:line="240" w:lineRule="auto"/>
      </w:pPr>
      <w:r>
        <w:separator/>
      </w:r>
    </w:p>
  </w:endnote>
  <w:endnote w:type="continuationSeparator" w:id="0">
    <w:p w:rsidR="006B1C62" w:rsidRDefault="006B1C62">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맑은 고딕 Semilight"/>
    <w:panose1 w:val="020B0604020202020204"/>
    <w:charset w:val="86"/>
    <w:family w:val="swiss"/>
    <w:pitch w:val="default"/>
    <w:sig w:usb0="00000000" w:usb1="00000000" w:usb2="0000003F" w:usb3="00000000" w:csb0="603F01FF" w:csb1="FFFF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98108A">
    <w:pPr>
      <w:pStyle w:val="ab"/>
      <w:spacing w:after="120"/>
    </w:pPr>
  </w:p>
  <w:p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6B1C62">
    <w:pPr>
      <w:pStyle w:val="ab"/>
      <w:spacing w:after="120"/>
      <w:jc w:val="right"/>
    </w:pPr>
    <w:r>
      <w:fldChar w:fldCharType="begin"/>
    </w:r>
    <w:r>
      <w:instrText xml:space="preserve"> PAGE   \* MERGEFORMAT </w:instrText>
    </w:r>
    <w:r>
      <w:fldChar w:fldCharType="separate"/>
    </w:r>
    <w:r w:rsidR="005B5DE2">
      <w:rPr>
        <w:noProof/>
      </w:rPr>
      <w:t>2</w:t>
    </w:r>
    <w:r>
      <w:fldChar w:fldCharType="end"/>
    </w:r>
  </w:p>
  <w:p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98108A">
    <w:pPr>
      <w:pStyle w:val="ab"/>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62" w:rsidRDefault="006B1C62">
      <w:pPr>
        <w:spacing w:after="120"/>
      </w:pPr>
      <w:r>
        <w:separator/>
      </w:r>
    </w:p>
  </w:footnote>
  <w:footnote w:type="continuationSeparator" w:id="0">
    <w:p w:rsidR="006B1C62" w:rsidRDefault="006B1C62">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98108A">
    <w:pPr>
      <w:spacing w:after="120"/>
    </w:pPr>
  </w:p>
  <w:p w:rsidR="0098108A" w:rsidRDefault="0098108A">
    <w:pPr>
      <w:spacing w:after="120"/>
    </w:pPr>
  </w:p>
  <w:p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98108A">
    <w:pPr>
      <w:pStyle w:val="ac"/>
      <w:spacing w:after="120"/>
    </w:pPr>
  </w:p>
  <w:p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8A" w:rsidRDefault="0098108A">
    <w:pPr>
      <w:pStyle w:val="ac"/>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5"/>
  </w:num>
  <w:num w:numId="4">
    <w:abstractNumId w:val="12"/>
  </w:num>
  <w:num w:numId="5">
    <w:abstractNumId w:val="8"/>
  </w:num>
  <w:num w:numId="6">
    <w:abstractNumId w:val="10"/>
  </w:num>
  <w:num w:numId="7">
    <w:abstractNumId w:val="9"/>
  </w:num>
  <w:num w:numId="8">
    <w:abstractNumId w:val="7"/>
  </w:num>
  <w:num w:numId="9">
    <w:abstractNumId w:val="6"/>
  </w:num>
  <w:num w:numId="10">
    <w:abstractNumId w:val="0"/>
  </w:num>
  <w:num w:numId="11">
    <w:abstractNumId w:val="11"/>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C50"/>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0">
    <w:name w:val="List 3"/>
    <w:basedOn w:val="20"/>
    <w:qFormat/>
    <w:pPr>
      <w:ind w:left="1135"/>
    </w:pPr>
  </w:style>
  <w:style w:type="paragraph" w:styleId="20">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맑은 고딕"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a5">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a6">
    <w:name w:val="Document Map"/>
    <w:basedOn w:val="a0"/>
    <w:link w:val="Char0"/>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a7">
    <w:name w:val="annotation text"/>
    <w:basedOn w:val="a0"/>
    <w:link w:val="Char1"/>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a8">
    <w:name w:val="Body Text"/>
    <w:basedOn w:val="a0"/>
    <w:link w:val="Char2"/>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a9">
    <w:name w:val="Plain Text"/>
    <w:basedOn w:val="a0"/>
    <w:link w:val="Char3"/>
    <w:semiHidden/>
    <w:qFormat/>
    <w:pPr>
      <w:widowControl/>
      <w:spacing w:after="180"/>
    </w:pPr>
    <w:rPr>
      <w:rFonts w:ascii="Courier New" w:eastAsia="SimSun"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51">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7"/>
    <w:next w:val="a7"/>
    <w:link w:val="Char8"/>
    <w:qFormat/>
    <w:rPr>
      <w:b/>
      <w:bCs/>
    </w:rPr>
  </w:style>
  <w:style w:type="table" w:styleId="af1">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맑은 고딕" w:hAnsi="Arial" w:cs="Times New Roman"/>
      <w:b/>
      <w:bCs/>
      <w:kern w:val="0"/>
      <w:sz w:val="20"/>
      <w:szCs w:val="20"/>
      <w:lang w:val="zh-CN"/>
    </w:rPr>
  </w:style>
  <w:style w:type="character" w:customStyle="1" w:styleId="1Char">
    <w:name w:val="제목 1 Char"/>
    <w:basedOn w:val="a1"/>
    <w:link w:val="1"/>
    <w:qFormat/>
    <w:rPr>
      <w:rFonts w:ascii="Arial" w:eastAsia="SimSun" w:hAnsi="Arial" w:cs="Times New Roman"/>
      <w:kern w:val="0"/>
      <w:sz w:val="36"/>
      <w:szCs w:val="20"/>
      <w:lang w:val="en-GB" w:eastAsia="ja-JP"/>
    </w:rPr>
  </w:style>
  <w:style w:type="character" w:customStyle="1" w:styleId="2Char">
    <w:name w:val="제목 2 Char"/>
    <w:basedOn w:val="a1"/>
    <w:link w:val="2"/>
    <w:qFormat/>
    <w:rPr>
      <w:rFonts w:ascii="Arial" w:eastAsia="SimSun" w:hAnsi="Arial" w:cs="Times New Roman"/>
      <w:kern w:val="0"/>
      <w:sz w:val="32"/>
      <w:szCs w:val="20"/>
      <w:lang w:val="en-GB" w:eastAsia="ja-JP"/>
    </w:rPr>
  </w:style>
  <w:style w:type="character" w:customStyle="1" w:styleId="3Char">
    <w:name w:val="제목 3 Char"/>
    <w:basedOn w:val="a1"/>
    <w:link w:val="3"/>
    <w:qFormat/>
    <w:rPr>
      <w:rFonts w:ascii="Arial" w:eastAsia="SimSun" w:hAnsi="Arial" w:cs="Times New Roman"/>
      <w:kern w:val="0"/>
      <w:sz w:val="28"/>
      <w:szCs w:val="20"/>
      <w:lang w:val="en-GB" w:eastAsia="ja-JP"/>
    </w:rPr>
  </w:style>
  <w:style w:type="character" w:customStyle="1" w:styleId="4Char">
    <w:name w:val="제목 4 Char"/>
    <w:basedOn w:val="a1"/>
    <w:link w:val="40"/>
    <w:uiPriority w:val="9"/>
    <w:qFormat/>
    <w:rPr>
      <w:rFonts w:ascii="Arial" w:eastAsia="SimSun" w:hAnsi="Arial" w:cs="Times New Roman"/>
      <w:kern w:val="0"/>
      <w:sz w:val="24"/>
      <w:szCs w:val="20"/>
      <w:lang w:val="en-GB" w:eastAsia="ja-JP"/>
    </w:rPr>
  </w:style>
  <w:style w:type="character" w:customStyle="1" w:styleId="5Char">
    <w:name w:val="제목 5 Char"/>
    <w:basedOn w:val="a1"/>
    <w:link w:val="5"/>
    <w:uiPriority w:val="9"/>
    <w:qFormat/>
    <w:rPr>
      <w:rFonts w:ascii="Arial" w:eastAsia="SimSun" w:hAnsi="Arial" w:cs="Times New Roman"/>
      <w:kern w:val="0"/>
      <w:sz w:val="22"/>
      <w:szCs w:val="20"/>
      <w:lang w:val="en-GB" w:eastAsia="ja-JP"/>
    </w:rPr>
  </w:style>
  <w:style w:type="character" w:customStyle="1" w:styleId="6Char">
    <w:name w:val="제목 6 Char"/>
    <w:basedOn w:val="a1"/>
    <w:link w:val="6"/>
    <w:uiPriority w:val="9"/>
    <w:qFormat/>
    <w:rPr>
      <w:rFonts w:ascii="Arial" w:eastAsia="SimSun" w:hAnsi="Arial" w:cs="Times New Roman"/>
      <w:kern w:val="0"/>
      <w:sz w:val="20"/>
      <w:szCs w:val="20"/>
      <w:lang w:val="en-GB" w:eastAsia="ja-JP"/>
    </w:rPr>
  </w:style>
  <w:style w:type="character" w:customStyle="1" w:styleId="7Char">
    <w:name w:val="제목 7 Char"/>
    <w:basedOn w:val="a1"/>
    <w:link w:val="7"/>
    <w:uiPriority w:val="9"/>
    <w:qFormat/>
    <w:rPr>
      <w:rFonts w:ascii="Arial" w:eastAsia="SimSun" w:hAnsi="Arial" w:cs="Times New Roman"/>
      <w:kern w:val="0"/>
      <w:sz w:val="20"/>
      <w:szCs w:val="20"/>
      <w:lang w:val="en-GB" w:eastAsia="ja-JP"/>
    </w:rPr>
  </w:style>
  <w:style w:type="character" w:customStyle="1" w:styleId="8Char">
    <w:name w:val="제목 8 Char"/>
    <w:basedOn w:val="a1"/>
    <w:link w:val="8"/>
    <w:uiPriority w:val="9"/>
    <w:qFormat/>
    <w:rPr>
      <w:rFonts w:ascii="Arial" w:eastAsia="SimSun" w:hAnsi="Arial" w:cs="Times New Roman"/>
      <w:kern w:val="0"/>
      <w:sz w:val="36"/>
      <w:szCs w:val="20"/>
      <w:lang w:val="en-GB" w:eastAsia="ja-JP"/>
    </w:rPr>
  </w:style>
  <w:style w:type="character" w:customStyle="1" w:styleId="9Char">
    <w:name w:val="제목 9 Char"/>
    <w:basedOn w:val="a1"/>
    <w:link w:val="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30"/>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바닥글 Char"/>
    <w:basedOn w:val="a1"/>
    <w:link w:val="ab"/>
    <w:uiPriority w:val="99"/>
    <w:qFormat/>
    <w:rPr>
      <w:rFonts w:ascii="Times New Roman" w:eastAsia="SimSun" w:hAnsi="Times New Roman" w:cs="Times New Roman"/>
      <w:kern w:val="0"/>
      <w:sz w:val="22"/>
      <w:szCs w:val="20"/>
    </w:rPr>
  </w:style>
  <w:style w:type="character" w:customStyle="1" w:styleId="Char6">
    <w:name w:val="머리글 Char"/>
    <w:basedOn w:val="a1"/>
    <w:link w:val="ac"/>
    <w:qFormat/>
    <w:rPr>
      <w:rFonts w:ascii="Times New Roman" w:eastAsia="SimSun" w:hAnsi="Times New Roman" w:cs="Times New Roman"/>
      <w:kern w:val="0"/>
      <w:sz w:val="22"/>
      <w:szCs w:val="20"/>
    </w:rPr>
  </w:style>
  <w:style w:type="character" w:customStyle="1" w:styleId="Char0">
    <w:name w:val="문서 구조 Char"/>
    <w:basedOn w:val="a1"/>
    <w:link w:val="a6"/>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풍선 도움말 텍스트 Char"/>
    <w:basedOn w:val="a1"/>
    <w:link w:val="aa"/>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글자만 Char"/>
    <w:basedOn w:val="a1"/>
    <w:link w:val="a9"/>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har1">
    <w:name w:val="메모 텍스트 Char"/>
    <w:basedOn w:val="a1"/>
    <w:link w:val="a7"/>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메모 주제 Char"/>
    <w:basedOn w:val="Char1"/>
    <w:link w:val="af0"/>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본문 Char"/>
    <w:basedOn w:val="a1"/>
    <w:link w:val="a8"/>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Char7">
    <w:name w:val="제목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바탕" w:hAnsi="Times" w:cs="Times New Roman"/>
      <w:kern w:val="0"/>
      <w:sz w:val="22"/>
      <w:szCs w:val="24"/>
      <w:lang w:val="en-GB"/>
    </w:rPr>
  </w:style>
  <w:style w:type="character" w:customStyle="1" w:styleId="Char9">
    <w:name w:val="목록 단락 Char"/>
    <w:link w:val="af5"/>
    <w:uiPriority w:val="34"/>
    <w:qFormat/>
    <w:rPr>
      <w:rFonts w:ascii="Times" w:eastAsia="바탕"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캡션 Char"/>
    <w:link w:val="a5"/>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맑은 고딕"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바탕"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3182F-63AF-441D-A0AF-9622219B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1382</Words>
  <Characters>7880</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Samsung (Taeseop)</cp:lastModifiedBy>
  <cp:revision>3</cp:revision>
  <cp:lastPrinted>2023-09-16T10:01:00Z</cp:lastPrinted>
  <dcterms:created xsi:type="dcterms:W3CDTF">2023-10-27T01:31:00Z</dcterms:created>
  <dcterms:modified xsi:type="dcterms:W3CDTF">2023-10-27T01:35:00Z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(3)6Xd+w+CHrTTIgTpD/Gben5ULdL8QAtB75NxNP9epSB9Ag8/KSbwaC8riA8dB91VP65VmqxmW
d8IH0RwXTMrRGeCp8CH4fFL1kweUymWr91ALfTher/5yMmSX9ikLx8cggA6ewFO0VqdA4sO+
Jfdh2dRAws2d1g3J2pkmGXsOT7DtblkiJRqHnrqFxJRUaPJSLclyChQAX00d8ZfL8edfxx1j
cCInbhdXYsM1M5AoK/</vt:lpwstr>
  </property>
  <property fmtid="{D5CDD505-2E9C-101B-9397-08002B2CF9AE}" pid="3" name="_2015_ms_pID_7253431">
    <vt:lpwstr>6BsCbQypyYtBcys/kyomGBkHqaWuJdRYzqjTpQxa3Y7wN2xZwyDkk/
IvR1rVCNsGsLLXWMwxVCe7iRh3k2TbMvXo9antqriwaAjn1uenrO2/S4fdQnOYzAR4xGjEBg
gW56/f++xYangHfgNonxP871LtM3uZnNo74+DQFYgx40EXaMYg5Rf1LlD4mPrt3ngXvLG+gO
pXSFlGeQgpxYzm4gAU/cTuT7m8PZ08xOvf7H</vt:lpwstr>
  </property>
  <property fmtid="{D5CDD505-2E9C-101B-9397-08002B2CF9AE}" pid="4" name="_2015_ms_pID_7253432">
    <vt:lpwstr>Og==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