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Sidelink positioning discovery metafield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[Post123bis][405][POS] Sidelink positioning discovery metafield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contents of the discovery metafield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metafield structures separately for different discovery messages (Announcement message, Solicitaion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metafield</w:t>
      </w:r>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r>
              <w:rPr>
                <w:rFonts w:eastAsia="SimSun"/>
                <w:lang w:eastAsia="zh-CN"/>
              </w:rPr>
              <w:t>Jonggil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r>
              <w:rPr>
                <w:rFonts w:eastAsia="PMingLiU"/>
                <w:lang w:eastAsia="zh-TW"/>
              </w:rPr>
              <w:t>Jeongseok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7BDC9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6F8A3D3" w14:textId="77777777" w:rsidR="00282C73" w:rsidRDefault="00282C73" w:rsidP="00282C73">
            <w:pPr>
              <w:snapToGrid w:val="0"/>
              <w:spacing w:after="120"/>
              <w:jc w:val="both"/>
              <w:rPr>
                <w:rFonts w:eastAsia="PMingLiU"/>
                <w:lang w:eastAsia="zh-TW"/>
              </w:rPr>
            </w:pP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A49F9F5"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307120E" w14:textId="77777777" w:rsidR="00282C73" w:rsidRDefault="00282C73" w:rsidP="00282C73">
            <w:pPr>
              <w:snapToGrid w:val="0"/>
              <w:spacing w:after="120"/>
              <w:jc w:val="both"/>
              <w:rPr>
                <w:rFonts w:eastAsia="PMingLiU"/>
                <w:lang w:eastAsia="zh-TW"/>
              </w:rPr>
            </w:pP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1: Do companies agree that RAN2 is responsible for the specification of RSPP metafield in the UE discovery messages, i.e., the metafield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specided as out of the scope fo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r>
              <w:rPr>
                <w:rFonts w:eastAsiaTheme="minorEastAsia" w:hint="eastAsia"/>
                <w:lang w:eastAsia="zh-CN"/>
              </w:rPr>
              <w:t>meta</w:t>
            </w:r>
            <w:r>
              <w:rPr>
                <w:rFonts w:eastAsiaTheme="minorEastAsia"/>
                <w:lang w:eastAsia="zh-CN"/>
              </w:rPr>
              <w:t>field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We share the same understanding with Huawei that as per SA2, RAN2 should define what content of the metafield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We also understand that SA2 gave a clear mandate to RAN2 to specify the content of the metafield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SA2 has clarified in their reply LS R2-2307054_S2-2305735 that RAN2 will specify the contents of the metadata field,</w:t>
            </w:r>
          </w:p>
          <w:tbl>
            <w:tblPr>
              <w:tblStyle w:val="TableGrid"/>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It was proposed in [2] to define the individual metafield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ProSe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Ranging/Sidelink Positioning UE discovery with 5G ProSe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From the moderator’s understanding, the RSPP metafield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metafield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 xml:space="preserve">ee/discovered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Alt 1: RAN2 to define the individual metafield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Metafield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B in Ranging/SL Positioning Solicitation and Direct Communication Request messages to indicate the required characteristics of the discoveree/discovered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C in Ranging/SL Positioning Response message and Direct Communication Accept messages to indicate the satisfied characteristics of the discoveree/discovered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metafield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metafield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2: Which alternative do companies prefer to define the RSPP metafield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Alt 1: define individual metafield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B in Ranging/SL Positioning Solicitation and Direct Communication Request messages to indicate the required characteristics of the discoveree/discovered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C in Ranging/SL Positioning Response message and Direct Communication Accept messages to indicate the satisfied characteristics of the discoveree/discovered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metafield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metafield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Solicitation and Direct Communication Request messages indicates the required characteristics of the discoveree/discovered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Response message and Direct Communication Accept messages indicates the satisfied characteristics of the discoveree/discovered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 seems simpler while may result in some additional overhead. The impacts can be accessed when it is finally determined how many information will be encoded in the meta-field. For the sake of the remaining discussion time in RAN2 in R18, we repfer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r>
              <w:rPr>
                <w:rFonts w:eastAsiaTheme="minorEastAsia"/>
                <w:szCs w:val="22"/>
                <w:lang w:eastAsia="zh-CN"/>
              </w:rPr>
              <w:t xml:space="preserve">metafield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e.g., to indicate which discovery message carries the matafield.</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ProSe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lastRenderedPageBreak/>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metafield is carried and structured. If we recommend a separate or unified structure, this can be notified via an LS to SA2. Metafield B is a solicitation message and Metafield C is a response to this solicitation and therefore somewhat related. A discovered UE cannot respond (using Metafield C) to the satisfied requirements outside of the scope of what was announced/requested (based on the received Metafield A or B). A unified structure (Alt.2) can therefore be applied to Metafields A and B, while Metafield C is just a subset or equivalent to what was requested in Metafield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As for ProSe discovery procedure, specifying intention of the metafield in the SLPP specification seems better to understand what metafields do, and which message carries the metafield. The metafield could be three types which are listed in Alt. 1.</w:t>
            </w:r>
          </w:p>
          <w:p w14:paraId="46DE22B2" w14:textId="1C8E4894" w:rsidR="004B2FDB" w:rsidRDefault="00EF58D7" w:rsidP="00D86551">
            <w:pPr>
              <w:tabs>
                <w:tab w:val="left" w:pos="6564"/>
              </w:tabs>
              <w:snapToGrid w:val="0"/>
              <w:spacing w:after="120"/>
            </w:pPr>
            <w:r>
              <w:t>However, contents of three metafields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metafield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indicator such as "supported characteristics", "required characteristics", "satisfied characteristics". This approach is simple and may reduce additional discussion on the contents to be included within each metafield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We prefer a unified format similar to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(eg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discoveree/discovered UEs send different types of characteristics and capabilities? We think the same types of characteristics </w:t>
            </w:r>
            <w:r w:rsidRPr="00311B05">
              <w:rPr>
                <w:sz w:val="20"/>
                <w:szCs w:val="20"/>
              </w:rPr>
              <w:t>and</w:t>
            </w:r>
            <w:r w:rsidRPr="00311B05">
              <w:rPr>
                <w:sz w:val="20"/>
                <w:szCs w:val="20"/>
              </w:rPr>
              <w:t xml:space="preserve"> capabilities should be sent by both UEs (Alt 3). These should be very limited because SLPP can later provide all the capabilities of a UE.</w:t>
            </w: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Uu based positioning. A Located UE can be used to determine the location of a Target UE using Sidelink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lastRenderedPageBreak/>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metafield should also indicate the availability of known location?</w:t>
      </w:r>
    </w:p>
    <w:tbl>
      <w:tblPr>
        <w:tblStyle w:val="TableGrid"/>
        <w:tblW w:w="9634" w:type="dxa"/>
        <w:tblLook w:val="04A0" w:firstRow="1" w:lastRow="0" w:firstColumn="1" w:lastColumn="0" w:noHBand="0" w:noVBand="1"/>
      </w:tblPr>
      <w:tblGrid>
        <w:gridCol w:w="1231"/>
        <w:gridCol w:w="1272"/>
        <w:gridCol w:w="7131"/>
      </w:tblGrid>
      <w:tr w:rsidR="003840AC" w14:paraId="7CF63330" w14:textId="77777777">
        <w:tc>
          <w:tcPr>
            <w:tcW w:w="1233" w:type="dxa"/>
          </w:tcPr>
          <w:bookmarkEnd w:id="8"/>
          <w:p w14:paraId="1FCDA59F" w14:textId="77777777" w:rsidR="003840AC" w:rsidRDefault="00537906">
            <w:pPr>
              <w:tabs>
                <w:tab w:val="left" w:pos="6564"/>
              </w:tabs>
              <w:snapToGrid w:val="0"/>
              <w:spacing w:after="120"/>
            </w:pPr>
            <w:r>
              <w:rPr>
                <w:rFonts w:hint="eastAsia"/>
              </w:rPr>
              <w:t>C</w:t>
            </w:r>
            <w:r>
              <w:t>ompany</w:t>
            </w:r>
          </w:p>
        </w:tc>
        <w:tc>
          <w:tcPr>
            <w:tcW w:w="11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tc>
          <w:tcPr>
            <w:tcW w:w="1233"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tradeoff between signlaing overhead in discovery message and PC5 connection establishment. We prefer not to include it for the sake of progress. </w:t>
            </w:r>
          </w:p>
        </w:tc>
      </w:tr>
      <w:tr w:rsidR="003840AC" w14:paraId="77F059A4" w14:textId="77777777">
        <w:tc>
          <w:tcPr>
            <w:tcW w:w="1233"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Note that according to SA2 procedure, for absolute positioning, if the location of the selected anchor UE is unkown, additional procedure needs to be triggered for positioning of such anchor UE also, which takes time.</w:t>
            </w:r>
          </w:p>
        </w:tc>
      </w:tr>
      <w:tr w:rsidR="003840AC" w14:paraId="5DD7B371" w14:textId="77777777">
        <w:tc>
          <w:tcPr>
            <w:tcW w:w="1233"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tc>
          <w:tcPr>
            <w:tcW w:w="1233"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tc>
          <w:tcPr>
            <w:tcW w:w="1233" w:type="dxa"/>
          </w:tcPr>
          <w:p w14:paraId="60095328" w14:textId="77777777" w:rsidR="003840AC" w:rsidRDefault="00537906">
            <w:pPr>
              <w:tabs>
                <w:tab w:val="left" w:pos="6564"/>
              </w:tabs>
              <w:snapToGrid w:val="0"/>
              <w:spacing w:after="120"/>
            </w:pPr>
            <w:r>
              <w:t>Apple</w:t>
            </w:r>
          </w:p>
        </w:tc>
        <w:tc>
          <w:tcPr>
            <w:tcW w:w="1172" w:type="dxa"/>
          </w:tcPr>
          <w:p w14:paraId="60C808E2" w14:textId="77777777" w:rsidR="003840AC" w:rsidRDefault="00537906">
            <w:pPr>
              <w:tabs>
                <w:tab w:val="left" w:pos="6564"/>
              </w:tabs>
              <w:snapToGrid w:val="0"/>
              <w:spacing w:after="120"/>
            </w:pPr>
            <w:r>
              <w:t>No</w:t>
            </w:r>
          </w:p>
        </w:tc>
        <w:tc>
          <w:tcPr>
            <w:tcW w:w="7229"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tc>
          <w:tcPr>
            <w:tcW w:w="1233" w:type="dxa"/>
          </w:tcPr>
          <w:p w14:paraId="0BC03A36" w14:textId="77777777" w:rsidR="003840AC" w:rsidRDefault="00537906">
            <w:pPr>
              <w:tabs>
                <w:tab w:val="left" w:pos="6564"/>
              </w:tabs>
              <w:snapToGrid w:val="0"/>
              <w:spacing w:after="120"/>
            </w:pPr>
            <w:r>
              <w:t>Intel</w:t>
            </w:r>
          </w:p>
        </w:tc>
        <w:tc>
          <w:tcPr>
            <w:tcW w:w="1172" w:type="dxa"/>
          </w:tcPr>
          <w:p w14:paraId="6885DC1E" w14:textId="77777777" w:rsidR="003840AC" w:rsidRDefault="00537906">
            <w:pPr>
              <w:tabs>
                <w:tab w:val="left" w:pos="6564"/>
              </w:tabs>
              <w:snapToGrid w:val="0"/>
              <w:spacing w:after="120"/>
            </w:pPr>
            <w:r>
              <w:t>Yes</w:t>
            </w:r>
          </w:p>
        </w:tc>
        <w:tc>
          <w:tcPr>
            <w:tcW w:w="7229" w:type="dxa"/>
          </w:tcPr>
          <w:p w14:paraId="725A5512" w14:textId="77777777" w:rsidR="003840AC" w:rsidRDefault="00537906">
            <w:pPr>
              <w:tabs>
                <w:tab w:val="left" w:pos="6564"/>
              </w:tabs>
              <w:snapToGrid w:val="0"/>
              <w:spacing w:after="120"/>
            </w:pPr>
            <w:r>
              <w:t>As mentioned by Huawei above, several parameters (including absolute location information) would be nice to have as part of the discovery message. However, we have to consider each one carefully against the added cost in terms of signaling overhead. In our view, absolute location information is not critical to include in the RSPP metafield.</w:t>
            </w:r>
          </w:p>
        </w:tc>
      </w:tr>
      <w:tr w:rsidR="003840AC" w14:paraId="61F35D94" w14:textId="77777777">
        <w:tc>
          <w:tcPr>
            <w:tcW w:w="1233" w:type="dxa"/>
          </w:tcPr>
          <w:p w14:paraId="256D3A6F" w14:textId="77777777" w:rsidR="003840AC" w:rsidRDefault="00537906">
            <w:pPr>
              <w:tabs>
                <w:tab w:val="left" w:pos="6564"/>
              </w:tabs>
              <w:snapToGrid w:val="0"/>
              <w:spacing w:after="120"/>
            </w:pPr>
            <w:r>
              <w:t>LG</w:t>
            </w:r>
          </w:p>
        </w:tc>
        <w:tc>
          <w:tcPr>
            <w:tcW w:w="1172" w:type="dxa"/>
          </w:tcPr>
          <w:p w14:paraId="6A67877E" w14:textId="77777777" w:rsidR="003840AC" w:rsidRDefault="00537906">
            <w:pPr>
              <w:tabs>
                <w:tab w:val="left" w:pos="6564"/>
              </w:tabs>
              <w:snapToGrid w:val="0"/>
              <w:spacing w:after="120"/>
            </w:pPr>
            <w:r>
              <w:t>No</w:t>
            </w:r>
          </w:p>
        </w:tc>
        <w:tc>
          <w:tcPr>
            <w:tcW w:w="7229" w:type="dxa"/>
          </w:tcPr>
          <w:p w14:paraId="20C5DE71"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w:t>
            </w:r>
            <w:r>
              <w:lastRenderedPageBreak/>
              <w:t xml:space="preserve">service is successfully done. We think it is better to consider type of UE (i.e. stationary or movable in Q9) rather than indicate the availability of known location. </w:t>
            </w:r>
          </w:p>
        </w:tc>
      </w:tr>
      <w:tr w:rsidR="003840AC" w14:paraId="3D0D3C9A" w14:textId="77777777">
        <w:tc>
          <w:tcPr>
            <w:tcW w:w="1233"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229"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jsut need to clarify that the UE role in metadata contents should be able to different anchor UE with/without known location information.</w:t>
            </w:r>
          </w:p>
        </w:tc>
      </w:tr>
      <w:tr w:rsidR="00282C73" w14:paraId="1B248685" w14:textId="77777777">
        <w:tc>
          <w:tcPr>
            <w:tcW w:w="1233" w:type="dxa"/>
          </w:tcPr>
          <w:p w14:paraId="3FDAAEB2" w14:textId="30393A6E" w:rsidR="00282C73" w:rsidRDefault="00282C73" w:rsidP="00282C73">
            <w:pPr>
              <w:tabs>
                <w:tab w:val="left" w:pos="6564"/>
              </w:tabs>
              <w:snapToGrid w:val="0"/>
              <w:spacing w:after="120"/>
            </w:pPr>
            <w:r>
              <w:t>Lenovo</w:t>
            </w:r>
          </w:p>
        </w:tc>
        <w:tc>
          <w:tcPr>
            <w:tcW w:w="11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229"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Share the view that should strive to avoid signalling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tc>
          <w:tcPr>
            <w:tcW w:w="1233" w:type="dxa"/>
          </w:tcPr>
          <w:p w14:paraId="49534BDD" w14:textId="732A9754" w:rsidR="002F7399" w:rsidRDefault="002F7399" w:rsidP="002F7399">
            <w:pPr>
              <w:tabs>
                <w:tab w:val="left" w:pos="6564"/>
              </w:tabs>
              <w:snapToGrid w:val="0"/>
              <w:spacing w:after="120"/>
            </w:pPr>
            <w:r>
              <w:t>Samsung</w:t>
            </w:r>
          </w:p>
        </w:tc>
        <w:tc>
          <w:tcPr>
            <w:tcW w:w="11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229" w:type="dxa"/>
          </w:tcPr>
          <w:p w14:paraId="50D2D565" w14:textId="476F887C" w:rsidR="002F7399" w:rsidRPr="00282C73" w:rsidRDefault="002F7399" w:rsidP="002F7399">
            <w:pPr>
              <w:tabs>
                <w:tab w:val="left" w:pos="6564"/>
              </w:tabs>
              <w:snapToGrid w:val="0"/>
              <w:spacing w:after="120"/>
              <w:rPr>
                <w:rFonts w:eastAsia="SimSun"/>
                <w:lang w:val="en-US" w:eastAsia="zh-CN"/>
              </w:rPr>
            </w:pPr>
            <w:r>
              <w:t>According to the definitions, Located UE is subset of SL Reference UE/Anchor UE. The indication of known location in the RSPP metafield can be used to determine whether it is Located UE (of SL Reference UE/Anchor UE's kind) or SL Reference UE/Anchor UE (without location).</w:t>
            </w:r>
          </w:p>
        </w:tc>
      </w:tr>
      <w:tr w:rsidR="00062448" w14:paraId="07FA1F9A" w14:textId="77777777">
        <w:tc>
          <w:tcPr>
            <w:tcW w:w="1233" w:type="dxa"/>
          </w:tcPr>
          <w:p w14:paraId="333AA813" w14:textId="44518AA8" w:rsidR="00062448" w:rsidRDefault="00062448" w:rsidP="002F7399">
            <w:pPr>
              <w:tabs>
                <w:tab w:val="left" w:pos="6564"/>
              </w:tabs>
              <w:snapToGrid w:val="0"/>
              <w:spacing w:after="120"/>
            </w:pPr>
            <w:r>
              <w:t>Nokia</w:t>
            </w:r>
          </w:p>
        </w:tc>
        <w:tc>
          <w:tcPr>
            <w:tcW w:w="1172" w:type="dxa"/>
          </w:tcPr>
          <w:p w14:paraId="6C4E9FB1" w14:textId="07F49F5A" w:rsidR="00062448" w:rsidRDefault="00062448" w:rsidP="002F7399">
            <w:pPr>
              <w:tabs>
                <w:tab w:val="left" w:pos="6564"/>
              </w:tabs>
              <w:snapToGrid w:val="0"/>
              <w:spacing w:after="120"/>
            </w:pPr>
            <w:r>
              <w:t>Yes</w:t>
            </w:r>
          </w:p>
        </w:tc>
        <w:tc>
          <w:tcPr>
            <w:tcW w:w="7229"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(eg,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tc>
          <w:tcPr>
            <w:tcW w:w="1233" w:type="dxa"/>
          </w:tcPr>
          <w:p w14:paraId="2A703EDC" w14:textId="4044C6CE" w:rsidR="00EB22B8" w:rsidRDefault="0039487D" w:rsidP="002F7399">
            <w:pPr>
              <w:tabs>
                <w:tab w:val="left" w:pos="6564"/>
              </w:tabs>
              <w:snapToGrid w:val="0"/>
              <w:spacing w:after="120"/>
            </w:pPr>
            <w:r>
              <w:t>Qualcomm</w:t>
            </w:r>
          </w:p>
        </w:tc>
        <w:tc>
          <w:tcPr>
            <w:tcW w:w="11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229"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metafield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 in the RSPP metafield,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lastRenderedPageBreak/>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Multiple UE roles are assumed to be colocated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metafield </w:t>
            </w:r>
            <w:r w:rsidR="00871EA3">
              <w:t xml:space="preserve">and PLMN within the discovery itself </w:t>
            </w:r>
            <w:r>
              <w:t>(ie should not be left to capability reporting) but leaves the rest of the content to RAN2.</w:t>
            </w:r>
          </w:p>
          <w:p w14:paraId="5714F9FA" w14:textId="79A2ADCE" w:rsidR="00691DAF" w:rsidRDefault="00691DAF" w:rsidP="002F7399">
            <w:pPr>
              <w:tabs>
                <w:tab w:val="left" w:pos="6564"/>
              </w:tabs>
              <w:snapToGrid w:val="0"/>
              <w:spacing w:after="120"/>
            </w:pPr>
            <w:r>
              <w:t>As for the UE role indication itself, the ability to act as a server UE must be indicated explicitly during discovery. However, in line with our answer to Q3, the ability to support reference / located UE role can be indicated also implicitly, eg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metafield,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Any UE supporting Ranging/SL Positioning, e.g.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metafield?</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ranging/sidelink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 need to capture unnecessary information in the metafield</w:t>
            </w:r>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No need to explicitly indicate the SLPP support in the RSPP metafiled.</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No need to explicitly indicate the SLPP support in the RSPP metafiled.</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lastRenderedPageBreak/>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It could be implicitly indicated by the UE role in RSPP metafield.</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ProSe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A globally unique identifier identifying a specific Ranging/SL Positioning application, which can be mapped to a V2X service type or a ProSe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metafield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hint="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the RAN2#123bis meeting, there are the following proposals related to other potential information in RSPP metafield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Proposal 9: RAN2 to define the individual metafield structures separately for Announcement message, Solicitaion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metafield in Annoucement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metafield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t>R2-2309741</w:t>
            </w:r>
          </w:p>
          <w:p w14:paraId="16E71400" w14:textId="77777777" w:rsidR="003840AC" w:rsidRDefault="00537906">
            <w:pPr>
              <w:spacing w:after="0"/>
              <w:rPr>
                <w:rFonts w:eastAsiaTheme="minorEastAsia"/>
                <w:lang w:eastAsia="zh-CN"/>
              </w:rPr>
            </w:pPr>
            <w:r>
              <w:rPr>
                <w:rFonts w:eastAsiaTheme="minorEastAsia"/>
                <w:lang w:eastAsia="zh-CN"/>
              </w:rPr>
              <w:t>CEWiT</w:t>
            </w:r>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lastRenderedPageBreak/>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lastRenderedPageBreak/>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metafield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metafield,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metafield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metafield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For discovery mode A, RAN2 to agree that at least the following information can also be included in the metafield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For discovery mode B, RAN2 to agree that at least the following information can also be included in the metafield of solicitation/Direct Communication Request message: Requested SL 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For discovery mode B, RAN2 to agree that at least the following information can also be included in the metafield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Proposal 6: RAN2 to agree that the PLMN info should not be included in the Announcement message transmitted by the candidate anchor UE in discovery model A and the Solicitation msg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bservation 3: if in the step of discovery of anchor UE, the anchor UEs could indicate it could play the role of the SL positioning server UE in the Solicitation response msg or the Announcement msg,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msg or the discovery model B response msg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8: RAN2 to agree that the candidate anchor UE AND the candidate SL positioning server UE indicates the supported positioning method and/or the supported positioning QoS requirement(s) as the SL positioning server UEin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lastRenderedPageBreak/>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lastRenderedPageBreak/>
              <w:t xml:space="preserve">Proposal 1: For discovery of UE roles, RAN2 needs to define the syntax for the roles to be included as </w:t>
            </w:r>
            <w:r>
              <w:rPr>
                <w:rFonts w:eastAsiaTheme="minorEastAsia"/>
                <w:lang w:eastAsia="zh-CN"/>
              </w:rPr>
              <w:lastRenderedPageBreak/>
              <w:t>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lastRenderedPageBreak/>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35908954"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metafield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metafield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Without this information, target UE has to blindly establish sl connection with all the discovered UEs and exchange SLPP capability, which is extremly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In general, agree with Ericsson and Apple. If we agreed on optional metafield IEs, the advertisement of supported positioning methods could be done this way and left to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metafield.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lastRenderedPageBreak/>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should not expect server UE to support all the positioning method, especially when new positioning methods are introdcued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 xml:space="preserve">When Network-based Operation is not supported by the 5GC network, indication on whether the UE is allowed to use UE-only operation to </w:t>
                  </w:r>
                  <w:r>
                    <w:lastRenderedPageBreak/>
                    <w:t>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r>
              <w:t xml:space="preserve">metafield)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lastRenderedPageBreak/>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bookmarkStart w:id="19" w:name="_Hlk148954024"/>
      <w:r>
        <w:rPr>
          <w:rFonts w:eastAsiaTheme="minorEastAsia"/>
          <w:b/>
          <w:szCs w:val="22"/>
          <w:lang w:eastAsia="zh-CN"/>
        </w:rPr>
        <w:t>Question 8: Do companies agree that the PLMN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SA2 has agreed that PLMN will be directly included in the discovery message not in the SLPP meta data. Tdoc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lastRenderedPageBreak/>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Question 9: Do companies agree that the mobility status (Stationary or movable) of anchor UE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Acquiring mobility staus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We see the need to report dynamic parameters such as coverage, RSRP and mobility condition, but not within the SLPP metafield.</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Question 10: Which information do companies agree to be included in the RSPP metafield?</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lastRenderedPageBreak/>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None in RSPP metafield. All parameters can be included in SLPP capability exchange msg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77777777" w:rsidR="00E86CA5" w:rsidRDefault="00E86CA5" w:rsidP="00E86CA5">
            <w:pPr>
              <w:tabs>
                <w:tab w:val="left" w:pos="6564"/>
              </w:tabs>
              <w:snapToGrid w:val="0"/>
              <w:spacing w:after="120"/>
            </w:pPr>
          </w:p>
        </w:tc>
        <w:tc>
          <w:tcPr>
            <w:tcW w:w="1456" w:type="dxa"/>
          </w:tcPr>
          <w:p w14:paraId="64F5E02A" w14:textId="77777777" w:rsidR="00E86CA5" w:rsidRDefault="00E86CA5" w:rsidP="00E86CA5">
            <w:pPr>
              <w:pStyle w:val="pf0"/>
              <w:adjustRightInd w:val="0"/>
              <w:snapToGrid w:val="0"/>
              <w:spacing w:after="120" w:afterAutospacing="0"/>
              <w:rPr>
                <w:rStyle w:val="cf01"/>
                <w:rFonts w:eastAsiaTheme="minorEastAsia"/>
                <w:sz w:val="20"/>
                <w:szCs w:val="20"/>
              </w:rPr>
            </w:pPr>
          </w:p>
        </w:tc>
        <w:tc>
          <w:tcPr>
            <w:tcW w:w="6945" w:type="dxa"/>
          </w:tcPr>
          <w:p w14:paraId="47A58FE3" w14:textId="77777777" w:rsidR="00E86CA5" w:rsidRDefault="00E86CA5" w:rsidP="00E86CA5">
            <w:pPr>
              <w:pStyle w:val="pf0"/>
              <w:adjustRightInd w:val="0"/>
              <w:snapToGrid w:val="0"/>
              <w:spacing w:after="120" w:afterAutospacing="0"/>
              <w:rPr>
                <w:rStyle w:val="cf01"/>
                <w:rFonts w:eastAsiaTheme="minorEastAsia"/>
                <w:sz w:val="20"/>
                <w:szCs w:val="20"/>
              </w:rPr>
            </w:pP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[AT123][430][POS] Discovery and selection for sidelink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Clarification on the discovery type for ProSe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(ProSe)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Huawei, HiSilicon</w:t>
      </w:r>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t>CEWiT</w:t>
      </w:r>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lastRenderedPageBreak/>
        <w:t>R2-2310275</w:t>
      </w:r>
      <w:r>
        <w:rPr>
          <w:rFonts w:eastAsiaTheme="minorEastAsia"/>
          <w:lang w:eastAsia="zh-CN"/>
        </w:rPr>
        <w:tab/>
        <w:t>Considerations on Sidelink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Ranging/Sidelink Positioning UE discovery with 5G ProSe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Ranging/SL Positioning UE discovery with 5G ProSe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Figure 6.4.2.1-1 illustrates the procedure for Ranging/SL Positioning UE discovery with 5G ProSe capable UE using Model A discovery.</w:t>
      </w:r>
    </w:p>
    <w:p w14:paraId="69FB967D"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6pt" o:ole="">
            <v:imagedata r:id="rId8" o:title=""/>
          </v:shape>
          <o:OLEObject Type="Embed" ProgID="Visio.Drawing.15" ShapeID="_x0000_i1025" DrawAspect="Content" ObjectID="_1760136877" r:id="rId9"/>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4C740EB9"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5pt;height:128pt" o:ole="">
            <v:imagedata r:id="rId10" o:title=""/>
          </v:shape>
          <o:OLEObject Type="Embed" ProgID="Visio.Drawing.15" ShapeID="_x0000_i1026" DrawAspect="Content" ObjectID="_1760136878" r:id="rId11"/>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User Info ID of Discoveree UE is to identify a specific UE that the discoverer UE would like to discover, which is identified by Discoveree UE's Application Layer ID.</w:t>
      </w:r>
    </w:p>
    <w:p w14:paraId="2C1DC89F" w14:textId="77777777" w:rsidR="003840AC" w:rsidRDefault="00537906">
      <w:pPr>
        <w:ind w:left="568" w:hanging="284"/>
        <w:rPr>
          <w:lang w:eastAsia="en-GB"/>
        </w:rPr>
      </w:pPr>
      <w:r>
        <w:rPr>
          <w:lang w:eastAsia="en-GB"/>
        </w:rPr>
        <w:tab/>
        <w:t>A Discoveree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The User Info ID of Discoveree UE is the Discoveree UE's Application Layer ID.</w:t>
      </w:r>
    </w:p>
    <w:p w14:paraId="6DCEA201" w14:textId="77777777" w:rsidR="003840AC" w:rsidRDefault="00537906">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2B29EE6F" w14:textId="77777777" w:rsidR="003840AC" w:rsidRDefault="00537906">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75B9EBFC"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5pt;height:126.5pt" o:ole="">
            <v:imagedata r:id="rId12" o:title=""/>
          </v:shape>
          <o:OLEObject Type="Embed" ProgID="Visio.Drawing.15" ShapeID="_x0000_i1027" DrawAspect="Content" ObjectID="_1760136879" r:id="rId13"/>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57B9E025"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5pt;height:128pt" o:ole="">
            <v:imagedata r:id="rId14" o:title=""/>
          </v:shape>
          <o:OLEObject Type="Embed" ProgID="Visio.Drawing.15" ShapeID="_x0000_i1028" DrawAspect="Content" ObjectID="_1760136880" r:id="rId15"/>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User Info ID of Discoveree UE is to identify a specific UE that the discoverer UE would like to discover, which is identified by Discoveree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t>Discoveree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The User Info ID of Discoveree UE is the Discoveree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4222" w14:textId="77777777" w:rsidR="00ED63FA" w:rsidRDefault="00ED63FA">
      <w:pPr>
        <w:spacing w:after="0"/>
      </w:pPr>
      <w:r>
        <w:separator/>
      </w:r>
    </w:p>
  </w:endnote>
  <w:endnote w:type="continuationSeparator" w:id="0">
    <w:p w14:paraId="5ABD64C9" w14:textId="77777777" w:rsidR="00ED63FA" w:rsidRDefault="00ED6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23B6" w14:textId="77777777" w:rsidR="00ED63FA" w:rsidRDefault="00ED63FA">
      <w:pPr>
        <w:spacing w:after="0"/>
      </w:pPr>
      <w:r>
        <w:separator/>
      </w:r>
    </w:p>
  </w:footnote>
  <w:footnote w:type="continuationSeparator" w:id="0">
    <w:p w14:paraId="03E2E965" w14:textId="77777777" w:rsidR="00ED63FA" w:rsidRDefault="00ED63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6102"/>
    <w:rsid w:val="00056C75"/>
    <w:rsid w:val="00057739"/>
    <w:rsid w:val="00062448"/>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44DD7"/>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487D"/>
    <w:rsid w:val="00396231"/>
    <w:rsid w:val="003B2E23"/>
    <w:rsid w:val="003B468A"/>
    <w:rsid w:val="003B5FEB"/>
    <w:rsid w:val="003B6729"/>
    <w:rsid w:val="003B6A5D"/>
    <w:rsid w:val="003B6E4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1EA3"/>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1C67"/>
    <w:rsid w:val="00C91D28"/>
    <w:rsid w:val="00C91E73"/>
    <w:rsid w:val="00C922A1"/>
    <w:rsid w:val="00C932E8"/>
    <w:rsid w:val="00C93DC9"/>
    <w:rsid w:val="00C9502D"/>
    <w:rsid w:val="00CA40DB"/>
    <w:rsid w:val="00CA77B4"/>
    <w:rsid w:val="00CB6E26"/>
    <w:rsid w:val="00CC6F1C"/>
    <w:rsid w:val="00CD2776"/>
    <w:rsid w:val="00CD27B7"/>
    <w:rsid w:val="00CD2C5E"/>
    <w:rsid w:val="00CD6E86"/>
    <w:rsid w:val="00CD72A1"/>
    <w:rsid w:val="00CE252D"/>
    <w:rsid w:val="00CE4BE0"/>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29D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41D"/>
    <w:rsid w:val="00F635C1"/>
    <w:rsid w:val="00F65F7C"/>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9059</Words>
  <Characters>51640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Sven Fischer</cp:lastModifiedBy>
  <cp:revision>67</cp:revision>
  <dcterms:created xsi:type="dcterms:W3CDTF">2023-10-26T08:01:00Z</dcterms:created>
  <dcterms:modified xsi:type="dcterms:W3CDTF">2023-10-30T09:07:00Z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