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R2-23xxxxx</w:t>
      </w:r>
    </w:p>
    <w:p>
      <w:pPr>
        <w:widowControl w:val="0"/>
        <w:tabs>
          <w:tab w:val="right" w:pos="9639"/>
        </w:tabs>
        <w:rPr>
          <w:rFonts w:ascii="Arial" w:hAnsi="Arial"/>
          <w:b/>
        </w:rPr>
      </w:pPr>
      <w:r>
        <w:rPr>
          <w:rFonts w:ascii="Arial" w:hAnsi="Arial"/>
          <w:b/>
        </w:rPr>
        <w:t xml:space="preserve">Chicago, USA, November 2023                                            </w:t>
      </w:r>
    </w:p>
    <w:p>
      <w:pPr>
        <w:widowControl w:val="0"/>
        <w:tabs>
          <w:tab w:val="right" w:pos="9639"/>
        </w:tabs>
        <w:rPr>
          <w:rFonts w:ascii="Arial" w:hAnsi="Arial"/>
          <w:b/>
          <w:bCs/>
        </w:rPr>
      </w:pPr>
    </w:p>
    <w:p>
      <w:pPr>
        <w:pStyle w:val="106"/>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rPr>
        <w:t>Report of [Post123bis][404][POS] SLPP forwarding (Intel)</w:t>
      </w:r>
    </w:p>
    <w:p>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Discussion and decision</w:t>
      </w:r>
    </w:p>
    <w:p>
      <w:pPr>
        <w:pStyle w:val="3"/>
        <w:numPr>
          <w:ilvl w:val="0"/>
          <w:numId w:val="17"/>
        </w:numPr>
        <w:rPr>
          <w:rFonts w:cs="Arial"/>
        </w:rPr>
      </w:pPr>
      <w:bookmarkStart w:id="0" w:name="_Ref73829754"/>
      <w:r>
        <w:rPr>
          <w:rFonts w:cs="Arial"/>
        </w:rPr>
        <w:t>Introduction</w:t>
      </w:r>
      <w:bookmarkEnd w:id="0"/>
    </w:p>
    <w:p>
      <w:pPr>
        <w:spacing w:after="120"/>
        <w:jc w:val="both"/>
        <w:rPr>
          <w:sz w:val="20"/>
          <w:szCs w:val="20"/>
          <w:lang w:val="en-GB"/>
        </w:rPr>
      </w:pPr>
      <w:bookmarkStart w:id="1" w:name="Proposal_Pattern_Length"/>
      <w:r>
        <w:rPr>
          <w:sz w:val="20"/>
          <w:szCs w:val="20"/>
          <w:lang w:val="en-GB"/>
        </w:rPr>
        <w:t>This is the summary of the following email discussion:</w:t>
      </w:r>
    </w:p>
    <w:p>
      <w:pPr>
        <w:pStyle w:val="154"/>
      </w:pPr>
      <w:r>
        <w:t>[Post123bis][404][POS] SLPP forwarding (Intel)</w:t>
      </w:r>
    </w:p>
    <w:p>
      <w:pPr>
        <w:pStyle w:val="155"/>
      </w:pPr>
      <w:r>
        <w:tab/>
      </w:r>
      <w:r>
        <w:t>Scope: Discuss proposals to RAN2#123bis on SLPP forwarding and conclude on whether the feature is needed; begin development of a TP towards next meeting if necessary.</w:t>
      </w:r>
    </w:p>
    <w:p>
      <w:pPr>
        <w:pStyle w:val="155"/>
      </w:pPr>
      <w:r>
        <w:tab/>
      </w:r>
      <w:r>
        <w:t>Intended outcome: Report to next meeting and possible TP</w:t>
      </w:r>
    </w:p>
    <w:p>
      <w:pPr>
        <w:pStyle w:val="155"/>
      </w:pPr>
      <w:r>
        <w:tab/>
      </w:r>
      <w:r>
        <w:t>Deadline: Long</w:t>
      </w:r>
    </w:p>
    <w:p>
      <w:pPr>
        <w:spacing w:after="120"/>
        <w:jc w:val="both"/>
        <w:rPr>
          <w:sz w:val="20"/>
          <w:szCs w:val="20"/>
          <w:lang w:val="en-GB"/>
        </w:rPr>
      </w:pPr>
      <w:r>
        <w:rPr>
          <w:sz w:val="20"/>
          <w:szCs w:val="20"/>
          <w:lang w:val="en-GB"/>
        </w:rPr>
        <w:t xml:space="preserve"> </w:t>
      </w:r>
    </w:p>
    <w:p>
      <w:pPr>
        <w:spacing w:after="120"/>
        <w:jc w:val="both"/>
        <w:rPr>
          <w:sz w:val="20"/>
          <w:szCs w:val="20"/>
          <w:lang w:val="en-GB"/>
        </w:rPr>
      </w:pPr>
      <w:bookmarkStart w:id="4" w:name="_GoBack"/>
      <w:bookmarkEnd w:id="4"/>
    </w:p>
    <w:p>
      <w:pPr>
        <w:spacing w:after="120"/>
        <w:jc w:val="both"/>
        <w:rPr>
          <w:rFonts w:ascii="Arial" w:hAnsi="Arial" w:cs="Arial"/>
          <w:sz w:val="28"/>
          <w:szCs w:val="28"/>
        </w:rPr>
      </w:pPr>
      <w:r>
        <w:rPr>
          <w:rFonts w:ascii="Arial" w:hAnsi="Arial" w:cs="Arial"/>
          <w:sz w:val="28"/>
          <w:szCs w:val="28"/>
        </w:rPr>
        <w:t>Contact List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2966"/>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Pr>
                <w:rFonts w:eastAsia="等线"/>
                <w:b/>
                <w:bCs/>
                <w:sz w:val="22"/>
                <w:lang w:eastAsia="zh-CN"/>
              </w:rPr>
              <w:t>Name</w:t>
            </w:r>
          </w:p>
        </w:tc>
        <w:tc>
          <w:tcPr>
            <w:tcW w:w="2966" w:type="dxa"/>
          </w:tcPr>
          <w:p>
            <w:pPr>
              <w:overflowPunct w:val="0"/>
              <w:autoSpaceDE w:val="0"/>
              <w:autoSpaceDN w:val="0"/>
              <w:adjustRightInd w:val="0"/>
              <w:spacing w:after="120" w:line="300" w:lineRule="auto"/>
              <w:jc w:val="both"/>
              <w:textAlignment w:val="baseline"/>
              <w:rPr>
                <w:rFonts w:eastAsia="等线"/>
                <w:b/>
                <w:bCs/>
                <w:sz w:val="22"/>
                <w:lang w:eastAsia="zh-CN"/>
              </w:rPr>
            </w:pPr>
            <w:r>
              <w:rPr>
                <w:rFonts w:eastAsia="等线"/>
                <w:b/>
                <w:bCs/>
                <w:sz w:val="22"/>
                <w:lang w:eastAsia="zh-CN"/>
              </w:rPr>
              <w:t>Company</w:t>
            </w:r>
          </w:p>
        </w:tc>
        <w:tc>
          <w:tcPr>
            <w:tcW w:w="3150" w:type="dxa"/>
          </w:tcPr>
          <w:p>
            <w:pPr>
              <w:overflowPunct w:val="0"/>
              <w:autoSpaceDE w:val="0"/>
              <w:autoSpaceDN w:val="0"/>
              <w:adjustRightInd w:val="0"/>
              <w:spacing w:after="120" w:line="300" w:lineRule="auto"/>
              <w:jc w:val="both"/>
              <w:textAlignment w:val="baseline"/>
              <w:rPr>
                <w:rFonts w:eastAsia="等线"/>
                <w:b/>
                <w:bCs/>
                <w:sz w:val="22"/>
                <w:lang w:val="sv-SE" w:eastAsia="zh-CN"/>
              </w:rPr>
            </w:pPr>
            <w:r>
              <w:rPr>
                <w:rFonts w:eastAsia="等线"/>
                <w:b/>
                <w:bCs/>
                <w:sz w:val="22"/>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Sasha Sirotkin</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inghao Guo</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Huawei, HiSilicon</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X</w:t>
            </w:r>
            <w:r>
              <w:rPr>
                <w:rFonts w:eastAsia="等线"/>
                <w:sz w:val="22"/>
                <w:lang w:eastAsia="zh-CN"/>
              </w:rPr>
              <w:t>iang P</w:t>
            </w:r>
            <w:r>
              <w:rPr>
                <w:rFonts w:hint="eastAsia" w:eastAsia="等线"/>
                <w:sz w:val="22"/>
                <w:lang w:eastAsia="zh-CN"/>
              </w:rPr>
              <w:t>an</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v</w:t>
            </w:r>
            <w:r>
              <w:rPr>
                <w:rFonts w:eastAsia="等线"/>
                <w:sz w:val="22"/>
                <w:lang w:eastAsia="zh-CN"/>
              </w:rPr>
              <w:t>ivo</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p</w:t>
            </w:r>
            <w:r>
              <w:rPr>
                <w:rFonts w:eastAsia="等线"/>
                <w:sz w:val="22"/>
                <w:lang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Yu Pan</w:t>
            </w:r>
          </w:p>
        </w:tc>
        <w:tc>
          <w:tcPr>
            <w:tcW w:w="2966"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ZTE</w:t>
            </w:r>
          </w:p>
        </w:tc>
        <w:tc>
          <w:tcPr>
            <w:tcW w:w="3150"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pPr>
              <w:overflowPunct w:val="0"/>
              <w:autoSpaceDE w:val="0"/>
              <w:autoSpaceDN w:val="0"/>
              <w:adjustRightInd w:val="0"/>
              <w:spacing w:after="120" w:line="300" w:lineRule="auto"/>
              <w:jc w:val="both"/>
              <w:textAlignment w:val="baseline"/>
              <w:rPr>
                <w:rFonts w:eastAsia="宋体"/>
                <w:sz w:val="22"/>
                <w:lang w:eastAsia="zh-CN"/>
              </w:rPr>
            </w:pPr>
          </w:p>
        </w:tc>
        <w:tc>
          <w:tcPr>
            <w:tcW w:w="3150" w:type="dxa"/>
          </w:tcPr>
          <w:p>
            <w:pPr>
              <w:overflowPunct w:val="0"/>
              <w:autoSpaceDE w:val="0"/>
              <w:autoSpaceDN w:val="0"/>
              <w:adjustRightInd w:val="0"/>
              <w:spacing w:after="120" w:line="300" w:lineRule="auto"/>
              <w:jc w:val="both"/>
              <w:textAlignment w:val="baseline"/>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44" w:type="dxa"/>
          </w:tcPr>
          <w:p>
            <w:pPr>
              <w:spacing w:line="300" w:lineRule="auto"/>
              <w:jc w:val="both"/>
              <w:rPr>
                <w:rFonts w:eastAsia="宋体"/>
                <w:sz w:val="22"/>
                <w:szCs w:val="22"/>
                <w:lang w:eastAsia="zh-CN"/>
              </w:rPr>
            </w:pPr>
          </w:p>
        </w:tc>
        <w:tc>
          <w:tcPr>
            <w:tcW w:w="2966" w:type="dxa"/>
          </w:tcPr>
          <w:p>
            <w:pPr>
              <w:spacing w:line="300" w:lineRule="auto"/>
              <w:jc w:val="both"/>
              <w:rPr>
                <w:rFonts w:eastAsia="宋体"/>
                <w:sz w:val="22"/>
                <w:szCs w:val="22"/>
                <w:lang w:eastAsia="zh-CN"/>
              </w:rPr>
            </w:pPr>
          </w:p>
        </w:tc>
        <w:tc>
          <w:tcPr>
            <w:tcW w:w="3150" w:type="dxa"/>
          </w:tcPr>
          <w:p>
            <w:pPr>
              <w:spacing w:line="300" w:lineRule="auto"/>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44" w:type="dxa"/>
          </w:tcPr>
          <w:p>
            <w:pPr>
              <w:spacing w:line="300" w:lineRule="auto"/>
              <w:jc w:val="both"/>
              <w:rPr>
                <w:rFonts w:eastAsia="宋体"/>
                <w:sz w:val="22"/>
                <w:szCs w:val="22"/>
                <w:lang w:eastAsia="zh-CN"/>
              </w:rPr>
            </w:pPr>
          </w:p>
        </w:tc>
        <w:tc>
          <w:tcPr>
            <w:tcW w:w="2966" w:type="dxa"/>
          </w:tcPr>
          <w:p>
            <w:pPr>
              <w:spacing w:line="300" w:lineRule="auto"/>
              <w:jc w:val="both"/>
              <w:rPr>
                <w:rFonts w:eastAsia="宋体"/>
                <w:sz w:val="22"/>
                <w:szCs w:val="22"/>
                <w:lang w:eastAsia="zh-CN"/>
              </w:rPr>
            </w:pPr>
          </w:p>
        </w:tc>
        <w:tc>
          <w:tcPr>
            <w:tcW w:w="3150" w:type="dxa"/>
          </w:tcPr>
          <w:p>
            <w:pPr>
              <w:spacing w:line="300" w:lineRule="auto"/>
              <w:jc w:val="both"/>
              <w:rPr>
                <w:rFonts w:eastAsia="宋体"/>
                <w:sz w:val="22"/>
                <w:szCs w:val="22"/>
                <w:lang w:eastAsia="zh-CN"/>
              </w:rPr>
            </w:pPr>
          </w:p>
        </w:tc>
      </w:tr>
      <w:bookmarkEnd w:id="2"/>
    </w:tbl>
    <w:p>
      <w:pPr>
        <w:spacing w:after="120"/>
        <w:jc w:val="both"/>
        <w:rPr>
          <w:rFonts w:ascii="Arial" w:hAnsi="Arial" w:cs="Arial"/>
          <w:lang w:val="en-GB"/>
        </w:rPr>
        <w:sectPr>
          <w:type w:val="continuous"/>
          <w:pgSz w:w="12240" w:h="15840"/>
          <w:pgMar w:top="1440" w:right="1440" w:bottom="1440" w:left="1440" w:header="720" w:footer="720" w:gutter="0"/>
          <w:cols w:space="720" w:num="1"/>
          <w:docGrid w:linePitch="360" w:charSpace="0"/>
        </w:sectPr>
      </w:pPr>
    </w:p>
    <w:p>
      <w:pPr>
        <w:spacing w:after="120"/>
        <w:jc w:val="both"/>
        <w:rPr>
          <w:rFonts w:ascii="Arial" w:hAnsi="Arial" w:cs="Arial"/>
          <w:lang w:val="en-GB"/>
        </w:rPr>
      </w:pPr>
    </w:p>
    <w:p>
      <w:pPr>
        <w:pStyle w:val="3"/>
        <w:rPr>
          <w:rFonts w:cs="Arial"/>
        </w:rPr>
      </w:pPr>
      <w:r>
        <w:rPr>
          <w:rFonts w:cs="Arial"/>
        </w:rPr>
        <w:t>Phase 1 Discussion</w:t>
      </w:r>
    </w:p>
    <w:p>
      <w:pPr>
        <w:jc w:val="both"/>
        <w:rPr>
          <w:sz w:val="20"/>
          <w:szCs w:val="20"/>
        </w:rPr>
      </w:pPr>
      <w:r>
        <w:rPr>
          <w:sz w:val="20"/>
          <w:szCs w:val="20"/>
        </w:rPr>
        <w:t>There were several contributions to the last RAN2 meeting discussing the need and details of SLPP forwarding. The table below seeks to capture the proposals put forth by different companies, in order to facilitate the discussion.</w:t>
      </w:r>
    </w:p>
    <w:p>
      <w:pPr>
        <w:jc w:val="both"/>
        <w:rPr>
          <w:sz w:val="20"/>
          <w:szCs w:val="20"/>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shd w:val="clear" w:color="auto" w:fill="4472C4" w:themeFill="accent1"/>
          </w:tcPr>
          <w:p>
            <w:pPr>
              <w:jc w:val="both"/>
              <w:rPr>
                <w:b/>
                <w:bCs/>
              </w:rPr>
            </w:pPr>
            <w:r>
              <w:rPr>
                <w:b/>
                <w:bCs/>
              </w:rPr>
              <w:t>Company/Contribution</w:t>
            </w:r>
          </w:p>
        </w:tc>
        <w:tc>
          <w:tcPr>
            <w:tcW w:w="17233" w:type="dxa"/>
            <w:shd w:val="clear" w:color="auto" w:fill="4472C4" w:themeFill="accent1"/>
          </w:tcPr>
          <w:p>
            <w:pPr>
              <w:jc w:val="both"/>
              <w:rPr>
                <w:b/>
                <w:bCs/>
              </w:rPr>
            </w:pPr>
            <w:r>
              <w:rPr>
                <w:b/>
                <w:bC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jc w:val="both"/>
              <w:rPr>
                <w:sz w:val="20"/>
                <w:szCs w:val="20"/>
              </w:rPr>
            </w:pPr>
            <w:r>
              <w:rPr>
                <w:sz w:val="20"/>
                <w:szCs w:val="20"/>
              </w:rPr>
              <w:t>Vivo (R2-2309668)</w:t>
            </w:r>
          </w:p>
        </w:tc>
        <w:tc>
          <w:tcPr>
            <w:tcW w:w="17233" w:type="dxa"/>
          </w:tcPr>
          <w:p>
            <w:pPr>
              <w:spacing w:before="120" w:beforeLines="50" w:after="120" w:line="260" w:lineRule="exact"/>
              <w:jc w:val="both"/>
              <w:rPr>
                <w:rFonts w:ascii="Arial" w:hAnsi="Arial" w:eastAsia="宋体" w:cs="Arial"/>
                <w:bCs/>
                <w:sz w:val="18"/>
                <w:szCs w:val="20"/>
                <w:lang w:val="en-GB" w:eastAsia="zh-CN"/>
              </w:rPr>
            </w:pPr>
            <w:r>
              <w:rPr>
                <w:rFonts w:ascii="Arial" w:hAnsi="Arial" w:eastAsia="宋体" w:cs="Arial"/>
                <w:b/>
                <w:sz w:val="18"/>
                <w:szCs w:val="20"/>
                <w:lang w:val="en-GB" w:eastAsia="zh-CN"/>
              </w:rPr>
              <w:t>Observation 1:</w:t>
            </w:r>
            <w:r>
              <w:rPr>
                <w:rFonts w:ascii="Arial" w:hAnsi="Arial" w:eastAsia="宋体"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w:t>
            </w:r>
            <w:r>
              <w:rPr>
                <w:rFonts w:hint="eastAsia" w:ascii="Arial" w:hAnsi="Arial" w:eastAsia="宋体" w:cs="Arial"/>
                <w:bCs/>
                <w:sz w:val="18"/>
                <w:szCs w:val="20"/>
                <w:lang w:val="en-GB" w:eastAsia="zh-CN"/>
              </w:rPr>
              <w:t>t</w:t>
            </w:r>
            <w:r>
              <w:rPr>
                <w:rFonts w:ascii="Arial" w:hAnsi="Arial" w:eastAsia="宋体" w:cs="Arial"/>
                <w:bCs/>
                <w:sz w:val="18"/>
                <w:szCs w:val="20"/>
                <w:lang w:val="en-GB" w:eastAsia="zh-CN"/>
              </w:rPr>
              <w:t>o be supported.</w:t>
            </w:r>
          </w:p>
          <w:p>
            <w:pPr>
              <w:spacing w:after="180"/>
              <w:jc w:val="both"/>
              <w:rPr>
                <w:rFonts w:ascii="Arial" w:hAnsi="Arial" w:eastAsia="宋体" w:cs="Arial"/>
                <w:bCs/>
                <w:sz w:val="18"/>
                <w:szCs w:val="20"/>
                <w:lang w:eastAsia="zh-CN"/>
              </w:rPr>
            </w:pPr>
            <w:r>
              <w:rPr>
                <w:rFonts w:ascii="Arial" w:hAnsi="Arial" w:eastAsia="宋体" w:cs="Arial"/>
                <w:b/>
                <w:sz w:val="18"/>
                <w:szCs w:val="20"/>
                <w:lang w:eastAsia="zh-CN"/>
              </w:rPr>
              <w:t>Proposal 2:</w:t>
            </w:r>
            <w:r>
              <w:rPr>
                <w:rFonts w:ascii="Arial" w:hAnsi="Arial" w:eastAsia="宋体" w:cs="Arial"/>
                <w:bCs/>
                <w:sz w:val="18"/>
                <w:szCs w:val="20"/>
                <w:lang w:eastAsia="zh-CN"/>
              </w:rPr>
              <w:t xml:space="preserve"> For UE-only Operation, RAN2 to discuss whether the selected anchor UEs must be in the coverage of both target UE and server UE, or just be in the coverage of target UE.</w:t>
            </w:r>
          </w:p>
          <w:p>
            <w:pPr>
              <w:spacing w:after="180"/>
              <w:jc w:val="both"/>
              <w:rPr>
                <w:rFonts w:ascii="Arial" w:hAnsi="Arial" w:eastAsia="宋体" w:cs="Arial"/>
                <w:bCs/>
                <w:sz w:val="18"/>
                <w:szCs w:val="20"/>
                <w:lang w:eastAsia="zh-CN"/>
              </w:rPr>
            </w:pPr>
            <w:r>
              <w:rPr>
                <w:rFonts w:ascii="Arial" w:hAnsi="Arial" w:eastAsia="宋体" w:cs="Arial"/>
                <w:b/>
                <w:sz w:val="18"/>
                <w:szCs w:val="20"/>
                <w:lang w:eastAsia="zh-CN"/>
              </w:rPr>
              <w:t>Proposal 3:</w:t>
            </w:r>
            <w:r>
              <w:rPr>
                <w:rFonts w:ascii="Arial" w:hAnsi="Arial" w:eastAsia="宋体"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pPr>
              <w:jc w:val="both"/>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jc w:val="both"/>
              <w:rPr>
                <w:sz w:val="20"/>
                <w:szCs w:val="20"/>
              </w:rPr>
            </w:pPr>
            <w:r>
              <w:rPr>
                <w:sz w:val="20"/>
                <w:szCs w:val="20"/>
              </w:rPr>
              <w:t>MediaTek (R2-2310195)</w:t>
            </w:r>
          </w:p>
        </w:tc>
        <w:tc>
          <w:tcPr>
            <w:tcW w:w="17233" w:type="dxa"/>
          </w:tcPr>
          <w:p>
            <w:pPr>
              <w:jc w:val="both"/>
              <w:rPr>
                <w:sz w:val="20"/>
                <w:szCs w:val="20"/>
                <w:lang w:val="en-GB"/>
              </w:rPr>
            </w:pPr>
            <w:r>
              <w:rPr>
                <w:b/>
                <w:bCs/>
                <w:sz w:val="20"/>
                <w:szCs w:val="20"/>
                <w:lang w:val="en-GB"/>
              </w:rPr>
              <w:t>Proposal 1:</w:t>
            </w:r>
            <w:r>
              <w:rPr>
                <w:sz w:val="20"/>
                <w:szCs w:val="20"/>
                <w:lang w:val="en-GB"/>
              </w:rPr>
              <w:t xml:space="preserve"> The target UE is required to support transfer of SLPP information between the server (UE or LMF) and an anchor UE.  FFS if anchor UEs have the same requirement.</w:t>
            </w:r>
          </w:p>
          <w:p>
            <w:pPr>
              <w:jc w:val="both"/>
              <w:rPr>
                <w:sz w:val="20"/>
                <w:szCs w:val="20"/>
                <w:lang w:val="en-GB"/>
              </w:rPr>
            </w:pPr>
            <w:r>
              <w:rPr>
                <w:b/>
                <w:bCs/>
                <w:sz w:val="20"/>
                <w:szCs w:val="20"/>
                <w:lang w:val="en-GB"/>
              </w:rPr>
              <w:t>Proposal 2:</w:t>
            </w:r>
            <w:r>
              <w:rPr>
                <w:sz w:val="20"/>
                <w:szCs w:val="20"/>
                <w:lang w:val="en-GB"/>
              </w:rPr>
              <w:t xml:space="preserve"> The Request Capabilities and Provide Capabilities messages can be forwarded.</w:t>
            </w:r>
          </w:p>
          <w:p>
            <w:pPr>
              <w:jc w:val="both"/>
              <w:rPr>
                <w:sz w:val="20"/>
                <w:szCs w:val="20"/>
                <w:lang w:val="en-GB"/>
              </w:rPr>
            </w:pPr>
            <w:r>
              <w:rPr>
                <w:b/>
                <w:bCs/>
                <w:sz w:val="20"/>
                <w:szCs w:val="20"/>
                <w:lang w:val="en-GB"/>
              </w:rPr>
              <w:t>Proposal 3:</w:t>
            </w:r>
            <w:r>
              <w:rPr>
                <w:sz w:val="20"/>
                <w:szCs w:val="20"/>
                <w:lang w:val="en-GB"/>
              </w:rPr>
              <w:t xml:space="preserve"> If assistance data model 1 is supported, the Request Assistance Data and Provide Assistance Data messages can be forwarded.</w:t>
            </w:r>
          </w:p>
          <w:p>
            <w:pPr>
              <w:jc w:val="both"/>
              <w:rPr>
                <w:sz w:val="20"/>
                <w:szCs w:val="20"/>
                <w:lang w:val="en-GB"/>
              </w:rPr>
            </w:pPr>
            <w:r>
              <w:rPr>
                <w:b/>
                <w:bCs/>
                <w:sz w:val="20"/>
                <w:szCs w:val="20"/>
                <w:lang w:val="en-GB"/>
              </w:rPr>
              <w:t>Proposal 4:</w:t>
            </w:r>
            <w:r>
              <w:rPr>
                <w:sz w:val="20"/>
                <w:szCs w:val="20"/>
                <w:lang w:val="en-GB"/>
              </w:rPr>
              <w:t xml:space="preserve"> RAN2 further discusses whether assistance data model 2 is supported, and if so, whether the Provide Assistance Data message can be forwarded.</w:t>
            </w:r>
          </w:p>
          <w:p>
            <w:pPr>
              <w:jc w:val="both"/>
              <w:rPr>
                <w:sz w:val="20"/>
                <w:szCs w:val="20"/>
                <w:lang w:val="en-GB"/>
              </w:rPr>
            </w:pPr>
            <w:r>
              <w:rPr>
                <w:b/>
                <w:bCs/>
                <w:sz w:val="20"/>
                <w:szCs w:val="20"/>
                <w:lang w:val="en-GB"/>
              </w:rPr>
              <w:t>Proposal 5:</w:t>
            </w:r>
            <w:r>
              <w:rPr>
                <w:sz w:val="20"/>
                <w:szCs w:val="20"/>
                <w:lang w:val="en-GB"/>
              </w:rPr>
              <w:t xml:space="preserve"> The Request Location Information and Provide Location Information messages can be forwarded.</w:t>
            </w:r>
          </w:p>
          <w:p>
            <w:pPr>
              <w:jc w:val="both"/>
              <w:rPr>
                <w:sz w:val="20"/>
                <w:szCs w:val="20"/>
                <w:lang w:val="en-GB"/>
              </w:rPr>
            </w:pPr>
            <w:r>
              <w:rPr>
                <w:b/>
                <w:bCs/>
                <w:sz w:val="20"/>
                <w:szCs w:val="20"/>
                <w:lang w:val="en-GB"/>
              </w:rPr>
              <w:t>Proposal 6:</w:t>
            </w:r>
            <w:r>
              <w:rPr>
                <w:sz w:val="20"/>
                <w:szCs w:val="20"/>
                <w:lang w:val="en-GB"/>
              </w:rPr>
              <w:t xml:space="preserve"> The Server UE Selection Indication and Server UE Selection Confirm messages cannot be forwarded.</w:t>
            </w:r>
          </w:p>
          <w:p>
            <w:pPr>
              <w:jc w:val="both"/>
              <w:rPr>
                <w:sz w:val="20"/>
                <w:szCs w:val="20"/>
                <w:lang w:val="en-GB"/>
              </w:rPr>
            </w:pPr>
            <w:r>
              <w:rPr>
                <w:b/>
                <w:bCs/>
                <w:sz w:val="20"/>
                <w:szCs w:val="20"/>
                <w:lang w:val="en-GB"/>
              </w:rPr>
              <w:t>Proposal 7:</w:t>
            </w:r>
            <w:r>
              <w:rPr>
                <w:sz w:val="20"/>
                <w:szCs w:val="20"/>
                <w:lang w:val="en-GB"/>
              </w:rPr>
              <w:t xml:space="preserve"> The Error message can be forwarded.</w:t>
            </w:r>
          </w:p>
          <w:p>
            <w:pPr>
              <w:jc w:val="both"/>
              <w:rPr>
                <w:sz w:val="20"/>
                <w:szCs w:val="20"/>
                <w:lang w:val="en-GB"/>
              </w:rPr>
            </w:pPr>
            <w:r>
              <w:rPr>
                <w:b/>
                <w:bCs/>
                <w:sz w:val="20"/>
                <w:szCs w:val="20"/>
                <w:lang w:val="en-GB"/>
              </w:rPr>
              <w:t>Proposal 8:</w:t>
            </w:r>
            <w:r>
              <w:rPr>
                <w:sz w:val="20"/>
                <w:szCs w:val="20"/>
                <w:lang w:val="en-GB"/>
              </w:rPr>
              <w:t xml:space="preserve"> RAN2 further discusses whether the Abort message can be forwarded.</w:t>
            </w:r>
          </w:p>
          <w:p>
            <w:pPr>
              <w:jc w:val="both"/>
              <w:rPr>
                <w:sz w:val="20"/>
                <w:szCs w:val="20"/>
                <w:lang w:val="en-GB"/>
              </w:rPr>
            </w:pPr>
            <w:r>
              <w:rPr>
                <w:b/>
                <w:bCs/>
                <w:sz w:val="20"/>
                <w:szCs w:val="20"/>
                <w:lang w:val="en-GB"/>
              </w:rPr>
              <w:t>Proposal 9:</w:t>
            </w:r>
            <w:r>
              <w:rPr>
                <w:sz w:val="20"/>
                <w:szCs w:val="20"/>
                <w:lang w:val="en-GB"/>
              </w:rPr>
              <w:t xml:space="preserve"> For SLPP messages that can be forwarded, the “-IEs” structure for each message contains a list of entries with forwarding information provided for each entry.</w:t>
            </w:r>
          </w:p>
          <w:p>
            <w:pPr>
              <w:jc w:val="both"/>
              <w:rPr>
                <w:sz w:val="20"/>
                <w:szCs w:val="20"/>
                <w:lang w:val="en-GB"/>
              </w:rPr>
            </w:pPr>
            <w:r>
              <w:rPr>
                <w:b/>
                <w:bCs/>
                <w:sz w:val="20"/>
                <w:szCs w:val="20"/>
                <w:lang w:val="en-GB"/>
              </w:rPr>
              <w:t>Proposal 10:</w:t>
            </w:r>
            <w:r>
              <w:rPr>
                <w:sz w:val="20"/>
                <w:szCs w:val="20"/>
                <w:lang w:val="en-GB"/>
              </w:rPr>
              <w:t xml:space="preserve"> RAN2 further discusses how to identify the source and destination of a forwarded SLPP message.</w:t>
            </w:r>
          </w:p>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jc w:val="both"/>
              <w:rPr>
                <w:sz w:val="20"/>
                <w:szCs w:val="20"/>
              </w:rPr>
            </w:pPr>
            <w:r>
              <w:rPr>
                <w:sz w:val="20"/>
                <w:szCs w:val="20"/>
              </w:rPr>
              <w:t>Intel (R2-2310217)</w:t>
            </w:r>
          </w:p>
        </w:tc>
        <w:tc>
          <w:tcPr>
            <w:tcW w:w="17233" w:type="dxa"/>
          </w:tcPr>
          <w:p>
            <w:pPr>
              <w:jc w:val="both"/>
              <w:rPr>
                <w:sz w:val="20"/>
                <w:szCs w:val="20"/>
                <w:lang w:val="en-GB"/>
              </w:rPr>
            </w:pPr>
            <w:r>
              <w:rPr>
                <w:b/>
                <w:bCs/>
                <w:sz w:val="20"/>
                <w:szCs w:val="20"/>
                <w:lang w:val="en-GB"/>
              </w:rPr>
              <w:t>Observation 1:</w:t>
            </w:r>
            <w:r>
              <w:rPr>
                <w:sz w:val="20"/>
                <w:szCs w:val="20"/>
                <w:lang w:val="en-GB"/>
              </w:rPr>
              <w:t xml:space="preserve"> Based on updated RAN plenary guidance, the scenario when some of the involved UEs are not in the coverage of the same LMF is no longer valid.</w:t>
            </w:r>
          </w:p>
          <w:p>
            <w:pPr>
              <w:jc w:val="both"/>
              <w:rPr>
                <w:sz w:val="20"/>
                <w:szCs w:val="20"/>
                <w:lang w:val="en-GB"/>
              </w:rPr>
            </w:pPr>
            <w:r>
              <w:rPr>
                <w:b/>
                <w:bCs/>
                <w:sz w:val="20"/>
                <w:szCs w:val="20"/>
                <w:lang w:val="en-GB"/>
              </w:rPr>
              <w:t>Proposal 9:</w:t>
            </w:r>
            <w:r>
              <w:rPr>
                <w:sz w:val="20"/>
                <w:szCs w:val="20"/>
                <w:lang w:val="en-GB"/>
              </w:rPr>
              <w:t xml:space="preserve"> For both LMF involved and UE only based SL positioning operation, RAN2 discuss and agree that SLPP forwarding is not needed.</w:t>
            </w:r>
          </w:p>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jc w:val="both"/>
              <w:rPr>
                <w:sz w:val="20"/>
                <w:szCs w:val="20"/>
              </w:rPr>
            </w:pPr>
            <w:r>
              <w:rPr>
                <w:sz w:val="20"/>
                <w:szCs w:val="20"/>
              </w:rPr>
              <w:t>CEWiT (R2-2309741)</w:t>
            </w:r>
          </w:p>
        </w:tc>
        <w:tc>
          <w:tcPr>
            <w:tcW w:w="17233" w:type="dxa"/>
          </w:tcPr>
          <w:p>
            <w:pPr>
              <w:jc w:val="both"/>
              <w:rPr>
                <w:sz w:val="20"/>
                <w:szCs w:val="20"/>
                <w:lang w:val="en-IN"/>
              </w:rPr>
            </w:pPr>
            <w:r>
              <w:rPr>
                <w:b/>
                <w:bCs/>
                <w:sz w:val="20"/>
                <w:szCs w:val="20"/>
                <w:lang w:val="en-IN"/>
              </w:rPr>
              <w:t>Proposal 8:</w:t>
            </w:r>
            <w:r>
              <w:rPr>
                <w:sz w:val="20"/>
                <w:szCs w:val="20"/>
                <w:lang w:val="en-IN"/>
              </w:rPr>
              <w:t xml:space="preserve"> For in-coverage scenarios, SLPP forwarding is not required if LMF communicates with each UE. SLPP forwarding shall be used only when LMF communicates to other UEs via the target UE.</w:t>
            </w:r>
          </w:p>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jc w:val="both"/>
              <w:rPr>
                <w:sz w:val="20"/>
                <w:szCs w:val="20"/>
              </w:rPr>
            </w:pPr>
            <w:r>
              <w:rPr>
                <w:sz w:val="20"/>
                <w:szCs w:val="20"/>
              </w:rPr>
              <w:t>LG (R2-2310429)</w:t>
            </w:r>
          </w:p>
        </w:tc>
        <w:tc>
          <w:tcPr>
            <w:tcW w:w="17233" w:type="dxa"/>
          </w:tcPr>
          <w:p>
            <w:pPr>
              <w:jc w:val="both"/>
              <w:rPr>
                <w:bCs/>
                <w:sz w:val="20"/>
                <w:szCs w:val="20"/>
                <w:lang w:val="en"/>
              </w:rPr>
            </w:pPr>
            <w:r>
              <w:rPr>
                <w:b/>
                <w:sz w:val="20"/>
                <w:szCs w:val="20"/>
                <w:lang w:val="en"/>
              </w:rPr>
              <w:t>Proposal 1.</w:t>
            </w:r>
            <w:r>
              <w:rPr>
                <w:b/>
                <w:sz w:val="20"/>
                <w:szCs w:val="20"/>
                <w:lang w:val="en"/>
              </w:rPr>
              <w:tab/>
            </w:r>
            <w:r>
              <w:rPr>
                <w:bCs/>
                <w:sz w:val="20"/>
                <w:szCs w:val="20"/>
                <w:lang w:val="en"/>
              </w:rPr>
              <w:t>RAN2 to deprioritize following features for R18 sidelink positioning:</w:t>
            </w:r>
          </w:p>
          <w:p>
            <w:pPr>
              <w:numPr>
                <w:ilvl w:val="0"/>
                <w:numId w:val="18"/>
              </w:numPr>
              <w:jc w:val="both"/>
              <w:rPr>
                <w:bCs/>
                <w:sz w:val="20"/>
                <w:szCs w:val="20"/>
                <w:lang w:val="en"/>
              </w:rPr>
            </w:pPr>
            <w:r>
              <w:rPr>
                <w:bCs/>
                <w:sz w:val="20"/>
                <w:szCs w:val="20"/>
                <w:lang w:val="en"/>
              </w:rPr>
              <w:t>SLPP groupcast/broadcast communication (i.e. SLPP unicast is only supported in R18)</w:t>
            </w:r>
          </w:p>
          <w:p>
            <w:pPr>
              <w:numPr>
                <w:ilvl w:val="0"/>
                <w:numId w:val="18"/>
              </w:numPr>
              <w:jc w:val="both"/>
              <w:rPr>
                <w:bCs/>
                <w:sz w:val="20"/>
                <w:szCs w:val="20"/>
                <w:lang w:val="en"/>
              </w:rPr>
            </w:pPr>
            <w:r>
              <w:rPr>
                <w:bCs/>
                <w:sz w:val="20"/>
                <w:szCs w:val="20"/>
                <w:lang w:val="en"/>
              </w:rPr>
              <w:t>SLPP groupcast reliable transport (i.e. SLPP unicast reliable transport is only supported in R18)</w:t>
            </w:r>
          </w:p>
          <w:p>
            <w:pPr>
              <w:numPr>
                <w:ilvl w:val="0"/>
                <w:numId w:val="18"/>
              </w:numPr>
              <w:jc w:val="both"/>
              <w:rPr>
                <w:bCs/>
                <w:sz w:val="20"/>
                <w:szCs w:val="20"/>
                <w:lang w:val="en"/>
              </w:rPr>
            </w:pPr>
            <w:r>
              <w:rPr>
                <w:bCs/>
                <w:sz w:val="20"/>
                <w:szCs w:val="20"/>
                <w:lang w:val="en"/>
              </w:rPr>
              <w:t>Multiple target UE and group positioning scenario (i.e. Single target UE scenario is only supported in R18)</w:t>
            </w:r>
          </w:p>
          <w:p>
            <w:pPr>
              <w:numPr>
                <w:ilvl w:val="0"/>
                <w:numId w:val="18"/>
              </w:numPr>
              <w:jc w:val="both"/>
              <w:rPr>
                <w:bCs/>
                <w:sz w:val="20"/>
                <w:szCs w:val="20"/>
                <w:lang w:val="en"/>
              </w:rPr>
            </w:pPr>
            <w:r>
              <w:rPr>
                <w:bCs/>
                <w:sz w:val="20"/>
                <w:szCs w:val="20"/>
                <w:lang w:val="en"/>
              </w:rPr>
              <w:t>Partial coverage scenario (i.e. SLPP groupcast is not supported in R18)</w:t>
            </w:r>
          </w:p>
          <w:p>
            <w:pPr>
              <w:numPr>
                <w:ilvl w:val="0"/>
                <w:numId w:val="18"/>
              </w:numPr>
              <w:jc w:val="both"/>
              <w:rPr>
                <w:bCs/>
                <w:sz w:val="20"/>
                <w:szCs w:val="20"/>
                <w:lang w:val="en"/>
              </w:rPr>
            </w:pPr>
            <w:r>
              <w:rPr>
                <w:bCs/>
                <w:sz w:val="20"/>
                <w:szCs w:val="20"/>
                <w:lang w:val="en"/>
              </w:rPr>
              <w:t>SLPP forwarding for OOC UE in partial coverage scenario (i.e. LMF is involved in in coverage scenario only in R18)</w:t>
            </w:r>
          </w:p>
          <w:p>
            <w:pPr>
              <w:numPr>
                <w:ilvl w:val="0"/>
                <w:numId w:val="18"/>
              </w:numPr>
              <w:jc w:val="both"/>
              <w:rPr>
                <w:bCs/>
                <w:sz w:val="20"/>
                <w:szCs w:val="20"/>
                <w:lang w:val="en"/>
              </w:rPr>
            </w:pPr>
            <w:r>
              <w:rPr>
                <w:bCs/>
                <w:sz w:val="20"/>
                <w:szCs w:val="20"/>
                <w:lang w:val="en"/>
              </w:rPr>
              <w:t>SLPP session-less operation (i.e. SLPP broadcast is not supported in R18)</w:t>
            </w:r>
          </w:p>
          <w:p>
            <w:pPr>
              <w:jc w:val="both"/>
              <w:rPr>
                <w:sz w:val="20"/>
                <w:szCs w:val="20"/>
              </w:rPr>
            </w:pPr>
          </w:p>
        </w:tc>
      </w:tr>
    </w:tbl>
    <w:p>
      <w:pPr>
        <w:jc w:val="both"/>
        <w:rPr>
          <w:sz w:val="20"/>
          <w:szCs w:val="20"/>
        </w:rPr>
      </w:pPr>
    </w:p>
    <w:p>
      <w:pPr>
        <w:jc w:val="both"/>
        <w:rPr>
          <w:sz w:val="20"/>
          <w:szCs w:val="20"/>
        </w:rPr>
      </w:pPr>
    </w:p>
    <w:p>
      <w:pPr>
        <w:jc w:val="both"/>
        <w:rPr>
          <w:sz w:val="20"/>
          <w:szCs w:val="20"/>
        </w:rPr>
      </w:pPr>
      <w:r>
        <w:rPr>
          <w:sz w:val="20"/>
          <w:szCs w:val="20"/>
        </w:rPr>
        <w:t>From the above contributions, it is clear that companies have different understanding on whether SLPP forwarding is necessary and the associated scenario(s) where it is essential to support. Given that there was not much discussion on the need and details of SLPP forwarding in the last RAN2 meeting, it would be a good idea to start by collecting company views on the need for SLPP forwarding and the motivation/scenarios where such forwarding would be essential to have. It is also worth mentioning the updated scope for the WI as per RAN plenary guidance, which is bound to have some impact on the necessity of SLPP forwarding:</w:t>
      </w:r>
    </w:p>
    <w:p>
      <w:pPr>
        <w:jc w:val="both"/>
        <w:rPr>
          <w:sz w:val="20"/>
          <w:szCs w:val="20"/>
        </w:rPr>
      </w:pPr>
    </w:p>
    <w:tbl>
      <w:tblPr>
        <w:tblStyle w:val="87"/>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0" w:type="dxa"/>
          </w:tcPr>
          <w:p>
            <w:pPr>
              <w:pStyle w:val="276"/>
              <w:rPr>
                <w:lang w:eastAsia="ko-KR"/>
              </w:rPr>
            </w:pPr>
            <w:r>
              <w:rPr>
                <w:lang w:eastAsia="ko-KR"/>
              </w:rPr>
              <w:t xml:space="preserve">Specify unicast session-based signalling and procedures to facilitate support of SL positioning for single target UE (it is not precluded to apply the procedures to multiple target UEs but no signaling optimizations will be considered for this case) [RAN2, RAN3]: </w:t>
            </w:r>
          </w:p>
          <w:p>
            <w:pPr>
              <w:numPr>
                <w:ilvl w:val="1"/>
                <w:numId w:val="16"/>
              </w:numPr>
              <w:tabs>
                <w:tab w:val="left" w:pos="1440"/>
              </w:tabs>
              <w:spacing w:line="276" w:lineRule="auto"/>
              <w:rPr>
                <w:lang w:eastAsia="ko-KR"/>
              </w:rPr>
            </w:pPr>
            <w:r>
              <w:rPr>
                <w:bCs/>
              </w:rPr>
              <w:t xml:space="preserve">Specify the </w:t>
            </w:r>
            <w:r>
              <w:rPr>
                <w:rFonts w:hint="eastAsia" w:eastAsia="等线"/>
                <w:lang w:eastAsia="zh-CN"/>
              </w:rPr>
              <w:t>p</w:t>
            </w:r>
            <w:r>
              <w:rPr>
                <w:lang w:eastAsia="zh-CN"/>
              </w:rPr>
              <w:t xml:space="preserve">rotocol </w:t>
            </w:r>
            <w:r>
              <w:rPr>
                <w:rFonts w:hint="eastAsia" w:eastAsia="等线"/>
                <w:lang w:eastAsia="zh-CN"/>
              </w:rPr>
              <w:t xml:space="preserve">and procedures </w:t>
            </w:r>
            <w:r>
              <w:rPr>
                <w:lang w:eastAsia="zh-CN"/>
              </w:rPr>
              <w:t>for SL positioning between UEs (Protocol for Sidelink positioning procedures (SLPP))</w:t>
            </w:r>
            <w:r>
              <w:rPr>
                <w:lang w:eastAsia="ko-KR"/>
              </w:rPr>
              <w:t xml:space="preserve">. </w:t>
            </w:r>
          </w:p>
          <w:p>
            <w:pPr>
              <w:numPr>
                <w:ilvl w:val="1"/>
                <w:numId w:val="16"/>
              </w:numPr>
              <w:tabs>
                <w:tab w:val="left" w:pos="1440"/>
              </w:tabs>
              <w:spacing w:line="276" w:lineRule="auto"/>
              <w:rPr>
                <w:highlight w:val="yellow"/>
                <w:lang w:eastAsia="ko-KR"/>
              </w:rPr>
            </w:pPr>
            <w:r>
              <w:rPr>
                <w:bCs/>
                <w:highlight w:val="yellow"/>
              </w:rPr>
              <w:t xml:space="preserve">Specify the </w:t>
            </w:r>
            <w:r>
              <w:rPr>
                <w:rFonts w:eastAsia="等线"/>
                <w:highlight w:val="yellow"/>
                <w:lang w:eastAsia="zh-CN"/>
              </w:rPr>
              <w:t>protocol and procedures for SL positioning between UEs and a single LMF for in coverage scenario only, including joint PC5-Uu scenarios</w:t>
            </w:r>
            <w:r>
              <w:rPr>
                <w:rFonts w:eastAsia="MS Mincho"/>
                <w:highlight w:val="yellow"/>
                <w:lang w:eastAsia="zh-CN"/>
              </w:rPr>
              <w:t xml:space="preserve">. </w:t>
            </w:r>
          </w:p>
          <w:p>
            <w:pPr>
              <w:numPr>
                <w:ilvl w:val="2"/>
                <w:numId w:val="16"/>
              </w:numPr>
              <w:spacing w:line="276" w:lineRule="auto"/>
              <w:rPr>
                <w:highlight w:val="yellow"/>
                <w:lang w:eastAsia="ko-KR"/>
              </w:rPr>
            </w:pPr>
            <w:r>
              <w:rPr>
                <w:highlight w:val="yellow"/>
                <w:lang w:eastAsia="ko-KR"/>
              </w:rPr>
              <w:t>NOTE: Assumes all involved UEs are served by same LMF.</w:t>
            </w:r>
          </w:p>
          <w:p>
            <w:pPr>
              <w:numPr>
                <w:ilvl w:val="1"/>
                <w:numId w:val="16"/>
              </w:numPr>
              <w:tabs>
                <w:tab w:val="left" w:pos="1440"/>
              </w:tabs>
              <w:spacing w:line="276" w:lineRule="auto"/>
              <w:rPr>
                <w:lang w:eastAsia="ko-KR"/>
              </w:rPr>
            </w:pPr>
            <w:r>
              <w:rPr>
                <w:lang w:eastAsia="ko-KR"/>
              </w:rPr>
              <w:t>For SL-TDOA, RAN2 will not work on procedures for synchronization of the anchor UEs. RAN2 can discuss and implement agreed RAN1 parameters related to synchronization.</w:t>
            </w:r>
          </w:p>
          <w:p>
            <w:pPr>
              <w:rPr>
                <w:sz w:val="20"/>
                <w:szCs w:val="20"/>
              </w:rPr>
            </w:pPr>
          </w:p>
        </w:tc>
      </w:tr>
    </w:tbl>
    <w:p>
      <w:pPr>
        <w:jc w:val="both"/>
        <w:rPr>
          <w:sz w:val="20"/>
          <w:szCs w:val="20"/>
        </w:rPr>
      </w:pPr>
    </w:p>
    <w:p>
      <w:pPr>
        <w:jc w:val="both"/>
        <w:rPr>
          <w:sz w:val="20"/>
          <w:szCs w:val="20"/>
        </w:rPr>
      </w:pPr>
    </w:p>
    <w:p>
      <w:pPr>
        <w:jc w:val="both"/>
        <w:rPr>
          <w:sz w:val="20"/>
          <w:szCs w:val="20"/>
        </w:rPr>
      </w:pPr>
      <w:r>
        <w:rPr>
          <w:sz w:val="20"/>
          <w:szCs w:val="20"/>
        </w:rPr>
        <w:t>Based on the above guidance, the rapporteur thinks that (at least for the in-coverage scenario) the key assumption is that all UEs engaged in SL positioning (including joint PC5-Uu positioning) are under coverage of and being served by the same LMF. One can further surmise that the intention of the note is to say that the LMF can communicate with all UEs engaged in SL positioning. However based on last meeting’s contributions, it seems companies have different understanding on this. With this in mind, companies are invited to share their understanding on the following:</w:t>
      </w:r>
    </w:p>
    <w:p>
      <w:pPr>
        <w:jc w:val="both"/>
        <w:rPr>
          <w:sz w:val="20"/>
          <w:szCs w:val="20"/>
        </w:rPr>
      </w:pPr>
    </w:p>
    <w:p>
      <w:pPr>
        <w:spacing w:before="120" w:beforeLines="50"/>
        <w:rPr>
          <w:b/>
          <w:bCs/>
          <w:sz w:val="20"/>
          <w:szCs w:val="20"/>
        </w:rPr>
      </w:pPr>
      <w:r>
        <w:rPr>
          <w:b/>
          <w:bCs/>
          <w:sz w:val="20"/>
          <w:szCs w:val="20"/>
        </w:rPr>
        <w:t>Q1: Do companies agree that for LMF based operation, the target UE should always be able to directly communicate with LMF (i.e. no forwarding is needed to the target UE)?</w:t>
      </w:r>
    </w:p>
    <w:p>
      <w:pPr>
        <w:pStyle w:val="120"/>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Selected Option</w:t>
            </w:r>
          </w:p>
        </w:tc>
        <w:tc>
          <w:tcPr>
            <w:tcW w:w="6205" w:type="dxa"/>
          </w:tcPr>
          <w:p>
            <w:pPr>
              <w:jc w:val="center"/>
              <w:rPr>
                <w:b/>
                <w:bCs/>
                <w:sz w:val="20"/>
                <w:szCs w:val="20"/>
                <w:lang w:val="en-GB"/>
              </w:rPr>
            </w:pPr>
            <w:r>
              <w:rPr>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eastAsia="宋体"/>
                <w:sz w:val="20"/>
                <w:szCs w:val="20"/>
                <w:lang w:val="en-GB" w:eastAsia="zh-CN"/>
              </w:rPr>
              <w:t>Apple</w:t>
            </w:r>
          </w:p>
        </w:tc>
        <w:tc>
          <w:tcPr>
            <w:tcW w:w="1170" w:type="dxa"/>
          </w:tcPr>
          <w:p>
            <w:pPr>
              <w:rPr>
                <w:rFonts w:eastAsia="宋体"/>
                <w:sz w:val="20"/>
                <w:szCs w:val="20"/>
                <w:lang w:val="en-GB" w:eastAsia="zh-CN"/>
              </w:rPr>
            </w:pPr>
            <w:r>
              <w:rPr>
                <w:rFonts w:eastAsia="宋体"/>
                <w:sz w:val="20"/>
                <w:szCs w:val="20"/>
                <w:lang w:val="en-GB" w:eastAsia="zh-CN"/>
              </w:rPr>
              <w:t>Yes</w:t>
            </w:r>
          </w:p>
        </w:tc>
        <w:tc>
          <w:tcPr>
            <w:tcW w:w="6205" w:type="dxa"/>
          </w:tcPr>
          <w:p>
            <w:pPr>
              <w:rPr>
                <w:rFonts w:eastAsia="宋体"/>
                <w:sz w:val="20"/>
                <w:szCs w:val="20"/>
                <w:lang w:val="en-GB" w:eastAsia="zh-CN"/>
              </w:rPr>
            </w:pPr>
            <w:r>
              <w:rPr>
                <w:rFonts w:eastAsia="宋体"/>
                <w:sz w:val="20"/>
                <w:szCs w:val="20"/>
                <w:lang w:val="en-GB" w:eastAsia="zh-CN"/>
              </w:rPr>
              <w:t>Direct connectivity to LMF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Pr>
          <w:p>
            <w:pPr>
              <w:rPr>
                <w:sz w:val="20"/>
                <w:szCs w:val="20"/>
                <w:lang w:val="en-GB"/>
              </w:rPr>
            </w:pPr>
            <w:r>
              <w:rPr>
                <w:rFonts w:eastAsia="宋体"/>
                <w:sz w:val="20"/>
                <w:szCs w:val="20"/>
                <w:lang w:val="en-GB" w:eastAsia="zh-CN"/>
              </w:rPr>
              <w:t>Yes</w:t>
            </w:r>
          </w:p>
        </w:tc>
        <w:tc>
          <w:tcPr>
            <w:tcW w:w="6205" w:type="dxa"/>
          </w:tcPr>
          <w:p>
            <w:pPr>
              <w:rPr>
                <w:sz w:val="20"/>
                <w:szCs w:val="20"/>
                <w:lang w:val="en-GB"/>
              </w:rPr>
            </w:pPr>
            <w:r>
              <w:rPr>
                <w:rFonts w:eastAsia="宋体"/>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is and the paging will fail. In this case, the positioning will fail.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rFonts w:eastAsia="宋体"/>
                <w:sz w:val="20"/>
                <w:szCs w:val="20"/>
                <w:lang w:val="en-GB" w:eastAsia="zh-CN"/>
              </w:rPr>
            </w:pPr>
          </w:p>
        </w:tc>
      </w:tr>
    </w:tbl>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spacing w:before="120" w:beforeLines="50"/>
        <w:rPr>
          <w:b/>
          <w:bCs/>
          <w:sz w:val="20"/>
          <w:szCs w:val="20"/>
        </w:rPr>
      </w:pPr>
      <w:r>
        <w:rPr>
          <w:b/>
          <w:bCs/>
          <w:sz w:val="20"/>
          <w:szCs w:val="20"/>
        </w:rPr>
        <w:t>Q2: Do companies agree that for LMF based operation, the anchor UEs should always be able to directly communicate with the LMF (i.e. no forwarding is needed between LMF and the anchor UEs)?</w:t>
      </w:r>
    </w:p>
    <w:p>
      <w:pPr>
        <w:pStyle w:val="120"/>
        <w:numPr>
          <w:ilvl w:val="0"/>
          <w:numId w:val="20"/>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20"/>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Selected Option</w:t>
            </w:r>
          </w:p>
        </w:tc>
        <w:tc>
          <w:tcPr>
            <w:tcW w:w="6205" w:type="dxa"/>
          </w:tcPr>
          <w:p>
            <w:pPr>
              <w:jc w:val="center"/>
              <w:rPr>
                <w:b/>
                <w:bCs/>
                <w:sz w:val="20"/>
                <w:szCs w:val="20"/>
                <w:lang w:val="en-GB"/>
              </w:rPr>
            </w:pPr>
            <w:r>
              <w:rPr>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eastAsia="宋体"/>
                <w:sz w:val="20"/>
                <w:szCs w:val="20"/>
                <w:lang w:val="en-GB" w:eastAsia="zh-CN"/>
              </w:rPr>
              <w:t>Apple</w:t>
            </w:r>
          </w:p>
        </w:tc>
        <w:tc>
          <w:tcPr>
            <w:tcW w:w="1170" w:type="dxa"/>
          </w:tcPr>
          <w:p>
            <w:pPr>
              <w:rPr>
                <w:rFonts w:eastAsia="宋体"/>
                <w:sz w:val="20"/>
                <w:szCs w:val="20"/>
                <w:lang w:val="en-GB" w:eastAsia="zh-CN"/>
              </w:rPr>
            </w:pPr>
            <w:r>
              <w:rPr>
                <w:rFonts w:eastAsia="宋体"/>
                <w:sz w:val="20"/>
                <w:szCs w:val="20"/>
                <w:lang w:val="en-GB" w:eastAsia="zh-CN"/>
              </w:rPr>
              <w:t>Yes</w:t>
            </w:r>
          </w:p>
        </w:tc>
        <w:tc>
          <w:tcPr>
            <w:tcW w:w="6205" w:type="dxa"/>
          </w:tcPr>
          <w:p>
            <w:pPr>
              <w:rPr>
                <w:rFonts w:eastAsia="宋体"/>
                <w:sz w:val="20"/>
                <w:szCs w:val="20"/>
                <w:lang w:val="en-GB" w:eastAsia="zh-CN"/>
              </w:rPr>
            </w:pPr>
            <w:r>
              <w:rPr>
                <w:rFonts w:eastAsia="宋体"/>
                <w:sz w:val="20"/>
                <w:szCs w:val="20"/>
                <w:lang w:val="en-GB" w:eastAsia="zh-CN"/>
              </w:rPr>
              <w:t>Direct connectivity to LMF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Pr>
          <w:p>
            <w:pPr>
              <w:rPr>
                <w:sz w:val="20"/>
                <w:szCs w:val="20"/>
                <w:lang w:val="en-GB"/>
              </w:rPr>
            </w:pPr>
            <w:r>
              <w:rPr>
                <w:rFonts w:eastAsia="宋体"/>
                <w:sz w:val="20"/>
                <w:szCs w:val="20"/>
                <w:lang w:val="en-GB" w:eastAsia="zh-CN"/>
              </w:rPr>
              <w:t>No</w:t>
            </w:r>
          </w:p>
        </w:tc>
        <w:tc>
          <w:tcPr>
            <w:tcW w:w="6205" w:type="dxa"/>
          </w:tcPr>
          <w:p>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 xml:space="preserve">f forwarding is not supported and anchor UEs should always directly communicate with the LMF, SA2 needs to discuss how </w:t>
            </w:r>
            <w:r>
              <w:rPr>
                <w:rFonts w:eastAsia="宋体"/>
                <w:b/>
                <w:sz w:val="20"/>
                <w:szCs w:val="20"/>
                <w:lang w:val="en-GB" w:eastAsia="zh-CN"/>
              </w:rPr>
              <w:t>LMF</w:t>
            </w:r>
            <w:r>
              <w:rPr>
                <w:rFonts w:eastAsia="宋体"/>
                <w:sz w:val="20"/>
                <w:szCs w:val="20"/>
                <w:lang w:val="en-GB" w:eastAsia="zh-CN"/>
              </w:rPr>
              <w:t xml:space="preserve"> triggers selected anchor UEs </w:t>
            </w:r>
            <w:r>
              <w:rPr>
                <w:rFonts w:eastAsia="宋体"/>
                <w:b/>
                <w:sz w:val="20"/>
                <w:szCs w:val="20"/>
                <w:lang w:val="en-GB" w:eastAsia="zh-CN"/>
              </w:rPr>
              <w:t>in idle/inactive state</w:t>
            </w:r>
            <w:r>
              <w:rPr>
                <w:rFonts w:eastAsia="宋体"/>
                <w:sz w:val="20"/>
                <w:szCs w:val="20"/>
                <w:lang w:val="en-GB" w:eastAsia="zh-CN"/>
              </w:rPr>
              <w:t xml:space="preserve"> to enter to connected state, which is not supported by current SA2 spec.</w:t>
            </w:r>
          </w:p>
          <w:p>
            <w:pPr>
              <w:rPr>
                <w:rFonts w:eastAsia="宋体"/>
                <w:sz w:val="20"/>
                <w:szCs w:val="20"/>
                <w:lang w:val="en-GB" w:eastAsia="zh-CN"/>
              </w:rPr>
            </w:pPr>
            <w:r>
              <w:rPr>
                <w:rFonts w:hint="eastAsia" w:eastAsia="宋体"/>
                <w:sz w:val="20"/>
                <w:szCs w:val="20"/>
                <w:lang w:val="en-GB" w:eastAsia="zh-CN"/>
              </w:rPr>
              <w:t>A</w:t>
            </w:r>
            <w:r>
              <w:rPr>
                <w:rFonts w:eastAsia="宋体"/>
                <w:sz w:val="20"/>
                <w:szCs w:val="20"/>
                <w:lang w:val="en-GB" w:eastAsia="zh-CN"/>
              </w:rPr>
              <w:t>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pPr>
              <w:rPr>
                <w:rFonts w:eastAsia="宋体"/>
                <w:sz w:val="20"/>
                <w:szCs w:val="20"/>
                <w:lang w:val="en-GB" w:eastAsia="zh-CN"/>
              </w:rPr>
            </w:pPr>
          </w:p>
          <w:p>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 xml:space="preserve">f forwarding is supported, LMF can communicate with anchor UEs via target UE. SA2 may not need to discuss the above issues any more. </w:t>
            </w:r>
          </w:p>
          <w:p>
            <w:pPr>
              <w:rPr>
                <w:rFonts w:eastAsia="宋体"/>
                <w:sz w:val="20"/>
                <w:szCs w:val="20"/>
                <w:lang w:val="en-GB" w:eastAsia="zh-CN"/>
              </w:rPr>
            </w:pPr>
            <w:r>
              <w:rPr>
                <w:rFonts w:hint="eastAsia" w:eastAsia="宋体"/>
                <w:sz w:val="20"/>
                <w:szCs w:val="20"/>
                <w:lang w:val="en-GB" w:eastAsia="zh-CN"/>
              </w:rPr>
              <w:t>F</w:t>
            </w:r>
            <w:r>
              <w:rPr>
                <w:rFonts w:eastAsia="宋体"/>
                <w:sz w:val="20"/>
                <w:szCs w:val="20"/>
                <w:lang w:val="en-GB" w:eastAsia="zh-CN"/>
              </w:rPr>
              <w:t xml:space="preserve">orwarding procedure is quite simple, see our TP in R2-2309668. </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rFonts w:eastAsia="宋体"/>
                <w:sz w:val="20"/>
                <w:szCs w:val="20"/>
                <w:lang w:val="en-GB" w:eastAsia="zh-CN"/>
              </w:rPr>
            </w:pPr>
            <w:r>
              <w:rPr>
                <w:rFonts w:eastAsia="宋体"/>
                <w:sz w:val="20"/>
                <w:szCs w:val="20"/>
                <w:lang w:val="en-GB" w:eastAsia="zh-CN"/>
              </w:rPr>
              <w:t>It is clear from the WID that all involved UEs are assumed to be served by the LMF. Regarding vivo’s concern, we think such scenario is rare case. Generally, AMF could cover a large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rFonts w:hint="default" w:eastAsia="宋体"/>
                <w:sz w:val="20"/>
                <w:szCs w:val="20"/>
                <w:lang w:val="en-US" w:eastAsia="zh-CN"/>
              </w:rPr>
            </w:pPr>
            <w:r>
              <w:rPr>
                <w:rFonts w:hint="eastAsia" w:eastAsia="宋体"/>
                <w:sz w:val="20"/>
                <w:szCs w:val="20"/>
                <w:lang w:val="en-US" w:eastAsia="zh-CN"/>
              </w:rPr>
              <w:t>To simplify the procedure in Rel-18, it is ok to let LMF to talk to every UE in the session</w:t>
            </w:r>
          </w:p>
        </w:tc>
      </w:tr>
    </w:tbl>
    <w:p>
      <w:pPr>
        <w:jc w:val="both"/>
        <w:rPr>
          <w:sz w:val="20"/>
          <w:szCs w:val="20"/>
        </w:rPr>
      </w:pPr>
    </w:p>
    <w:p>
      <w:pPr>
        <w:jc w:val="both"/>
        <w:rPr>
          <w:sz w:val="20"/>
          <w:szCs w:val="20"/>
        </w:rPr>
      </w:pPr>
    </w:p>
    <w:p>
      <w:pPr>
        <w:spacing w:before="120" w:beforeLines="50"/>
        <w:rPr>
          <w:b/>
          <w:bCs/>
          <w:sz w:val="20"/>
          <w:szCs w:val="20"/>
        </w:rPr>
      </w:pPr>
      <w:r>
        <w:rPr>
          <w:b/>
          <w:bCs/>
          <w:sz w:val="20"/>
          <w:szCs w:val="20"/>
        </w:rPr>
        <w:t>Q3: Based on the above questions, do companies think that SLPP forwarding needs to be supported for the case of LMF based positioning?</w:t>
      </w:r>
    </w:p>
    <w:p>
      <w:pPr>
        <w:pStyle w:val="120"/>
        <w:numPr>
          <w:ilvl w:val="0"/>
          <w:numId w:val="21"/>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target and anchor UEs are assumed to be able to directly communicate with the LMF</w:t>
      </w:r>
    </w:p>
    <w:p>
      <w:pPr>
        <w:pStyle w:val="120"/>
        <w:numPr>
          <w:ilvl w:val="0"/>
          <w:numId w:val="21"/>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 SLPP forwarding by the target UE is necessary to transfer SLPP information between the LMF and the anchor UE(s)</w:t>
      </w:r>
    </w:p>
    <w:p>
      <w:pPr>
        <w:pStyle w:val="120"/>
        <w:numPr>
          <w:ilvl w:val="0"/>
          <w:numId w:val="21"/>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 (please comment)</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Selected Option</w:t>
            </w:r>
          </w:p>
        </w:tc>
        <w:tc>
          <w:tcPr>
            <w:tcW w:w="6205" w:type="dxa"/>
          </w:tcPr>
          <w:p>
            <w:pPr>
              <w:jc w:val="center"/>
              <w:rPr>
                <w:b/>
                <w:bCs/>
                <w:sz w:val="20"/>
                <w:szCs w:val="20"/>
                <w:lang w:val="en-GB"/>
              </w:rPr>
            </w:pPr>
            <w:r>
              <w:rPr>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eastAsia="宋体"/>
                <w:sz w:val="20"/>
                <w:szCs w:val="20"/>
                <w:lang w:val="en-GB" w:eastAsia="zh-CN"/>
              </w:rPr>
              <w:t>Apple</w:t>
            </w:r>
          </w:p>
        </w:tc>
        <w:tc>
          <w:tcPr>
            <w:tcW w:w="1170" w:type="dxa"/>
          </w:tcPr>
          <w:p>
            <w:pPr>
              <w:rPr>
                <w:rFonts w:eastAsia="宋体"/>
                <w:sz w:val="20"/>
                <w:szCs w:val="20"/>
                <w:lang w:val="en-GB" w:eastAsia="zh-CN"/>
              </w:rPr>
            </w:pPr>
            <w:r>
              <w:rPr>
                <w:rFonts w:eastAsia="宋体"/>
                <w:sz w:val="20"/>
                <w:szCs w:val="20"/>
                <w:lang w:val="en-GB" w:eastAsia="zh-CN"/>
              </w:rPr>
              <w:t>No</w:t>
            </w:r>
          </w:p>
        </w:tc>
        <w:tc>
          <w:tcPr>
            <w:tcW w:w="6205" w:type="dxa"/>
          </w:tcPr>
          <w:p>
            <w:pPr>
              <w:rPr>
                <w:rFonts w:eastAsia="宋体"/>
                <w:sz w:val="20"/>
                <w:szCs w:val="20"/>
                <w:lang w:val="en-GB" w:eastAsia="zh-CN"/>
              </w:rPr>
            </w:pPr>
            <w:r>
              <w:rPr>
                <w:rFonts w:eastAsia="宋体"/>
                <w:sz w:val="20"/>
                <w:szCs w:val="20"/>
                <w:lang w:val="en-GB" w:eastAsia="zh-CN"/>
              </w:rPr>
              <w:t>Direct connectivity to LMF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p>
        </w:tc>
        <w:tc>
          <w:tcPr>
            <w:tcW w:w="6205" w:type="dxa"/>
          </w:tcPr>
          <w:p>
            <w:pPr>
              <w:rPr>
                <w:rFonts w:eastAsia="宋体"/>
                <w:sz w:val="20"/>
                <w:szCs w:val="20"/>
                <w:lang w:val="en-GB" w:eastAsia="zh-CN"/>
              </w:rPr>
            </w:pPr>
            <w:r>
              <w:rPr>
                <w:rFonts w:eastAsia="宋体"/>
                <w:sz w:val="20"/>
                <w:szCs w:val="20"/>
                <w:lang w:val="en-GB" w:eastAsia="zh-CN"/>
              </w:rPr>
              <w:t>First need to clarify what does it mean by SLPP forwarding. My understanding is that it is just to decode the SLPP message between the UE first and then re-compile it in another message and sent it to the LMF</w:t>
            </w:r>
          </w:p>
          <w:p>
            <w:pPr>
              <w:rPr>
                <w:rFonts w:eastAsia="宋体"/>
                <w:sz w:val="20"/>
                <w:szCs w:val="20"/>
                <w:lang w:val="en-GB" w:eastAsia="zh-CN"/>
              </w:rPr>
            </w:pPr>
          </w:p>
          <w:p>
            <w:pPr>
              <w:rPr>
                <w:rFonts w:eastAsia="宋体"/>
                <w:sz w:val="20"/>
                <w:szCs w:val="20"/>
                <w:lang w:val="en-GB" w:eastAsia="zh-CN"/>
              </w:rPr>
            </w:pPr>
            <w:r>
              <w:rPr>
                <w:rFonts w:eastAsia="宋体"/>
                <w:sz w:val="20"/>
                <w:szCs w:val="20"/>
                <w:lang w:val="en-GB" w:eastAsia="zh-CN"/>
              </w:rPr>
              <w:t>There is no spec impacts for us either way if SLPP forwarding is needed or not. But before the discussion, we need to be clear about what is “SLPP forwarding”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Pr>
          <w:p>
            <w:pPr>
              <w:rPr>
                <w:sz w:val="20"/>
                <w:szCs w:val="20"/>
                <w:lang w:val="en-GB"/>
              </w:rPr>
            </w:pPr>
            <w:r>
              <w:rPr>
                <w:rFonts w:hint="eastAsia" w:eastAsia="宋体"/>
                <w:sz w:val="20"/>
                <w:szCs w:val="20"/>
                <w:lang w:val="en-GB" w:eastAsia="zh-CN"/>
              </w:rPr>
              <w:t>Y</w:t>
            </w:r>
            <w:r>
              <w:rPr>
                <w:rFonts w:eastAsia="宋体"/>
                <w:sz w:val="20"/>
                <w:szCs w:val="20"/>
                <w:lang w:val="en-GB" w:eastAsia="zh-CN"/>
              </w:rPr>
              <w:t>es with comments</w:t>
            </w:r>
          </w:p>
        </w:tc>
        <w:tc>
          <w:tcPr>
            <w:tcW w:w="6205" w:type="dxa"/>
          </w:tcPr>
          <w:p>
            <w:pPr>
              <w:rPr>
                <w:rFonts w:eastAsia="宋体"/>
                <w:sz w:val="20"/>
                <w:szCs w:val="20"/>
                <w:lang w:val="en-GB" w:eastAsia="zh-CN"/>
              </w:rPr>
            </w:pPr>
            <w:r>
              <w:rPr>
                <w:rFonts w:hint="eastAsia" w:eastAsia="宋体"/>
                <w:sz w:val="20"/>
                <w:szCs w:val="20"/>
                <w:lang w:val="en-GB" w:eastAsia="zh-CN"/>
              </w:rPr>
              <w:t>S</w:t>
            </w:r>
            <w:r>
              <w:rPr>
                <w:rFonts w:eastAsia="宋体"/>
                <w:sz w:val="20"/>
                <w:szCs w:val="20"/>
                <w:lang w:val="en-GB" w:eastAsia="zh-CN"/>
              </w:rPr>
              <w:t xml:space="preserve">ee our comments in Q2. </w:t>
            </w:r>
          </w:p>
          <w:p>
            <w:pPr>
              <w:rPr>
                <w:sz w:val="20"/>
                <w:szCs w:val="20"/>
                <w:lang w:val="en-GB"/>
              </w:rPr>
            </w:pPr>
            <w:r>
              <w:rPr>
                <w:rFonts w:hint="eastAsia" w:eastAsia="宋体"/>
                <w:sz w:val="20"/>
                <w:szCs w:val="20"/>
                <w:lang w:val="en-GB" w:eastAsia="zh-CN"/>
              </w:rPr>
              <w:t>N</w:t>
            </w:r>
            <w:r>
              <w:rPr>
                <w:rFonts w:eastAsia="宋体"/>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rFonts w:eastAsia="宋体"/>
                <w:sz w:val="20"/>
                <w:szCs w:val="20"/>
                <w:lang w:val="en-GB" w:eastAsia="zh-CN"/>
              </w:rPr>
            </w:pPr>
            <w:r>
              <w:rPr>
                <w:rFonts w:hint="eastAsia" w:eastAsia="宋体"/>
                <w:sz w:val="20"/>
                <w:szCs w:val="20"/>
                <w:lang w:val="en-GB" w:eastAsia="zh-CN"/>
              </w:rPr>
              <w:t>N</w:t>
            </w:r>
            <w:r>
              <w:rPr>
                <w:rFonts w:eastAsia="宋体"/>
                <w:sz w:val="20"/>
                <w:szCs w:val="20"/>
                <w:lang w:val="en-GB" w:eastAsia="zh-CN"/>
              </w:rPr>
              <w:t>o</w:t>
            </w:r>
          </w:p>
        </w:tc>
        <w:tc>
          <w:tcPr>
            <w:tcW w:w="6205" w:type="dxa"/>
          </w:tcPr>
          <w:p>
            <w:pPr>
              <w:rPr>
                <w:rFonts w:eastAsia="宋体"/>
                <w:sz w:val="20"/>
                <w:szCs w:val="20"/>
                <w:lang w:val="en-GB" w:eastAsia="zh-CN"/>
              </w:rPr>
            </w:pPr>
            <w:r>
              <w:rPr>
                <w:rFonts w:hint="eastAsia" w:eastAsia="宋体"/>
                <w:sz w:val="20"/>
                <w:szCs w:val="20"/>
                <w:lang w:val="en-GB" w:eastAsia="zh-CN"/>
              </w:rPr>
              <w:t>S</w:t>
            </w:r>
            <w:r>
              <w:rPr>
                <w:rFonts w:eastAsia="宋体"/>
                <w:sz w:val="20"/>
                <w:szCs w:val="20"/>
                <w:lang w:val="en-GB" w:eastAsia="zh-CN"/>
              </w:rPr>
              <w:t>LPP forward is for the partial coverage scenario. No need to define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No</w:t>
            </w:r>
          </w:p>
        </w:tc>
        <w:tc>
          <w:tcPr>
            <w:tcW w:w="6205" w:type="dxa"/>
          </w:tcPr>
          <w:p>
            <w:pPr>
              <w:rPr>
                <w:rFonts w:hint="default" w:eastAsia="宋体"/>
                <w:sz w:val="20"/>
                <w:szCs w:val="20"/>
                <w:lang w:val="en-US" w:eastAsia="zh-CN"/>
              </w:rPr>
            </w:pPr>
            <w:r>
              <w:rPr>
                <w:rFonts w:hint="eastAsia" w:eastAsia="宋体"/>
                <w:sz w:val="20"/>
                <w:szCs w:val="20"/>
                <w:lang w:val="en-US" w:eastAsia="zh-CN"/>
              </w:rPr>
              <w:t>If the UE(target UE, anchor UEs) are all in coverage, directly communication is sufficient in this release</w:t>
            </w:r>
          </w:p>
        </w:tc>
      </w:tr>
    </w:tbl>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xml:space="preserve">, whereby the server UE is involved. For this scenario, the downscoping in RAN is not so clear, so the basic premise of whether the target UE and the anchor UE(s) are able to communicate directly over PC5 interface or whether SLPP forwarding is needed. The rapporteur assumes that the target UE should at least be able to communicate directly with the anchor UE(s), since they need to perform SL-PRS measurements over the PC5 interface. </w:t>
      </w:r>
    </w:p>
    <w:p>
      <w:pPr>
        <w:jc w:val="both"/>
        <w:rPr>
          <w:sz w:val="20"/>
          <w:szCs w:val="20"/>
          <w:lang w:val="en-GB"/>
        </w:rPr>
      </w:pPr>
    </w:p>
    <w:p>
      <w:pPr>
        <w:spacing w:before="120" w:beforeLines="50"/>
        <w:rPr>
          <w:b/>
          <w:bCs/>
          <w:sz w:val="20"/>
          <w:szCs w:val="20"/>
        </w:rPr>
      </w:pPr>
      <w:r>
        <w:rPr>
          <w:b/>
          <w:bCs/>
          <w:sz w:val="20"/>
          <w:szCs w:val="20"/>
        </w:rPr>
        <w:t>Q4: Do companies agree that for UE only operation, the target UE should always be able to directly communicate with the server UE (i.e. no forwarding is needed to the target UE)?</w:t>
      </w:r>
    </w:p>
    <w:p>
      <w:pPr>
        <w:pStyle w:val="120"/>
        <w:numPr>
          <w:ilvl w:val="0"/>
          <w:numId w:val="2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2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916"/>
        <w:gridCol w:w="528"/>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center"/>
              <w:rPr>
                <w:b/>
                <w:bCs/>
                <w:sz w:val="20"/>
                <w:szCs w:val="20"/>
                <w:lang w:val="en-GB"/>
              </w:rPr>
            </w:pPr>
            <w:r>
              <w:rPr>
                <w:b/>
                <w:bCs/>
                <w:sz w:val="20"/>
                <w:szCs w:val="20"/>
                <w:lang w:val="en-GB"/>
              </w:rPr>
              <w:t>Company’s name</w:t>
            </w:r>
          </w:p>
        </w:tc>
        <w:tc>
          <w:tcPr>
            <w:tcW w:w="916" w:type="dxa"/>
          </w:tcPr>
          <w:p>
            <w:pPr>
              <w:jc w:val="center"/>
              <w:rPr>
                <w:b/>
                <w:bCs/>
                <w:sz w:val="20"/>
                <w:szCs w:val="20"/>
                <w:lang w:val="en-GB"/>
              </w:rPr>
            </w:pPr>
            <w:r>
              <w:rPr>
                <w:b/>
                <w:bCs/>
                <w:sz w:val="20"/>
                <w:szCs w:val="20"/>
                <w:lang w:val="en-GB"/>
              </w:rPr>
              <w:t>Selected Option</w:t>
            </w:r>
          </w:p>
        </w:tc>
        <w:tc>
          <w:tcPr>
            <w:tcW w:w="7466" w:type="dxa"/>
            <w:gridSpan w:val="2"/>
          </w:tcPr>
          <w:p>
            <w:pPr>
              <w:jc w:val="center"/>
              <w:rPr>
                <w:b/>
                <w:bCs/>
                <w:sz w:val="20"/>
                <w:szCs w:val="20"/>
                <w:lang w:val="en-GB"/>
              </w:rPr>
            </w:pPr>
            <w:r>
              <w:rPr>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rPr>
                <w:rFonts w:eastAsia="宋体"/>
                <w:sz w:val="20"/>
                <w:szCs w:val="20"/>
                <w:lang w:val="en-GB" w:eastAsia="zh-CN"/>
              </w:rPr>
            </w:pPr>
            <w:r>
              <w:rPr>
                <w:rFonts w:eastAsia="宋体"/>
                <w:sz w:val="20"/>
                <w:szCs w:val="20"/>
                <w:lang w:val="en-GB" w:eastAsia="zh-CN"/>
              </w:rPr>
              <w:t>Apple</w:t>
            </w:r>
          </w:p>
        </w:tc>
        <w:tc>
          <w:tcPr>
            <w:tcW w:w="916" w:type="dxa"/>
          </w:tcPr>
          <w:p>
            <w:pPr>
              <w:rPr>
                <w:rFonts w:eastAsia="宋体"/>
                <w:sz w:val="20"/>
                <w:szCs w:val="20"/>
                <w:lang w:val="en-GB" w:eastAsia="zh-CN"/>
              </w:rPr>
            </w:pPr>
            <w:r>
              <w:rPr>
                <w:rFonts w:eastAsia="宋体"/>
                <w:sz w:val="20"/>
                <w:szCs w:val="20"/>
                <w:lang w:val="en-GB" w:eastAsia="zh-CN"/>
              </w:rPr>
              <w:t>Yes</w:t>
            </w:r>
          </w:p>
        </w:tc>
        <w:tc>
          <w:tcPr>
            <w:tcW w:w="7466" w:type="dxa"/>
            <w:gridSpan w:val="2"/>
          </w:tcPr>
          <w:p>
            <w:pPr>
              <w:rPr>
                <w:rFonts w:eastAsia="宋体"/>
                <w:sz w:val="20"/>
                <w:szCs w:val="20"/>
                <w:lang w:val="en-GB" w:eastAsia="zh-CN"/>
              </w:rPr>
            </w:pPr>
            <w:r>
              <w:rPr>
                <w:rFonts w:eastAsia="宋体"/>
                <w:sz w:val="20"/>
                <w:szCs w:val="20"/>
                <w:lang w:val="en-GB" w:eastAsia="zh-CN"/>
              </w:rPr>
              <w:t>Direct connectivity to the server UE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gridSpan w:val="2"/>
          </w:tcPr>
          <w:p>
            <w:pPr>
              <w:rPr>
                <w:rFonts w:eastAsia="宋体"/>
                <w:sz w:val="20"/>
                <w:szCs w:val="20"/>
                <w:lang w:val="en-GB" w:eastAsia="zh-CN"/>
              </w:rPr>
            </w:pPr>
            <w:r>
              <w:rPr>
                <w:rFonts w:eastAsia="宋体"/>
                <w:sz w:val="20"/>
                <w:szCs w:val="20"/>
                <w:lang w:val="en-GB" w:eastAsia="zh-CN"/>
              </w:rPr>
              <w:t>Huawei, HiSilicon</w:t>
            </w:r>
          </w:p>
        </w:tc>
        <w:tc>
          <w:tcPr>
            <w:tcW w:w="528"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938" w:type="dxa"/>
          </w:tcPr>
          <w:p>
            <w:pPr>
              <w:rPr>
                <w:rFonts w:eastAsia="宋体"/>
                <w:sz w:val="20"/>
                <w:szCs w:val="20"/>
                <w:lang w:val="en-GB" w:eastAsia="zh-CN"/>
              </w:rPr>
            </w:pPr>
            <w:r>
              <w:rPr>
                <w:rFonts w:eastAsia="宋体"/>
                <w:sz w:val="20"/>
                <w:szCs w:val="20"/>
                <w:lang w:val="en-GB" w:eastAsia="zh-CN"/>
              </w:rPr>
              <w:t xml:space="preserve">According to the newly agreed SA2 CR, because of the single LMF assumption, SA2 has already changed their procedure in S2-2311465. </w:t>
            </w:r>
          </w:p>
          <w:p>
            <w:pPr>
              <w:rPr>
                <w:rFonts w:eastAsiaTheme="minorEastAsia"/>
                <w:sz w:val="20"/>
                <w:szCs w:val="20"/>
                <w:lang w:val="en-GB"/>
              </w:rPr>
            </w:pPr>
          </w:p>
          <w:p>
            <w:pPr>
              <w:ind w:left="300" w:hanging="300" w:hangingChars="150"/>
              <w:rPr>
                <w:rFonts w:eastAsiaTheme="minorEastAsia"/>
                <w:sz w:val="20"/>
                <w:szCs w:val="20"/>
                <w:lang w:val="en-GB"/>
              </w:rPr>
            </w:pPr>
            <w:r>
              <w:rPr>
                <w:rFonts w:eastAsiaTheme="minorEastAsia"/>
                <w:sz w:val="20"/>
                <w:szCs w:val="20"/>
                <w:lang w:val="en-GB"/>
              </w:rPr>
              <w:t xml:space="preserve">Within the procedure, it can be seen that in step 19 that all the SLPP message are sent from a single UE1 to LMF. </w:t>
            </w:r>
          </w:p>
          <w:p>
            <w:pPr>
              <w:rPr>
                <w:rFonts w:eastAsia="宋体"/>
                <w:sz w:val="20"/>
                <w:szCs w:val="20"/>
                <w:lang w:val="en-GB" w:eastAsia="zh-CN"/>
              </w:rPr>
            </w:pPr>
            <w:ins w:id="0" w:author="Philips International B.V." w:date="2023-08-12T00:27:00Z"/>
            <w:ins w:id="1" w:author="Philips International B.V." w:date="2023-08-12T00:27:00Z"/>
            <w:ins w:id="2" w:author="Philips International B.V." w:date="2023-08-12T00:27:00Z"/>
            <w:ins w:id="3" w:author="Philips International B.V." w:date="2023-08-12T00:27:00Z">
              <w:r>
                <w:rPr>
                  <w:rFonts w:eastAsiaTheme="minorEastAsia"/>
                  <w:sz w:val="20"/>
                  <w:szCs w:val="20"/>
                  <w:lang w:val="en-GB"/>
                </w:rPr>
                <w:object>
                  <v:shape id="_x0000_i1025" o:spt="75" type="#_x0000_t75" style="height:410.3pt;width:280.5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ins>
            <w:ins w:id="5" w:author="Philips International B.V." w:date="2023-08-12T00:27:00Z"/>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916" w:type="dxa"/>
          </w:tcPr>
          <w:p>
            <w:pPr>
              <w:rPr>
                <w:sz w:val="20"/>
                <w:szCs w:val="20"/>
                <w:lang w:val="en-GB"/>
              </w:rPr>
            </w:pPr>
            <w:r>
              <w:rPr>
                <w:rFonts w:hint="eastAsia" w:eastAsia="宋体"/>
                <w:sz w:val="20"/>
                <w:szCs w:val="20"/>
                <w:lang w:val="en-GB" w:eastAsia="zh-CN"/>
              </w:rPr>
              <w:t>Y</w:t>
            </w:r>
            <w:r>
              <w:rPr>
                <w:rFonts w:eastAsia="宋体"/>
                <w:sz w:val="20"/>
                <w:szCs w:val="20"/>
                <w:lang w:val="en-GB" w:eastAsia="zh-CN"/>
              </w:rPr>
              <w:t>es</w:t>
            </w:r>
          </w:p>
        </w:tc>
        <w:tc>
          <w:tcPr>
            <w:tcW w:w="7466" w:type="dxa"/>
            <w:gridSpan w:val="2"/>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rPr>
                <w:rFonts w:eastAsia="宋体"/>
                <w:sz w:val="20"/>
                <w:szCs w:val="20"/>
                <w:lang w:val="en-GB" w:eastAsia="zh-CN"/>
              </w:rPr>
            </w:pPr>
            <w:r>
              <w:rPr>
                <w:rFonts w:hint="eastAsia" w:eastAsia="宋体"/>
                <w:sz w:val="20"/>
                <w:szCs w:val="20"/>
                <w:lang w:val="en-GB" w:eastAsia="zh-CN"/>
              </w:rPr>
              <w:t>O</w:t>
            </w:r>
            <w:r>
              <w:rPr>
                <w:rFonts w:eastAsia="宋体"/>
                <w:sz w:val="20"/>
                <w:szCs w:val="20"/>
                <w:lang w:val="en-GB" w:eastAsia="zh-CN"/>
              </w:rPr>
              <w:t>PPO</w:t>
            </w:r>
          </w:p>
        </w:tc>
        <w:tc>
          <w:tcPr>
            <w:tcW w:w="916"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7466" w:type="dxa"/>
            <w:gridSpan w:val="2"/>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rPr>
                <w:rFonts w:hint="default" w:eastAsia="宋体"/>
                <w:sz w:val="20"/>
                <w:szCs w:val="20"/>
                <w:lang w:val="en-US" w:eastAsia="zh-CN"/>
              </w:rPr>
            </w:pPr>
            <w:r>
              <w:rPr>
                <w:rFonts w:hint="eastAsia" w:eastAsia="宋体"/>
                <w:sz w:val="20"/>
                <w:szCs w:val="20"/>
                <w:lang w:val="en-US" w:eastAsia="zh-CN"/>
              </w:rPr>
              <w:t>ZTE</w:t>
            </w:r>
          </w:p>
        </w:tc>
        <w:tc>
          <w:tcPr>
            <w:tcW w:w="916" w:type="dxa"/>
          </w:tcPr>
          <w:p>
            <w:pPr>
              <w:rPr>
                <w:rFonts w:hint="default" w:eastAsia="宋体"/>
                <w:sz w:val="20"/>
                <w:szCs w:val="20"/>
                <w:lang w:val="en-US" w:eastAsia="zh-CN"/>
              </w:rPr>
            </w:pPr>
            <w:r>
              <w:rPr>
                <w:rFonts w:hint="eastAsia" w:eastAsia="宋体"/>
                <w:sz w:val="20"/>
                <w:szCs w:val="20"/>
                <w:lang w:val="en-US" w:eastAsia="zh-CN"/>
              </w:rPr>
              <w:t>Yes</w:t>
            </w:r>
          </w:p>
        </w:tc>
        <w:tc>
          <w:tcPr>
            <w:tcW w:w="7466" w:type="dxa"/>
            <w:gridSpan w:val="2"/>
          </w:tcPr>
          <w:p>
            <w:pPr>
              <w:rPr>
                <w:sz w:val="20"/>
                <w:szCs w:val="20"/>
                <w:lang w:val="en-GB"/>
              </w:rPr>
            </w:pPr>
          </w:p>
        </w:tc>
      </w:tr>
    </w:tbl>
    <w:p>
      <w:pPr>
        <w:jc w:val="both"/>
        <w:rPr>
          <w:sz w:val="20"/>
          <w:szCs w:val="20"/>
          <w:lang w:val="en-GB"/>
        </w:rPr>
      </w:pPr>
    </w:p>
    <w:p>
      <w:pPr>
        <w:jc w:val="both"/>
        <w:rPr>
          <w:sz w:val="20"/>
          <w:szCs w:val="20"/>
          <w:lang w:val="en-GB"/>
        </w:rPr>
      </w:pPr>
      <w:r>
        <w:rPr>
          <w:sz w:val="20"/>
          <w:szCs w:val="20"/>
          <w:lang w:val="en-GB"/>
        </w:rPr>
        <w:t>For the communication between the server and the anchor UE, RAN2 has following agreements:</w:t>
      </w:r>
    </w:p>
    <w:p>
      <w:pPr>
        <w:pStyle w:val="136"/>
        <w:pBdr>
          <w:top w:val="single" w:color="auto" w:sz="4" w:space="1"/>
          <w:left w:val="single" w:color="auto" w:sz="4" w:space="4"/>
          <w:bottom w:val="single" w:color="auto" w:sz="4" w:space="1"/>
          <w:right w:val="single" w:color="auto" w:sz="4" w:space="4"/>
        </w:pBdr>
      </w:pPr>
      <w:r>
        <w:t>The SL-PRS sequence ID can be provided to the TX UE by the LMF/Server UE (via SLPP signalling).  If the Tx UE does not receive a sequence ID via SLPP message from the server, the Tx UE is expected to select one by itself.  FFS exact SLPP signalling.</w:t>
      </w:r>
    </w:p>
    <w:p>
      <w:pPr>
        <w:pStyle w:val="136"/>
        <w:pBdr>
          <w:top w:val="single" w:color="auto" w:sz="4" w:space="1"/>
          <w:left w:val="single" w:color="auto" w:sz="4" w:space="4"/>
          <w:bottom w:val="single" w:color="auto" w:sz="4" w:space="1"/>
          <w:right w:val="single" w:color="auto" w:sz="4" w:space="4"/>
        </w:pBdr>
      </w:pPr>
    </w:p>
    <w:p>
      <w:pPr>
        <w:pStyle w:val="136"/>
        <w:pBdr>
          <w:top w:val="single" w:color="auto" w:sz="4" w:space="1"/>
          <w:left w:val="single" w:color="auto" w:sz="4" w:space="4"/>
          <w:bottom w:val="single" w:color="auto" w:sz="4" w:space="1"/>
          <w:right w:val="single" w:color="auto" w:sz="4" w:space="4"/>
        </w:pBdr>
      </w:pPr>
      <w:r>
        <w:t>Reuse the Request/Provide Assistance Data messages for server to get the assistance data from Anchor UEs. FFS on how to capture.</w:t>
      </w:r>
    </w:p>
    <w:p>
      <w:pPr>
        <w:jc w:val="both"/>
        <w:rPr>
          <w:sz w:val="20"/>
          <w:szCs w:val="20"/>
          <w:lang w:val="en-GB"/>
        </w:rPr>
      </w:pPr>
    </w:p>
    <w:p>
      <w:pPr>
        <w:jc w:val="both"/>
        <w:rPr>
          <w:sz w:val="20"/>
          <w:szCs w:val="20"/>
          <w:lang w:val="en-GB"/>
        </w:rPr>
      </w:pPr>
      <w:r>
        <w:rPr>
          <w:sz w:val="20"/>
          <w:szCs w:val="20"/>
          <w:lang w:val="en-GB"/>
        </w:rPr>
        <w:t>The above seems to imply that the server can communicate with anchor UE. So, it would be good to get company confirmation on this aspect.</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spacing w:before="120" w:beforeLines="50"/>
        <w:rPr>
          <w:b/>
          <w:bCs/>
          <w:sz w:val="20"/>
          <w:szCs w:val="20"/>
        </w:rPr>
      </w:pPr>
      <w:r>
        <w:rPr>
          <w:b/>
          <w:bCs/>
          <w:sz w:val="20"/>
          <w:szCs w:val="20"/>
        </w:rPr>
        <w:t>Q5: Do companies agree that UE only operation, the anchor UEs should always be able to directly communicate with the server UE (i.e. no forwarding is needed between server UE and the anchor UEs)?</w:t>
      </w:r>
    </w:p>
    <w:p>
      <w:pPr>
        <w:pStyle w:val="120"/>
        <w:numPr>
          <w:ilvl w:val="0"/>
          <w:numId w:val="2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2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Selected Option</w:t>
            </w:r>
          </w:p>
        </w:tc>
        <w:tc>
          <w:tcPr>
            <w:tcW w:w="6205" w:type="dxa"/>
          </w:tcPr>
          <w:p>
            <w:pPr>
              <w:jc w:val="center"/>
              <w:rPr>
                <w:b/>
                <w:bCs/>
                <w:sz w:val="20"/>
                <w:szCs w:val="20"/>
                <w:lang w:val="en-GB"/>
              </w:rPr>
            </w:pPr>
            <w:r>
              <w:rPr>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eastAsia="宋体"/>
                <w:sz w:val="20"/>
                <w:szCs w:val="20"/>
                <w:lang w:val="en-GB" w:eastAsia="zh-CN"/>
              </w:rPr>
              <w:t>Apple</w:t>
            </w:r>
          </w:p>
        </w:tc>
        <w:tc>
          <w:tcPr>
            <w:tcW w:w="1170" w:type="dxa"/>
          </w:tcPr>
          <w:p>
            <w:pPr>
              <w:rPr>
                <w:rFonts w:eastAsia="宋体"/>
                <w:sz w:val="20"/>
                <w:szCs w:val="20"/>
                <w:lang w:val="en-GB" w:eastAsia="zh-CN"/>
              </w:rPr>
            </w:pPr>
            <w:r>
              <w:rPr>
                <w:rFonts w:eastAsia="宋体"/>
                <w:sz w:val="20"/>
                <w:szCs w:val="20"/>
                <w:lang w:val="en-GB" w:eastAsia="zh-CN"/>
              </w:rPr>
              <w:t>Yes</w:t>
            </w:r>
          </w:p>
        </w:tc>
        <w:tc>
          <w:tcPr>
            <w:tcW w:w="6205" w:type="dxa"/>
          </w:tcPr>
          <w:p>
            <w:pPr>
              <w:rPr>
                <w:rFonts w:eastAsia="宋体"/>
                <w:sz w:val="20"/>
                <w:szCs w:val="20"/>
                <w:lang w:val="en-GB" w:eastAsia="zh-CN"/>
              </w:rPr>
            </w:pPr>
            <w:r>
              <w:rPr>
                <w:rFonts w:eastAsia="宋体"/>
                <w:sz w:val="20"/>
                <w:szCs w:val="20"/>
                <w:lang w:val="en-GB" w:eastAsia="zh-CN"/>
              </w:rPr>
              <w:t>Direct connectivity to the server UE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HiSllicon</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Pr>
          <w:p>
            <w:pPr>
              <w:rPr>
                <w:sz w:val="20"/>
                <w:szCs w:val="20"/>
                <w:lang w:val="en-GB"/>
              </w:rPr>
            </w:pPr>
            <w:r>
              <w:rPr>
                <w:rFonts w:hint="eastAsia" w:eastAsia="宋体"/>
                <w:sz w:val="20"/>
                <w:szCs w:val="20"/>
                <w:lang w:val="en-GB" w:eastAsia="zh-CN"/>
              </w:rPr>
              <w:t>N</w:t>
            </w:r>
            <w:r>
              <w:rPr>
                <w:rFonts w:eastAsia="宋体"/>
                <w:sz w:val="20"/>
                <w:szCs w:val="20"/>
                <w:lang w:val="en-GB" w:eastAsia="zh-CN"/>
              </w:rPr>
              <w:t>o</w:t>
            </w:r>
          </w:p>
        </w:tc>
        <w:tc>
          <w:tcPr>
            <w:tcW w:w="6205" w:type="dxa"/>
          </w:tcPr>
          <w:p>
            <w:pPr>
              <w:rPr>
                <w:rFonts w:eastAsia="宋体"/>
                <w:sz w:val="20"/>
                <w:szCs w:val="20"/>
                <w:lang w:val="en-GB" w:eastAsia="zh-CN"/>
              </w:rPr>
            </w:pPr>
            <w:r>
              <w:rPr>
                <w:rFonts w:hint="eastAsia" w:eastAsia="宋体"/>
                <w:sz w:val="20"/>
                <w:szCs w:val="20"/>
                <w:lang w:val="en-GB" w:eastAsia="zh-CN"/>
              </w:rPr>
              <w:t>W</w:t>
            </w:r>
            <w:r>
              <w:rPr>
                <w:rFonts w:eastAsia="宋体"/>
                <w:sz w:val="20"/>
                <w:szCs w:val="20"/>
                <w:lang w:val="en-GB" w:eastAsia="zh-CN"/>
              </w:rPr>
              <w:t xml:space="preserve">e agree the server can communicate with anchor UEs </w:t>
            </w:r>
            <w:r>
              <w:rPr>
                <w:rFonts w:eastAsia="宋体"/>
                <w:sz w:val="20"/>
                <w:szCs w:val="20"/>
                <w:u w:val="single"/>
                <w:lang w:val="en-GB" w:eastAsia="zh-CN"/>
              </w:rPr>
              <w:t>from the perspective of protocol</w:t>
            </w:r>
            <w:r>
              <w:rPr>
                <w:rFonts w:eastAsia="宋体"/>
                <w:sz w:val="20"/>
                <w:szCs w:val="20"/>
                <w:lang w:val="en-GB" w:eastAsia="zh-CN"/>
              </w:rPr>
              <w:t xml:space="preserve">. But it does not mean direct communication. </w:t>
            </w:r>
          </w:p>
          <w:p>
            <w:pPr>
              <w:rPr>
                <w:rFonts w:eastAsia="宋体"/>
                <w:sz w:val="20"/>
                <w:szCs w:val="20"/>
                <w:lang w:val="en-GB" w:eastAsia="zh-CN"/>
              </w:rPr>
            </w:pPr>
            <w:r>
              <w:rPr>
                <w:rFonts w:eastAsia="宋体"/>
                <w:sz w:val="20"/>
                <w:szCs w:val="20"/>
                <w:lang w:val="en-GB" w:eastAsia="zh-CN"/>
              </w:rPr>
              <w:t xml:space="preserve">Anchor UEs are required to be able to directly communicate with target UE (i.e., in the coverage of target UE). If server UE and target UE are different UE, the </w:t>
            </w:r>
            <w:r>
              <w:rPr>
                <w:rFonts w:eastAsia="宋体"/>
                <w:sz w:val="20"/>
                <w:szCs w:val="20"/>
                <w:u w:val="single"/>
                <w:lang w:val="en-GB" w:eastAsia="zh-CN"/>
              </w:rPr>
              <w:t>valid anchor UEs are likely to be less or even zero</w:t>
            </w:r>
            <w:r>
              <w:rPr>
                <w:rFonts w:eastAsia="宋体"/>
                <w:sz w:val="20"/>
                <w:szCs w:val="20"/>
                <w:lang w:val="en-GB" w:eastAsia="zh-CN"/>
              </w:rPr>
              <w:t xml:space="preserve"> if anchor UEs are also required to be able to directly communicate with server UE, which will </w:t>
            </w:r>
            <w:r>
              <w:rPr>
                <w:rFonts w:eastAsia="宋体"/>
                <w:sz w:val="20"/>
                <w:szCs w:val="20"/>
                <w:u w:val="single"/>
                <w:lang w:val="en-GB" w:eastAsia="zh-CN"/>
              </w:rPr>
              <w:t>greatly decrease positioning accuracy or even the availability of positioning</w:t>
            </w:r>
            <w:r>
              <w:rPr>
                <w:rFonts w:eastAsia="宋体"/>
                <w:sz w:val="20"/>
                <w:szCs w:val="20"/>
                <w:lang w:val="en-GB" w:eastAsia="zh-CN"/>
              </w:rPr>
              <w:t>.</w:t>
            </w:r>
          </w:p>
          <w:p>
            <w:pPr>
              <w:rPr>
                <w:rFonts w:eastAsia="宋体"/>
                <w:sz w:val="20"/>
                <w:szCs w:val="20"/>
                <w:lang w:val="en-GB" w:eastAsia="zh-CN"/>
              </w:rPr>
            </w:pPr>
          </w:p>
          <w:p>
            <w:pPr>
              <w:jc w:val="center"/>
              <w:rPr>
                <w:rFonts w:eastAsia="宋体"/>
                <w:sz w:val="20"/>
                <w:szCs w:val="20"/>
                <w:lang w:val="en-GB" w:eastAsia="zh-CN"/>
              </w:rPr>
            </w:pPr>
            <w:r>
              <w:rPr>
                <w:rFonts w:eastAsia="宋体"/>
                <w:sz w:val="20"/>
                <w:szCs w:val="20"/>
                <w:lang w:val="en-GB"/>
              </w:rPr>
              <w:object>
                <v:shape id="_x0000_i1026" o:spt="75" type="#_x0000_t75" style="height:116.05pt;width:226.5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6">
                  <o:LockedField>false</o:LockedField>
                </o:OLEObject>
              </w:object>
            </w:r>
          </w:p>
          <w:p>
            <w:pPr>
              <w:rPr>
                <w:rFonts w:eastAsia="宋体"/>
                <w:sz w:val="20"/>
                <w:szCs w:val="20"/>
                <w:lang w:val="en-GB" w:eastAsia="zh-CN"/>
              </w:rPr>
            </w:pPr>
          </w:p>
          <w:p>
            <w:pPr>
              <w:rPr>
                <w:rFonts w:eastAsia="宋体"/>
                <w:sz w:val="20"/>
                <w:szCs w:val="20"/>
                <w:lang w:val="en-GB" w:eastAsia="zh-CN"/>
              </w:rPr>
            </w:pP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rFonts w:eastAsia="宋体"/>
                <w:sz w:val="20"/>
                <w:szCs w:val="20"/>
                <w:lang w:val="en-GB" w:eastAsia="zh-CN"/>
              </w:rPr>
            </w:pPr>
            <w:r>
              <w:rPr>
                <w:rFonts w:hint="eastAsia" w:eastAsia="宋体"/>
                <w:sz w:val="20"/>
                <w:szCs w:val="20"/>
                <w:lang w:val="en-GB" w:eastAsia="zh-CN"/>
              </w:rPr>
              <w:t>N</w:t>
            </w:r>
            <w:r>
              <w:rPr>
                <w:rFonts w:eastAsia="宋体"/>
                <w:sz w:val="20"/>
                <w:szCs w:val="20"/>
                <w:lang w:val="en-GB" w:eastAsia="zh-CN"/>
              </w:rPr>
              <w:t>o</w:t>
            </w:r>
          </w:p>
        </w:tc>
        <w:tc>
          <w:tcPr>
            <w:tcW w:w="6205" w:type="dxa"/>
          </w:tcPr>
          <w:p>
            <w:pPr>
              <w:rPr>
                <w:rFonts w:eastAsia="宋体"/>
                <w:sz w:val="20"/>
                <w:szCs w:val="20"/>
                <w:lang w:val="en-GB" w:eastAsia="zh-CN"/>
              </w:rPr>
            </w:pPr>
            <w:r>
              <w:rPr>
                <w:rFonts w:hint="eastAsia" w:eastAsia="宋体"/>
                <w:sz w:val="20"/>
                <w:szCs w:val="20"/>
                <w:lang w:val="en-GB" w:eastAsia="zh-CN"/>
              </w:rPr>
              <w:t>N</w:t>
            </w:r>
            <w:r>
              <w:rPr>
                <w:rFonts w:eastAsia="宋体"/>
                <w:sz w:val="20"/>
                <w:szCs w:val="20"/>
                <w:lang w:val="en-GB" w:eastAsia="zh-CN"/>
              </w:rPr>
              <w:t>o need to use too many anchor UEs, i.e., UEs out of reach of server UE for SL positioning, at least in this release. Generally, the positioning accuracy depends highly on the available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rFonts w:hint="default" w:eastAsia="宋体"/>
                <w:sz w:val="20"/>
                <w:szCs w:val="20"/>
                <w:lang w:val="en-US" w:eastAsia="zh-CN"/>
              </w:rPr>
            </w:pPr>
            <w:r>
              <w:rPr>
                <w:rFonts w:hint="eastAsia" w:eastAsia="宋体"/>
                <w:sz w:val="20"/>
                <w:szCs w:val="20"/>
                <w:lang w:val="en-US" w:eastAsia="zh-CN"/>
              </w:rPr>
              <w:t>In RAN2#123bis, we have already agreed that server UE can get multiple SL-PRS configurations from multiple anchor UEs. So direct link between server and anchor should be reasonable</w:t>
            </w:r>
          </w:p>
        </w:tc>
      </w:tr>
    </w:tbl>
    <w:p>
      <w:pPr>
        <w:jc w:val="both"/>
        <w:rPr>
          <w:sz w:val="20"/>
          <w:szCs w:val="20"/>
        </w:rPr>
      </w:pPr>
    </w:p>
    <w:p>
      <w:pPr>
        <w:jc w:val="both"/>
        <w:rPr>
          <w:sz w:val="20"/>
          <w:szCs w:val="20"/>
        </w:rPr>
      </w:pPr>
    </w:p>
    <w:p>
      <w:pPr>
        <w:spacing w:before="120" w:beforeLines="50"/>
        <w:rPr>
          <w:b/>
          <w:bCs/>
          <w:sz w:val="20"/>
          <w:szCs w:val="20"/>
        </w:rPr>
      </w:pPr>
      <w:r>
        <w:rPr>
          <w:b/>
          <w:bCs/>
          <w:sz w:val="20"/>
          <w:szCs w:val="20"/>
        </w:rPr>
        <w:t>Q6: Based on the above questions, do companies think that SLPP forwarding needs to be supported for the case of UE-only operation?</w:t>
      </w:r>
    </w:p>
    <w:p>
      <w:pPr>
        <w:pStyle w:val="120"/>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target and anchor UEs are assumed to be able to directly communicate with the server UE</w:t>
      </w:r>
    </w:p>
    <w:p>
      <w:pPr>
        <w:pStyle w:val="120"/>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 SLPP forwarding by the target UE is necessary to transfer SLPP information between the server UE and the anchor UE(s)</w:t>
      </w:r>
    </w:p>
    <w:p>
      <w:pPr>
        <w:pStyle w:val="120"/>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 SLPP forwarding by the anchor UE is necessary to transfer SLPP information between the server UE and other anchor UE(s)</w:t>
      </w:r>
    </w:p>
    <w:p>
      <w:pPr>
        <w:pStyle w:val="120"/>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 (please comment)</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Selected Option</w:t>
            </w:r>
          </w:p>
        </w:tc>
        <w:tc>
          <w:tcPr>
            <w:tcW w:w="6205" w:type="dxa"/>
          </w:tcPr>
          <w:p>
            <w:pPr>
              <w:jc w:val="center"/>
              <w:rPr>
                <w:b/>
                <w:bCs/>
                <w:sz w:val="20"/>
                <w:szCs w:val="20"/>
                <w:lang w:val="en-GB"/>
              </w:rPr>
            </w:pPr>
            <w:r>
              <w:rPr>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eastAsia="宋体"/>
                <w:sz w:val="20"/>
                <w:szCs w:val="20"/>
                <w:lang w:val="en-GB" w:eastAsia="zh-CN"/>
              </w:rPr>
              <w:t>Apple</w:t>
            </w:r>
          </w:p>
        </w:tc>
        <w:tc>
          <w:tcPr>
            <w:tcW w:w="1170" w:type="dxa"/>
          </w:tcPr>
          <w:p>
            <w:pPr>
              <w:rPr>
                <w:rFonts w:eastAsia="宋体"/>
                <w:sz w:val="20"/>
                <w:szCs w:val="20"/>
                <w:lang w:val="en-GB" w:eastAsia="zh-CN"/>
              </w:rPr>
            </w:pPr>
            <w:r>
              <w:rPr>
                <w:rFonts w:eastAsia="宋体"/>
                <w:sz w:val="20"/>
                <w:szCs w:val="20"/>
                <w:lang w:val="en-GB" w:eastAsia="zh-CN"/>
              </w:rPr>
              <w:t>No</w:t>
            </w:r>
          </w:p>
        </w:tc>
        <w:tc>
          <w:tcPr>
            <w:tcW w:w="6205" w:type="dxa"/>
          </w:tcPr>
          <w:p>
            <w:pPr>
              <w:rPr>
                <w:rFonts w:eastAsia="宋体"/>
                <w:sz w:val="20"/>
                <w:szCs w:val="20"/>
                <w:lang w:val="en-GB" w:eastAsia="zh-CN"/>
              </w:rPr>
            </w:pPr>
            <w:r>
              <w:rPr>
                <w:rFonts w:eastAsia="宋体"/>
                <w:sz w:val="20"/>
                <w:szCs w:val="20"/>
                <w:lang w:val="en-GB" w:eastAsia="zh-CN"/>
              </w:rPr>
              <w:t>Direct connectivity to the server UE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hint="eastAsia" w:eastAsia="宋体"/>
                <w:sz w:val="20"/>
                <w:szCs w:val="20"/>
                <w:lang w:val="en-GB" w:eastAsia="zh-CN"/>
              </w:rPr>
              <w:t>N</w:t>
            </w:r>
            <w:r>
              <w:rPr>
                <w:rFonts w:eastAsia="宋体"/>
                <w:sz w:val="20"/>
                <w:szCs w:val="20"/>
                <w:lang w:val="en-GB" w:eastAsia="zh-CN"/>
              </w:rPr>
              <w:t>o</w:t>
            </w:r>
          </w:p>
        </w:tc>
        <w:tc>
          <w:tcPr>
            <w:tcW w:w="6205" w:type="dxa"/>
          </w:tcPr>
          <w:p>
            <w:pPr>
              <w:rPr>
                <w:rFonts w:eastAsia="宋体"/>
                <w:sz w:val="20"/>
                <w:szCs w:val="20"/>
                <w:lang w:val="en-GB" w:eastAsia="zh-CN"/>
              </w:rPr>
            </w:pPr>
            <w:r>
              <w:rPr>
                <w:rFonts w:hint="eastAsia" w:eastAsia="宋体"/>
                <w:sz w:val="20"/>
                <w:szCs w:val="20"/>
                <w:lang w:val="en-GB" w:eastAsia="zh-CN"/>
              </w:rPr>
              <w:t>N</w:t>
            </w:r>
            <w:r>
              <w:rPr>
                <w:rFonts w:eastAsia="宋体"/>
                <w:sz w:val="20"/>
                <w:szCs w:val="20"/>
                <w:lang w:val="en-GB" w:eastAsia="zh-CN"/>
              </w:rPr>
              <w:t>oting needs to be changed for the UE-only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Pr>
          <w:p>
            <w:pPr>
              <w:rPr>
                <w:sz w:val="20"/>
                <w:szCs w:val="20"/>
                <w:lang w:val="en-GB"/>
              </w:rPr>
            </w:pPr>
            <w:r>
              <w:rPr>
                <w:rFonts w:eastAsia="宋体"/>
                <w:sz w:val="20"/>
                <w:szCs w:val="20"/>
                <w:lang w:val="en-GB" w:eastAsia="zh-CN"/>
              </w:rPr>
              <w:t>2) Yes, SLPP forwarding by the target UE</w:t>
            </w:r>
          </w:p>
        </w:tc>
        <w:tc>
          <w:tcPr>
            <w:tcW w:w="6205" w:type="dxa"/>
          </w:tcPr>
          <w:p>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f SLPP forwarding is not supported, valid anchor UEs are likely to be less or even zero, which will greatly decrease positioning accuracy or even the availability of positioning. See our comments in Q5.</w:t>
            </w:r>
          </w:p>
          <w:p>
            <w:pPr>
              <w:rPr>
                <w:rFonts w:eastAsia="宋体"/>
                <w:sz w:val="20"/>
                <w:szCs w:val="20"/>
                <w:lang w:val="en-GB" w:eastAsia="zh-CN"/>
              </w:rPr>
            </w:pPr>
          </w:p>
          <w:p>
            <w:pPr>
              <w:rPr>
                <w:rFonts w:eastAsia="宋体"/>
                <w:sz w:val="20"/>
                <w:szCs w:val="20"/>
                <w:lang w:val="en-GB" w:eastAsia="zh-CN"/>
              </w:rPr>
            </w:pPr>
            <w:r>
              <w:rPr>
                <w:rFonts w:hint="eastAsia" w:eastAsia="宋体"/>
                <w:sz w:val="20"/>
                <w:szCs w:val="20"/>
                <w:lang w:val="en-GB" w:eastAsia="zh-CN"/>
              </w:rPr>
              <w:t>N</w:t>
            </w:r>
            <w:r>
              <w:rPr>
                <w:rFonts w:eastAsia="宋体"/>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pPr>
              <w:rPr>
                <w:sz w:val="20"/>
                <w:szCs w:val="20"/>
                <w:lang w:val="en-GB"/>
              </w:rPr>
            </w:pPr>
            <w:r>
              <w:rPr>
                <w:rFonts w:hint="eastAsia" w:eastAsia="宋体"/>
                <w:sz w:val="20"/>
                <w:szCs w:val="20"/>
                <w:lang w:val="en-GB" w:eastAsia="zh-CN"/>
              </w:rPr>
              <w:t>F</w:t>
            </w:r>
            <w:r>
              <w:rPr>
                <w:rFonts w:eastAsia="宋体"/>
                <w:sz w:val="20"/>
                <w:szCs w:val="20"/>
                <w:lang w:val="en-GB" w:eastAsia="zh-CN"/>
              </w:rPr>
              <w:t>orwarding procedure is quite simple, see our TP in R2-2309668.</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rFonts w:eastAsia="宋体"/>
                <w:sz w:val="20"/>
                <w:szCs w:val="20"/>
                <w:lang w:val="en-GB" w:eastAsia="zh-CN"/>
              </w:rPr>
            </w:pPr>
            <w:r>
              <w:rPr>
                <w:rFonts w:hint="eastAsia" w:eastAsia="宋体"/>
                <w:sz w:val="20"/>
                <w:szCs w:val="20"/>
                <w:lang w:val="en-GB" w:eastAsia="zh-CN"/>
              </w:rPr>
              <w:t>N</w:t>
            </w:r>
            <w:r>
              <w:rPr>
                <w:rFonts w:eastAsia="宋体"/>
                <w:sz w:val="20"/>
                <w:szCs w:val="20"/>
                <w:lang w:val="en-GB" w:eastAsia="zh-CN"/>
              </w:rPr>
              <w:t>o</w:t>
            </w:r>
          </w:p>
        </w:tc>
        <w:tc>
          <w:tcPr>
            <w:tcW w:w="6205"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1)</w:t>
            </w:r>
          </w:p>
        </w:tc>
        <w:tc>
          <w:tcPr>
            <w:tcW w:w="6205" w:type="dxa"/>
          </w:tcPr>
          <w:p>
            <w:pPr>
              <w:rPr>
                <w:rFonts w:hint="eastAsia" w:eastAsia="宋体"/>
                <w:sz w:val="20"/>
                <w:szCs w:val="20"/>
                <w:lang w:val="en-US" w:eastAsia="zh-CN"/>
              </w:rPr>
            </w:pPr>
            <w:r>
              <w:rPr>
                <w:rFonts w:hint="eastAsia" w:eastAsia="宋体"/>
                <w:sz w:val="20"/>
                <w:szCs w:val="20"/>
                <w:lang w:val="en-US" w:eastAsia="zh-CN"/>
              </w:rPr>
              <w:t>If there are 3 separate UEs, target, server, anchor, target and anchor should directly talk to server; if server is the target or anchor, then target(server) and anchor (server) can directly talk to each other.</w:t>
            </w:r>
          </w:p>
          <w:p>
            <w:pPr>
              <w:rPr>
                <w:rFonts w:hint="eastAsia" w:eastAsia="宋体"/>
                <w:sz w:val="20"/>
                <w:szCs w:val="20"/>
                <w:lang w:val="en-US" w:eastAsia="zh-CN"/>
              </w:rPr>
            </w:pPr>
          </w:p>
          <w:p>
            <w:pPr>
              <w:rPr>
                <w:rFonts w:hint="default" w:eastAsia="宋体"/>
                <w:sz w:val="20"/>
                <w:szCs w:val="20"/>
                <w:lang w:val="en-US" w:eastAsia="zh-CN"/>
              </w:rPr>
            </w:pPr>
            <w:r>
              <w:rPr>
                <w:rFonts w:hint="eastAsia" w:eastAsia="宋体"/>
                <w:sz w:val="20"/>
                <w:szCs w:val="20"/>
                <w:lang w:val="en-US" w:eastAsia="zh-CN"/>
              </w:rPr>
              <w:t>Actually we are not sure whether server UE gathers anchor UE</w:t>
            </w:r>
            <w:r>
              <w:rPr>
                <w:rFonts w:hint="default" w:eastAsia="宋体"/>
                <w:sz w:val="20"/>
                <w:szCs w:val="20"/>
                <w:lang w:val="en-US" w:eastAsia="zh-CN"/>
              </w:rPr>
              <w:t>’</w:t>
            </w:r>
            <w:r>
              <w:rPr>
                <w:rFonts w:hint="eastAsia" w:eastAsia="宋体"/>
                <w:sz w:val="20"/>
                <w:szCs w:val="20"/>
                <w:lang w:val="en-US" w:eastAsia="zh-CN"/>
              </w:rPr>
              <w:t xml:space="preserve">s assistance data and provides them to the target UE is a kind of </w:t>
            </w:r>
            <w:r>
              <w:rPr>
                <w:rFonts w:hint="default" w:eastAsia="宋体"/>
                <w:sz w:val="20"/>
                <w:szCs w:val="20"/>
                <w:lang w:val="en-US" w:eastAsia="zh-CN"/>
              </w:rPr>
              <w:t>‘</w:t>
            </w:r>
            <w:r>
              <w:rPr>
                <w:rFonts w:hint="eastAsia" w:eastAsia="宋体"/>
                <w:sz w:val="20"/>
                <w:szCs w:val="20"/>
                <w:lang w:val="en-US" w:eastAsia="zh-CN"/>
              </w:rPr>
              <w:t>SLPP forwarding</w:t>
            </w:r>
            <w:r>
              <w:rPr>
                <w:rFonts w:hint="default" w:eastAsia="宋体"/>
                <w:sz w:val="20"/>
                <w:szCs w:val="20"/>
                <w:lang w:val="en-US" w:eastAsia="zh-CN"/>
              </w:rPr>
              <w:t>’</w:t>
            </w:r>
            <w:r>
              <w:rPr>
                <w:rFonts w:hint="eastAsia" w:eastAsia="宋体"/>
                <w:sz w:val="20"/>
                <w:szCs w:val="20"/>
                <w:lang w:val="en-US" w:eastAsia="zh-CN"/>
              </w:rPr>
              <w:t xml:space="preserve"> or not. The forwarding node is server UE here.</w:t>
            </w:r>
          </w:p>
        </w:tc>
      </w:tr>
    </w:tbl>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If the need for SLPP forwarding is established, the next aspects for discussion pertain to the approach used for forwarding and which SLPP information needs to be forwarded. For the former question, different approaches can be considered and companies are invited to comment on the following question.</w:t>
      </w:r>
    </w:p>
    <w:p>
      <w:pPr>
        <w:jc w:val="both"/>
        <w:rPr>
          <w:sz w:val="20"/>
          <w:szCs w:val="20"/>
          <w:lang w:val="en-GB"/>
        </w:rPr>
      </w:pPr>
    </w:p>
    <w:p>
      <w:pPr>
        <w:spacing w:before="120" w:beforeLines="50"/>
        <w:rPr>
          <w:b/>
          <w:bCs/>
          <w:sz w:val="20"/>
          <w:szCs w:val="20"/>
        </w:rPr>
      </w:pPr>
      <w:r>
        <w:rPr>
          <w:b/>
          <w:bCs/>
          <w:sz w:val="20"/>
          <w:szCs w:val="20"/>
        </w:rPr>
        <w:t>Q7: Which approach do companies prefer for the SLPP forwarding (if supported)?</w:t>
      </w:r>
    </w:p>
    <w:p>
      <w:pPr>
        <w:pStyle w:val="120"/>
        <w:numPr>
          <w:ilvl w:val="0"/>
          <w:numId w:val="25"/>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Regenerate SLPP message approach, i.e. the "forwarding node" receives the message (which indicates a different destination ID) from the server, and then generates the corresponding SLPP message to the destination UE;</w:t>
      </w:r>
    </w:p>
    <w:p>
      <w:pPr>
        <w:pStyle w:val="120"/>
        <w:numPr>
          <w:ilvl w:val="0"/>
          <w:numId w:val="25"/>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SLPP container-based approach, i.e. the "forwarding node" receives the message (which indicates a different destination ID) from the server, and then encapsulates it within an SLPP message as a container and sends to the destination UE;</w:t>
      </w:r>
    </w:p>
    <w:p>
      <w:pPr>
        <w:pStyle w:val="120"/>
        <w:numPr>
          <w:ilvl w:val="0"/>
          <w:numId w:val="25"/>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Others (please comment)</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1123"/>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center"/>
              <w:rPr>
                <w:b/>
                <w:bCs/>
                <w:sz w:val="20"/>
                <w:szCs w:val="20"/>
                <w:lang w:val="en-GB"/>
              </w:rPr>
            </w:pPr>
            <w:r>
              <w:rPr>
                <w:b/>
                <w:bCs/>
                <w:sz w:val="20"/>
                <w:szCs w:val="20"/>
                <w:lang w:val="en-GB"/>
              </w:rPr>
              <w:t>Company’s name</w:t>
            </w:r>
          </w:p>
        </w:tc>
        <w:tc>
          <w:tcPr>
            <w:tcW w:w="1135" w:type="dxa"/>
          </w:tcPr>
          <w:p>
            <w:pPr>
              <w:jc w:val="center"/>
              <w:rPr>
                <w:b/>
                <w:bCs/>
                <w:sz w:val="20"/>
                <w:szCs w:val="20"/>
                <w:lang w:val="en-GB"/>
              </w:rPr>
            </w:pPr>
            <w:r>
              <w:rPr>
                <w:b/>
                <w:bCs/>
                <w:sz w:val="20"/>
                <w:szCs w:val="20"/>
                <w:lang w:val="en-GB"/>
              </w:rPr>
              <w:t>Selected Option</w:t>
            </w:r>
          </w:p>
        </w:tc>
        <w:tc>
          <w:tcPr>
            <w:tcW w:w="6348" w:type="dxa"/>
          </w:tcPr>
          <w:p>
            <w:pPr>
              <w:jc w:val="center"/>
              <w:rPr>
                <w:b/>
                <w:bCs/>
                <w:sz w:val="20"/>
                <w:szCs w:val="20"/>
                <w:lang w:val="en-GB"/>
              </w:rPr>
            </w:pPr>
            <w:r>
              <w:rPr>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35" w:type="dxa"/>
          </w:tcPr>
          <w:p>
            <w:pPr>
              <w:rPr>
                <w:rFonts w:eastAsia="宋体"/>
                <w:sz w:val="20"/>
                <w:szCs w:val="20"/>
                <w:lang w:val="en-GB" w:eastAsia="zh-CN"/>
              </w:rPr>
            </w:pPr>
            <w:r>
              <w:rPr>
                <w:rFonts w:hint="eastAsia" w:eastAsia="宋体"/>
                <w:sz w:val="20"/>
                <w:szCs w:val="20"/>
                <w:lang w:val="en-GB" w:eastAsia="zh-CN"/>
              </w:rPr>
              <w:t>1</w:t>
            </w:r>
            <w:r>
              <w:rPr>
                <w:rFonts w:eastAsia="宋体"/>
                <w:sz w:val="20"/>
                <w:szCs w:val="20"/>
                <w:lang w:val="en-GB" w:eastAsia="zh-CN"/>
              </w:rPr>
              <w:t>)</w:t>
            </w:r>
          </w:p>
        </w:tc>
        <w:tc>
          <w:tcPr>
            <w:tcW w:w="6348" w:type="dxa"/>
          </w:tcPr>
          <w:p>
            <w:pPr>
              <w:rPr>
                <w:rFonts w:eastAsia="宋体"/>
                <w:sz w:val="20"/>
                <w:szCs w:val="20"/>
                <w:lang w:val="en-GB" w:eastAsia="zh-CN"/>
              </w:rPr>
            </w:pPr>
            <w:r>
              <w:rPr>
                <w:rFonts w:hint="eastAsia" w:eastAsia="宋体"/>
                <w:sz w:val="20"/>
                <w:szCs w:val="20"/>
                <w:lang w:val="en-GB" w:eastAsia="zh-CN"/>
              </w:rPr>
              <w:t>T</w:t>
            </w:r>
            <w:r>
              <w:rPr>
                <w:rFonts w:eastAsia="宋体"/>
                <w:sz w:val="20"/>
                <w:szCs w:val="20"/>
                <w:lang w:val="en-GB" w:eastAsia="zh-CN"/>
              </w:rPr>
              <w:t>he UE will regenerate a new SLPP message containing the originating UE’s Application layer ID and send it in an SLPP message to the LMF/server UE</w:t>
            </w:r>
          </w:p>
          <w:p>
            <w:pPr>
              <w:rPr>
                <w:rFonts w:eastAsia="宋体"/>
                <w:sz w:val="20"/>
                <w:szCs w:val="20"/>
                <w:lang w:val="en-GB" w:eastAsia="zh-CN"/>
              </w:rPr>
            </w:pPr>
          </w:p>
          <w:p>
            <w:pPr>
              <w:rPr>
                <w:rFonts w:eastAsia="宋体"/>
                <w:sz w:val="20"/>
                <w:szCs w:val="20"/>
                <w:lang w:val="en-GB" w:eastAsia="zh-CN"/>
              </w:rPr>
            </w:pPr>
            <w:r>
              <w:rPr>
                <w:rFonts w:hint="eastAsia" w:eastAsia="宋体"/>
                <w:sz w:val="20"/>
                <w:szCs w:val="20"/>
                <w:lang w:val="en-GB" w:eastAsia="zh-CN"/>
              </w:rPr>
              <w:t>T</w:t>
            </w:r>
            <w:r>
              <w:rPr>
                <w:rFonts w:eastAsia="宋体"/>
                <w:sz w:val="20"/>
                <w:szCs w:val="20"/>
                <w:lang w:val="en-GB" w:eastAsia="zh-CN"/>
              </w:rPr>
              <w:t xml:space="preserve">he use of the application layer id has been clear in SA2 spec </w:t>
            </w:r>
          </w:p>
          <w:p>
            <w:pPr>
              <w:rPr>
                <w:rFonts w:eastAsia="宋体"/>
                <w:sz w:val="20"/>
                <w:szCs w:val="20"/>
                <w:lang w:val="en-GB" w:eastAsia="zh-CN"/>
              </w:rPr>
            </w:pPr>
          </w:p>
          <w:p>
            <w:pPr>
              <w:rPr>
                <w:rFonts w:eastAsia="宋体"/>
                <w:sz w:val="20"/>
                <w:szCs w:val="20"/>
                <w:lang w:val="en-GB" w:eastAsia="zh-CN"/>
              </w:rPr>
            </w:pPr>
            <w:r>
              <w:drawing>
                <wp:inline distT="0" distB="0" distL="0" distR="0">
                  <wp:extent cx="3893820" cy="86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922328" cy="87037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35" w:type="dxa"/>
          </w:tcPr>
          <w:p>
            <w:pPr>
              <w:rPr>
                <w:rFonts w:eastAsia="宋体"/>
                <w:sz w:val="20"/>
                <w:szCs w:val="20"/>
                <w:lang w:val="en-GB" w:eastAsia="zh-CN"/>
              </w:rPr>
            </w:pPr>
            <w:r>
              <w:rPr>
                <w:rFonts w:hint="eastAsia" w:eastAsia="宋体"/>
                <w:sz w:val="20"/>
                <w:szCs w:val="20"/>
                <w:lang w:val="en-GB" w:eastAsia="zh-CN"/>
              </w:rPr>
              <w:t>2</w:t>
            </w:r>
            <w:r>
              <w:rPr>
                <w:rFonts w:eastAsia="宋体"/>
                <w:sz w:val="20"/>
                <w:szCs w:val="20"/>
                <w:lang w:val="en-GB" w:eastAsia="zh-CN"/>
              </w:rPr>
              <w:t>) with comments</w:t>
            </w:r>
          </w:p>
        </w:tc>
        <w:tc>
          <w:tcPr>
            <w:tcW w:w="6348" w:type="dxa"/>
          </w:tcPr>
          <w:p>
            <w:pPr>
              <w:rPr>
                <w:rFonts w:eastAsia="宋体"/>
                <w:sz w:val="20"/>
                <w:szCs w:val="20"/>
                <w:lang w:val="en-GB" w:eastAsia="zh-CN"/>
              </w:rPr>
            </w:pPr>
            <w:r>
              <w:rPr>
                <w:rFonts w:hint="eastAsia" w:eastAsia="宋体"/>
                <w:sz w:val="20"/>
                <w:szCs w:val="20"/>
                <w:lang w:val="en-GB" w:eastAsia="zh-CN"/>
              </w:rPr>
              <w:t>A</w:t>
            </w:r>
            <w:r>
              <w:rPr>
                <w:rFonts w:eastAsia="宋体"/>
                <w:sz w:val="20"/>
                <w:szCs w:val="20"/>
                <w:lang w:val="en-GB" w:eastAsia="zh-CN"/>
              </w:rPr>
              <w:t xml:space="preserve">pproach 1) needs the "forwarding node" deeply participating in the positioning, i.e., completely decode the information related to detail positioning information and then regenerate the SLPP message, which will greatly increase the implementation complexity of "forwarding node", and also consume the resource of CPU memory, but it is unnecessary. </w:t>
            </w:r>
          </w:p>
          <w:p>
            <w:pPr>
              <w:rPr>
                <w:rFonts w:eastAsia="宋体"/>
                <w:sz w:val="20"/>
                <w:szCs w:val="20"/>
                <w:lang w:val="en-GB" w:eastAsia="zh-CN"/>
              </w:rPr>
            </w:pPr>
          </w:p>
          <w:p>
            <w:pPr>
              <w:rPr>
                <w:rFonts w:eastAsia="宋体"/>
                <w:sz w:val="20"/>
                <w:szCs w:val="20"/>
                <w:lang w:val="en-GB" w:eastAsia="zh-CN"/>
              </w:rPr>
            </w:pPr>
            <w:r>
              <w:rPr>
                <w:rFonts w:hint="eastAsia" w:eastAsia="宋体"/>
                <w:sz w:val="20"/>
                <w:szCs w:val="20"/>
                <w:lang w:val="en-GB" w:eastAsia="zh-CN"/>
              </w:rPr>
              <w:t>F</w:t>
            </w:r>
            <w:r>
              <w:rPr>
                <w:rFonts w:eastAsia="宋体"/>
                <w:sz w:val="20"/>
                <w:szCs w:val="20"/>
                <w:lang w:val="en-GB" w:eastAsia="zh-CN"/>
              </w:rPr>
              <w:t>or Approach 2), we want to make it clearer, see the following (extracted from R2-2309668):</w:t>
            </w:r>
          </w:p>
          <w:p>
            <w:pPr>
              <w:pStyle w:val="110"/>
              <w:rPr>
                <w:rFonts w:eastAsia="MS Mincho"/>
              </w:rPr>
            </w:pPr>
            <w:r>
              <w:rPr>
                <w:rFonts w:eastAsia="宋体" w:cs="Times New Roman"/>
                <w:sz w:val="20"/>
                <w:szCs w:val="20"/>
              </w:rPr>
              <w:object>
                <v:shape id="_x0000_i1027" o:spt="75" type="#_x0000_t75" style="height:122.3pt;width:322.75pt;" o:ole="t" filled="f" o:preferrelative="t" stroked="f" coordsize="21600,21600">
                  <v:path/>
                  <v:fill on="f" focussize="0,0"/>
                  <v:stroke on="f" joinstyle="miter"/>
                  <v:imagedata r:id="rId10" o:title=""/>
                  <o:lock v:ext="edit" aspectratio="t"/>
                  <w10:wrap type="none"/>
                  <w10:anchorlock/>
                </v:shape>
                <o:OLEObject Type="Embed" ProgID="Visio.Drawing.15" ShapeID="_x0000_i1027" DrawAspect="Content" ObjectID="_1468075727" r:id="rId9">
                  <o:LockedField>false</o:LockedField>
                </o:OLEObject>
              </w:object>
            </w:r>
          </w:p>
          <w:p>
            <w:pPr>
              <w:pStyle w:val="112"/>
              <w:rPr>
                <w:rFonts w:eastAsia="宋体"/>
              </w:rPr>
            </w:pPr>
            <w:r>
              <w:t>Figure 5.6.2-1: SLPP Message Forwarding procedure</w:t>
            </w:r>
          </w:p>
          <w:p>
            <w:pPr>
              <w:pStyle w:val="131"/>
              <w:rPr>
                <w:rFonts w:eastAsia="MS Mincho"/>
                <w:sz w:val="21"/>
                <w:lang w:val="en-GB" w:eastAsia="en-GB"/>
              </w:rPr>
            </w:pPr>
            <w:r>
              <w:rPr>
                <w:lang w:val="en-GB" w:eastAsia="en-GB"/>
              </w:rPr>
              <w:t>1.</w:t>
            </w:r>
            <w:r>
              <w:rPr>
                <w:lang w:val="en-GB" w:eastAsia="en-GB"/>
              </w:rPr>
              <w:tab/>
            </w:r>
            <w:r>
              <w:rPr>
                <w:sz w:val="21"/>
                <w:lang w:val="en-GB" w:eastAsia="en-GB"/>
              </w:rPr>
              <w:t xml:space="preserve">Endpoint A needs to send an SLPP message to Endpoint B, but Endpoint A cannot directly communicate with Endpoint B. Endpoint A sends a </w:t>
            </w:r>
            <w:r>
              <w:rPr>
                <w:i/>
                <w:sz w:val="21"/>
                <w:lang w:val="en-GB" w:eastAsia="en-GB"/>
              </w:rPr>
              <w:t>MessageForwarding</w:t>
            </w:r>
            <w:r>
              <w:rPr>
                <w:sz w:val="21"/>
                <w:lang w:val="en-GB" w:eastAsia="en-GB"/>
              </w:rPr>
              <w:t xml:space="preserve"> message to target UE. In the </w:t>
            </w:r>
            <w:r>
              <w:rPr>
                <w:i/>
                <w:sz w:val="21"/>
                <w:lang w:val="en-GB" w:eastAsia="en-GB"/>
              </w:rPr>
              <w:t>MessageForwarding</w:t>
            </w:r>
            <w:r>
              <w:rPr>
                <w:sz w:val="21"/>
                <w:lang w:val="en-GB" w:eastAsia="en-GB"/>
              </w:rPr>
              <w:t xml:space="preserve"> message, the SLPP message is included as a container and the destination is set to Endpoint B.</w:t>
            </w:r>
          </w:p>
          <w:p>
            <w:pPr>
              <w:pStyle w:val="131"/>
              <w:rPr>
                <w:sz w:val="21"/>
                <w:lang w:val="en-GB" w:eastAsia="en-GB"/>
              </w:rPr>
            </w:pPr>
            <w:r>
              <w:rPr>
                <w:sz w:val="21"/>
                <w:lang w:val="en-GB" w:eastAsia="en-GB"/>
              </w:rPr>
              <w:t>2.</w:t>
            </w:r>
            <w:r>
              <w:rPr>
                <w:sz w:val="21"/>
                <w:lang w:val="en-GB" w:eastAsia="en-GB"/>
              </w:rPr>
              <w:tab/>
            </w:r>
            <w:r>
              <w:rPr>
                <w:sz w:val="21"/>
                <w:lang w:val="en-GB" w:eastAsia="en-GB"/>
              </w:rPr>
              <w:t xml:space="preserve">Target UE decodes the </w:t>
            </w:r>
            <w:r>
              <w:rPr>
                <w:i/>
                <w:sz w:val="21"/>
                <w:lang w:val="en-GB" w:eastAsia="en-GB"/>
              </w:rPr>
              <w:t>MessageForwarding</w:t>
            </w:r>
            <w:r>
              <w:rPr>
                <w:sz w:val="21"/>
                <w:lang w:val="en-GB" w:eastAsia="en-GB"/>
              </w:rPr>
              <w:t xml:space="preserve"> message and gets to know that the destination is Endpoint B. If Endpoint B is an UE and there is no sidelink unicast connection between Target UE and Endpoint B, target UE initiates the sidelink unicast connection setup procedure with Endpoint B. </w:t>
            </w:r>
          </w:p>
          <w:p>
            <w:pPr>
              <w:pStyle w:val="131"/>
              <w:rPr>
                <w:sz w:val="21"/>
                <w:lang w:eastAsia="en-GB"/>
              </w:rPr>
            </w:pPr>
            <w:r>
              <w:rPr>
                <w:sz w:val="21"/>
                <w:lang w:val="en-GB" w:eastAsia="en-GB"/>
              </w:rPr>
              <w:t>3.</w:t>
            </w:r>
            <w:r>
              <w:rPr>
                <w:sz w:val="21"/>
                <w:lang w:val="en-GB" w:eastAsia="en-GB"/>
              </w:rPr>
              <w:tab/>
            </w:r>
            <w:r>
              <w:rPr>
                <w:sz w:val="21"/>
                <w:lang w:val="en-GB" w:eastAsia="en-GB"/>
              </w:rPr>
              <w:t xml:space="preserve">Target UE sends a </w:t>
            </w:r>
            <w:r>
              <w:rPr>
                <w:i/>
                <w:sz w:val="21"/>
                <w:lang w:val="en-GB" w:eastAsia="en-GB"/>
              </w:rPr>
              <w:t>MessageForwarding</w:t>
            </w:r>
            <w:r>
              <w:rPr>
                <w:sz w:val="21"/>
                <w:lang w:val="en-GB" w:eastAsia="en-GB"/>
              </w:rPr>
              <w:t xml:space="preserve"> message to Endpoint B. In the </w:t>
            </w:r>
            <w:r>
              <w:rPr>
                <w:i/>
                <w:sz w:val="21"/>
                <w:lang w:val="en-GB" w:eastAsia="en-GB"/>
              </w:rPr>
              <w:t>MessageForwarding</w:t>
            </w:r>
            <w:r>
              <w:rPr>
                <w:sz w:val="21"/>
                <w:lang w:val="en-GB" w:eastAsia="en-GB"/>
              </w:rPr>
              <w:t xml:space="preserve"> message, the SLPP message is included as a container and the destination is set to Endpoint B. Endpoint B decodes the </w:t>
            </w:r>
            <w:r>
              <w:rPr>
                <w:i/>
                <w:sz w:val="21"/>
                <w:lang w:val="en-GB" w:eastAsia="en-GB"/>
              </w:rPr>
              <w:t>MessageForwarding</w:t>
            </w:r>
            <w:r>
              <w:rPr>
                <w:sz w:val="21"/>
                <w:lang w:val="en-GB" w:eastAsia="en-GB"/>
              </w:rPr>
              <w:t xml:space="preserve"> message and gets to know that the destination is itself. </w:t>
            </w:r>
            <w:r>
              <w:rPr>
                <w:sz w:val="21"/>
                <w:lang w:eastAsia="en-GB"/>
              </w:rPr>
              <w:t xml:space="preserve">Endpoint B decodes the SLPP message. </w:t>
            </w:r>
          </w:p>
          <w:p>
            <w:pPr>
              <w:rPr>
                <w:rFonts w:eastAsia="宋体"/>
                <w:sz w:val="20"/>
                <w:szCs w:val="20"/>
                <w:lang w:val="en-GB" w:eastAsia="zh-CN"/>
              </w:rPr>
            </w:pP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宋体"/>
                <w:sz w:val="20"/>
                <w:szCs w:val="20"/>
                <w:lang w:val="en-GB" w:eastAsia="zh-CN"/>
              </w:rPr>
            </w:pPr>
            <w:r>
              <w:rPr>
                <w:rFonts w:hint="eastAsia" w:eastAsia="宋体"/>
                <w:sz w:val="20"/>
                <w:szCs w:val="20"/>
                <w:lang w:val="en-GB" w:eastAsia="zh-CN"/>
              </w:rPr>
              <w:t>O</w:t>
            </w:r>
            <w:r>
              <w:rPr>
                <w:rFonts w:eastAsia="宋体"/>
                <w:sz w:val="20"/>
                <w:szCs w:val="20"/>
                <w:lang w:val="en-GB" w:eastAsia="zh-CN"/>
              </w:rPr>
              <w:t>PPO</w:t>
            </w:r>
          </w:p>
        </w:tc>
        <w:tc>
          <w:tcPr>
            <w:tcW w:w="1135" w:type="dxa"/>
          </w:tcPr>
          <w:p>
            <w:pPr>
              <w:rPr>
                <w:rFonts w:eastAsia="宋体"/>
                <w:sz w:val="20"/>
                <w:szCs w:val="20"/>
                <w:lang w:val="en-GB" w:eastAsia="zh-CN"/>
              </w:rPr>
            </w:pPr>
            <w:r>
              <w:rPr>
                <w:rFonts w:hint="eastAsia" w:eastAsia="宋体"/>
                <w:sz w:val="20"/>
                <w:szCs w:val="20"/>
                <w:lang w:val="en-GB" w:eastAsia="zh-CN"/>
              </w:rPr>
              <w:t>2</w:t>
            </w:r>
            <w:r>
              <w:rPr>
                <w:rFonts w:eastAsia="宋体"/>
                <w:sz w:val="20"/>
                <w:szCs w:val="20"/>
                <w:lang w:val="en-GB" w:eastAsia="zh-CN"/>
              </w:rPr>
              <w:t>)</w:t>
            </w:r>
          </w:p>
        </w:tc>
        <w:tc>
          <w:tcPr>
            <w:tcW w:w="6348"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hint="default" w:eastAsia="宋体"/>
                <w:sz w:val="20"/>
                <w:szCs w:val="20"/>
                <w:lang w:val="en-US" w:eastAsia="zh-CN"/>
              </w:rPr>
            </w:pPr>
            <w:r>
              <w:rPr>
                <w:rFonts w:hint="eastAsia" w:eastAsia="宋体"/>
                <w:sz w:val="20"/>
                <w:szCs w:val="20"/>
                <w:lang w:val="en-US" w:eastAsia="zh-CN"/>
              </w:rPr>
              <w:t>ZTE</w:t>
            </w:r>
          </w:p>
        </w:tc>
        <w:tc>
          <w:tcPr>
            <w:tcW w:w="1135" w:type="dxa"/>
          </w:tcPr>
          <w:p>
            <w:pPr>
              <w:rPr>
                <w:rFonts w:hint="default" w:eastAsia="宋体"/>
                <w:sz w:val="20"/>
                <w:szCs w:val="20"/>
                <w:lang w:val="en-US" w:eastAsia="zh-CN"/>
              </w:rPr>
            </w:pPr>
            <w:r>
              <w:rPr>
                <w:rFonts w:hint="eastAsia" w:eastAsia="宋体"/>
                <w:sz w:val="20"/>
                <w:szCs w:val="20"/>
                <w:lang w:val="en-US" w:eastAsia="zh-CN"/>
              </w:rPr>
              <w:t>1)</w:t>
            </w:r>
          </w:p>
        </w:tc>
        <w:tc>
          <w:tcPr>
            <w:tcW w:w="6348" w:type="dxa"/>
          </w:tcPr>
          <w:p>
            <w:pPr>
              <w:rPr>
                <w:rFonts w:hint="default" w:eastAsia="宋体"/>
                <w:sz w:val="20"/>
                <w:szCs w:val="20"/>
                <w:lang w:val="en-US" w:eastAsia="zh-CN"/>
              </w:rPr>
            </w:pPr>
            <w:r>
              <w:rPr>
                <w:rFonts w:hint="eastAsia" w:eastAsia="宋体"/>
                <w:sz w:val="20"/>
                <w:szCs w:val="20"/>
                <w:lang w:val="en-US" w:eastAsia="zh-CN"/>
              </w:rPr>
              <w:t>Agree with HW</w:t>
            </w:r>
          </w:p>
        </w:tc>
      </w:tr>
    </w:tbl>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r>
        <w:rPr>
          <w:sz w:val="20"/>
          <w:szCs w:val="20"/>
        </w:rPr>
        <w:t>Secondly, as per discussion in R2-2310195</w:t>
      </w:r>
      <w:r>
        <w:rPr>
          <w:sz w:val="20"/>
          <w:szCs w:val="20"/>
          <w:lang w:val="en-GB"/>
        </w:rPr>
        <w:t>, the different SLPP information which may require forwarding should be discussed. Company views are invited for the following question:</w:t>
      </w:r>
    </w:p>
    <w:p>
      <w:pPr>
        <w:jc w:val="both"/>
        <w:rPr>
          <w:sz w:val="20"/>
          <w:szCs w:val="20"/>
          <w:lang w:val="en-GB"/>
        </w:rPr>
      </w:pPr>
    </w:p>
    <w:p>
      <w:pPr>
        <w:spacing w:before="120" w:beforeLines="50"/>
        <w:rPr>
          <w:b/>
          <w:bCs/>
          <w:sz w:val="20"/>
          <w:szCs w:val="20"/>
        </w:rPr>
      </w:pPr>
      <w:r>
        <w:rPr>
          <w:b/>
          <w:bCs/>
          <w:sz w:val="20"/>
          <w:szCs w:val="20"/>
        </w:rPr>
        <w:t>Q8: Which of the SLPP information needs to be forwarded between the LMF/Server UE and the anchor UE(s)?</w:t>
      </w:r>
    </w:p>
    <w:p>
      <w:pPr>
        <w:pStyle w:val="120"/>
        <w:numPr>
          <w:ilvl w:val="0"/>
          <w:numId w:val="26"/>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SL positioning capability information (SLPP Request/Provide Capabilities msg)</w:t>
      </w:r>
    </w:p>
    <w:p>
      <w:pPr>
        <w:pStyle w:val="120"/>
        <w:numPr>
          <w:ilvl w:val="0"/>
          <w:numId w:val="26"/>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SL positioning assistance data information (SLPP Request/Provide AD msgs)</w:t>
      </w:r>
    </w:p>
    <w:p>
      <w:pPr>
        <w:pStyle w:val="120"/>
        <w:numPr>
          <w:ilvl w:val="0"/>
          <w:numId w:val="26"/>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SL positioning location information (SLPP Request/Provide Location Information msgs)</w:t>
      </w:r>
    </w:p>
    <w:p>
      <w:pPr>
        <w:pStyle w:val="120"/>
        <w:numPr>
          <w:ilvl w:val="0"/>
          <w:numId w:val="26"/>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Others (e.g. Abort, Error)</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Selected Option</w:t>
            </w:r>
          </w:p>
        </w:tc>
        <w:tc>
          <w:tcPr>
            <w:tcW w:w="6205" w:type="dxa"/>
          </w:tcPr>
          <w:p>
            <w:pPr>
              <w:jc w:val="center"/>
              <w:rPr>
                <w:b/>
                <w:bCs/>
                <w:sz w:val="20"/>
                <w:szCs w:val="20"/>
                <w:lang w:val="en-GB"/>
              </w:rPr>
            </w:pPr>
            <w:r>
              <w:rPr>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p>
        </w:tc>
        <w:tc>
          <w:tcPr>
            <w:tcW w:w="6205" w:type="dxa"/>
          </w:tcPr>
          <w:p>
            <w:pPr>
              <w:rPr>
                <w:rFonts w:eastAsia="宋体"/>
                <w:sz w:val="20"/>
                <w:szCs w:val="20"/>
                <w:lang w:val="en-GB" w:eastAsia="zh-CN"/>
              </w:rPr>
            </w:pPr>
            <w:r>
              <w:rPr>
                <w:rFonts w:eastAsia="宋体"/>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Pr>
          <w:p>
            <w:pPr>
              <w:rPr>
                <w:rFonts w:eastAsia="宋体"/>
                <w:sz w:val="20"/>
                <w:szCs w:val="20"/>
                <w:lang w:val="en-GB" w:eastAsia="zh-CN"/>
              </w:rPr>
            </w:pPr>
            <w:r>
              <w:rPr>
                <w:rFonts w:eastAsia="宋体"/>
                <w:sz w:val="20"/>
                <w:szCs w:val="20"/>
                <w:lang w:val="en-GB" w:eastAsia="zh-CN"/>
              </w:rPr>
              <w:t>All</w:t>
            </w:r>
          </w:p>
        </w:tc>
        <w:tc>
          <w:tcPr>
            <w:tcW w:w="6205" w:type="dxa"/>
          </w:tcPr>
          <w:p>
            <w:pPr>
              <w:rPr>
                <w:rFonts w:eastAsia="宋体"/>
                <w:sz w:val="20"/>
                <w:szCs w:val="20"/>
                <w:lang w:val="en-GB" w:eastAsia="zh-CN"/>
              </w:rPr>
            </w:pPr>
            <w:r>
              <w:rPr>
                <w:rFonts w:eastAsia="宋体"/>
                <w:sz w:val="20"/>
                <w:szCs w:val="20"/>
                <w:lang w:val="en-GB" w:eastAsia="zh-CN"/>
              </w:rPr>
              <w:t xml:space="preserve">We think that SLPP forwarding is a common function, i.e., it is </w:t>
            </w:r>
            <w:r>
              <w:rPr>
                <w:rFonts w:eastAsia="宋体"/>
                <w:sz w:val="20"/>
                <w:szCs w:val="20"/>
                <w:u w:val="single"/>
                <w:lang w:val="en-GB" w:eastAsia="zh-CN"/>
              </w:rPr>
              <w:t>message</w:t>
            </w:r>
            <w:r>
              <w:rPr>
                <w:rFonts w:eastAsia="宋体"/>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messages can be forwarded. Actually, which SLPP messages are forwarded depends on the sender of SLPP message.</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sz w:val="20"/>
                <w:szCs w:val="20"/>
                <w:lang w:val="en-GB"/>
              </w:rPr>
            </w:pPr>
          </w:p>
        </w:tc>
        <w:tc>
          <w:tcPr>
            <w:tcW w:w="6205" w:type="dxa"/>
          </w:tcPr>
          <w:p>
            <w:pPr>
              <w:rPr>
                <w:rFonts w:eastAsia="宋体"/>
                <w:sz w:val="20"/>
                <w:szCs w:val="20"/>
                <w:lang w:val="en-GB" w:eastAsia="zh-CN"/>
              </w:rPr>
            </w:pPr>
            <w:r>
              <w:rPr>
                <w:rFonts w:hint="eastAsia" w:eastAsia="宋体"/>
                <w:sz w:val="20"/>
                <w:szCs w:val="20"/>
                <w:lang w:val="en-GB" w:eastAsia="zh-CN"/>
              </w:rPr>
              <w:t>A</w:t>
            </w:r>
            <w:r>
              <w:rPr>
                <w:rFonts w:eastAsia="宋体"/>
                <w:sz w:val="20"/>
                <w:szCs w:val="20"/>
                <w:lang w:val="en-GB" w:eastAsia="zh-CN"/>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sz w:val="20"/>
                <w:szCs w:val="20"/>
                <w:lang w:val="en-GB"/>
              </w:rPr>
            </w:pPr>
          </w:p>
        </w:tc>
        <w:tc>
          <w:tcPr>
            <w:tcW w:w="6205" w:type="dxa"/>
          </w:tcPr>
          <w:p>
            <w:pPr>
              <w:rPr>
                <w:rFonts w:hint="default" w:eastAsia="宋体"/>
                <w:sz w:val="20"/>
                <w:szCs w:val="20"/>
                <w:lang w:val="en-US" w:eastAsia="zh-CN"/>
              </w:rPr>
            </w:pPr>
            <w:r>
              <w:rPr>
                <w:rFonts w:hint="eastAsia" w:eastAsia="宋体"/>
                <w:sz w:val="20"/>
                <w:szCs w:val="20"/>
                <w:lang w:val="en-US" w:eastAsia="zh-CN"/>
              </w:rPr>
              <w:t>We support LMF/server UE to directly talk to anchor UEs. So no SLPP information needs to be forwarded</w:t>
            </w:r>
          </w:p>
        </w:tc>
      </w:tr>
    </w:tbl>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Based on the responses to the above questions, the stage 3 details to enable such forwarding (if supported) need to be discussed. The rapporteur intends to provide more details (including possibly a TP) once company views to the above questions are received and compiled, as part of Phase 2 for this discussion. </w:t>
      </w:r>
    </w:p>
    <w:p>
      <w:pPr>
        <w:pStyle w:val="120"/>
        <w:ind w:left="0"/>
        <w:jc w:val="both"/>
        <w:rPr>
          <w:lang w:val="en-GB"/>
        </w:rPr>
      </w:pPr>
    </w:p>
    <w:p>
      <w:pPr>
        <w:pStyle w:val="3"/>
      </w:pPr>
      <w:r>
        <w:t>Phase 2 Discussion</w:t>
      </w:r>
    </w:p>
    <w:p>
      <w:pPr>
        <w:pStyle w:val="120"/>
        <w:ind w:left="0"/>
        <w:jc w:val="both"/>
        <w:rPr>
          <w:lang w:val="en-GB"/>
        </w:rPr>
      </w:pPr>
      <w:r>
        <w:rPr>
          <w:lang w:val="en-GB"/>
        </w:rPr>
        <w:t>[TBF]</w:t>
      </w:r>
    </w:p>
    <w:p>
      <w:pPr>
        <w:pStyle w:val="3"/>
      </w:pPr>
      <w:r>
        <w:t>Summary/Conclusion</w:t>
      </w:r>
    </w:p>
    <w:p>
      <w:pPr>
        <w:spacing w:before="120" w:beforeLines="50"/>
        <w:rPr>
          <w:b/>
          <w:bCs/>
          <w:sz w:val="20"/>
          <w:szCs w:val="20"/>
        </w:rPr>
      </w:pPr>
      <w:bookmarkStart w:id="3" w:name="_Ref434066290"/>
      <w:r>
        <w:rPr>
          <w:sz w:val="20"/>
          <w:szCs w:val="20"/>
          <w:lang w:val="en-GB"/>
        </w:rPr>
        <w:t>[TBF]</w:t>
      </w:r>
    </w:p>
    <w:p>
      <w:pPr>
        <w:jc w:val="both"/>
        <w:rPr>
          <w:sz w:val="20"/>
          <w:szCs w:val="20"/>
          <w:lang w:val="en-GB"/>
        </w:rPr>
      </w:pPr>
    </w:p>
    <w:bookmarkEnd w:id="1"/>
    <w:bookmarkEnd w:id="3"/>
    <w:sdt>
      <w:sdtPr>
        <w:rPr>
          <w:rFonts w:ascii="Times New Roman" w:hAnsi="Times New Roman" w:eastAsia="Times New Roman"/>
          <w:sz w:val="24"/>
          <w:szCs w:val="24"/>
          <w:lang w:val="en-US" w:eastAsia="en-US"/>
        </w:rPr>
        <w:id w:val="-1417004299"/>
        <w:docPartObj>
          <w:docPartGallery w:val="AutoText"/>
        </w:docPartObj>
      </w:sdtPr>
      <w:sdtEndPr>
        <w:rPr>
          <w:rFonts w:ascii="Times New Roman" w:hAnsi="Times New Roman" w:eastAsia="Times New Roman"/>
          <w:sz w:val="24"/>
          <w:szCs w:val="24"/>
          <w:lang w:val="en-US" w:eastAsia="en-US"/>
        </w:rPr>
      </w:sdtEndPr>
      <w:sdtContent>
        <w:p>
          <w:pPr>
            <w:pStyle w:val="3"/>
          </w:pPr>
          <w:r>
            <w:t>References</w:t>
          </w:r>
        </w:p>
        <w:p>
          <w:pPr>
            <w:rPr>
              <w:rFonts w:eastAsia="宋体" w:asciiTheme="minorHAnsi" w:hAnsiTheme="minorHAnsi" w:cstheme="minorBidi"/>
              <w:sz w:val="20"/>
              <w:szCs w:val="20"/>
              <w:lang w:val="en-GB" w:eastAsia="zh-CN"/>
            </w:rPr>
          </w:pPr>
        </w:p>
        <w:tbl>
          <w:tblPr>
            <w:tblStyle w:val="86"/>
            <w:tblW w:w="5000" w:type="pct"/>
            <w:tblCellSpacing w:w="15" w:type="dxa"/>
            <w:tblInd w:w="0" w:type="dxa"/>
            <w:tblLayout w:type="autofit"/>
            <w:tblCellMar>
              <w:top w:w="15" w:type="dxa"/>
              <w:left w:w="15" w:type="dxa"/>
              <w:bottom w:w="15" w:type="dxa"/>
              <w:right w:w="15" w:type="dxa"/>
            </w:tblCellMar>
          </w:tblPr>
          <w:tblGrid>
            <w:gridCol w:w="355"/>
            <w:gridCol w:w="9095"/>
          </w:tblGrid>
          <w:tr>
            <w:tblPrEx>
              <w:tblCellMar>
                <w:top w:w="15" w:type="dxa"/>
                <w:left w:w="15" w:type="dxa"/>
                <w:bottom w:w="15" w:type="dxa"/>
                <w:right w:w="15" w:type="dxa"/>
              </w:tblCellMar>
            </w:tblPrEx>
            <w:trPr>
              <w:tblCellSpacing w:w="15" w:type="dxa"/>
            </w:trPr>
            <w:tc>
              <w:tcPr>
                <w:tcW w:w="50" w:type="pct"/>
              </w:tcPr>
              <w:p>
                <w:pPr>
                  <w:pStyle w:val="320"/>
                  <w:rPr>
                    <w:lang w:val="en-GB"/>
                  </w:rPr>
                </w:pPr>
                <w:r>
                  <w:rPr>
                    <w:lang w:val="en-GB"/>
                  </w:rPr>
                  <w:t xml:space="preserve">[1] </w:t>
                </w:r>
              </w:p>
            </w:tc>
            <w:tc>
              <w:tcPr>
                <w:tcW w:w="0" w:type="auto"/>
              </w:tcPr>
              <w:p>
                <w:pPr>
                  <w:pStyle w:val="320"/>
                  <w:rPr>
                    <w:lang w:val="en-GB"/>
                  </w:rPr>
                </w:pPr>
                <w:r>
                  <w:rPr>
                    <w:lang w:val="en-GB"/>
                  </w:rPr>
                  <w:t xml:space="preserve">RAN2#123bis meeting, Chariman Notes. </w:t>
                </w:r>
              </w:p>
            </w:tc>
          </w:tr>
        </w:tbl>
        <w:p/>
        <w:p/>
      </w:sdtContent>
    </w:sdt>
    <w:p/>
    <w:sectPr>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onsolas">
    <w:panose1 w:val="020B0609020204030204"/>
    <w:charset w:val="00"/>
    <w:family w:val="modern"/>
    <w:pitch w:val="default"/>
    <w:sig w:usb0="E10002FF" w:usb1="4000FCFF" w:usb2="00000009" w:usb3="00000000" w:csb0="6000019F" w:csb1="DFD70000"/>
  </w:font>
  <w:font w:name="MS Gothic">
    <w:panose1 w:val="020B0609070205080204"/>
    <w:charset w:val="80"/>
    <w:family w:val="auto"/>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auto"/>
    <w:pitch w:val="default"/>
    <w:sig w:usb0="E00002FF" w:usb1="6AC7FDFB" w:usb2="00000012" w:usb3="00000000" w:csb0="4002009F" w:csb1="DFD70000"/>
  </w:font>
  <w:font w:name="等线">
    <w:altName w:val="Arial Unicode MS"/>
    <w:panose1 w:val="02010600030101010101"/>
    <w:charset w:val="86"/>
    <w:family w:val="auto"/>
    <w:pitch w:val="default"/>
    <w:sig w:usb0="00000000" w:usb1="00000000"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游明朝">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4"/>
      <w:lvlText w:val="%1."/>
      <w:lvlJc w:val="left"/>
      <w:pPr>
        <w:tabs>
          <w:tab w:val="left" w:pos="926"/>
        </w:tabs>
        <w:ind w:left="926" w:hanging="360"/>
      </w:pPr>
    </w:lvl>
  </w:abstractNum>
  <w:abstractNum w:abstractNumId="3">
    <w:nsid w:val="06423B2F"/>
    <w:multiLevelType w:val="multilevel"/>
    <w:tmpl w:val="06423B2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78066C1"/>
    <w:multiLevelType w:val="multilevel"/>
    <w:tmpl w:val="078066C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00365DE"/>
    <w:multiLevelType w:val="multilevel"/>
    <w:tmpl w:val="100365DE"/>
    <w:lvl w:ilvl="0" w:tentative="0">
      <w:start w:val="1"/>
      <w:numFmt w:val="decimal"/>
      <w:lvlText w:val="%1."/>
      <w:lvlJc w:val="left"/>
      <w:pPr>
        <w:ind w:left="1080" w:hanging="360"/>
      </w:pPr>
      <w:rPr>
        <w:u w:val="none"/>
      </w:rPr>
    </w:lvl>
    <w:lvl w:ilvl="1" w:tentative="0">
      <w:start w:val="1"/>
      <w:numFmt w:val="lowerLetter"/>
      <w:lvlText w:val="%2."/>
      <w:lvlJc w:val="left"/>
      <w:pPr>
        <w:ind w:left="1800" w:hanging="360"/>
      </w:pPr>
      <w:rPr>
        <w:u w:val="none"/>
      </w:rPr>
    </w:lvl>
    <w:lvl w:ilvl="2" w:tentative="0">
      <w:start w:val="1"/>
      <w:numFmt w:val="lowerRoman"/>
      <w:lvlText w:val="%3."/>
      <w:lvlJc w:val="right"/>
      <w:pPr>
        <w:ind w:left="2520" w:hanging="360"/>
      </w:pPr>
      <w:rPr>
        <w:u w:val="none"/>
      </w:rPr>
    </w:lvl>
    <w:lvl w:ilvl="3" w:tentative="0">
      <w:start w:val="1"/>
      <w:numFmt w:val="decimal"/>
      <w:lvlText w:val="%4."/>
      <w:lvlJc w:val="left"/>
      <w:pPr>
        <w:ind w:left="3240" w:hanging="360"/>
      </w:pPr>
      <w:rPr>
        <w:u w:val="none"/>
      </w:rPr>
    </w:lvl>
    <w:lvl w:ilvl="4" w:tentative="0">
      <w:start w:val="1"/>
      <w:numFmt w:val="lowerLetter"/>
      <w:lvlText w:val="%5."/>
      <w:lvlJc w:val="left"/>
      <w:pPr>
        <w:ind w:left="3960" w:hanging="360"/>
      </w:pPr>
      <w:rPr>
        <w:u w:val="none"/>
      </w:rPr>
    </w:lvl>
    <w:lvl w:ilvl="5" w:tentative="0">
      <w:start w:val="1"/>
      <w:numFmt w:val="lowerRoman"/>
      <w:lvlText w:val="%6."/>
      <w:lvlJc w:val="right"/>
      <w:pPr>
        <w:ind w:left="4680" w:hanging="360"/>
      </w:pPr>
      <w:rPr>
        <w:u w:val="none"/>
      </w:rPr>
    </w:lvl>
    <w:lvl w:ilvl="6" w:tentative="0">
      <w:start w:val="1"/>
      <w:numFmt w:val="decimal"/>
      <w:lvlText w:val="%7."/>
      <w:lvlJc w:val="left"/>
      <w:pPr>
        <w:ind w:left="5400" w:hanging="360"/>
      </w:pPr>
      <w:rPr>
        <w:u w:val="none"/>
      </w:rPr>
    </w:lvl>
    <w:lvl w:ilvl="7" w:tentative="0">
      <w:start w:val="1"/>
      <w:numFmt w:val="lowerLetter"/>
      <w:lvlText w:val="%8."/>
      <w:lvlJc w:val="left"/>
      <w:pPr>
        <w:ind w:left="6120" w:hanging="360"/>
      </w:pPr>
      <w:rPr>
        <w:u w:val="none"/>
      </w:rPr>
    </w:lvl>
    <w:lvl w:ilvl="8" w:tentative="0">
      <w:start w:val="1"/>
      <w:numFmt w:val="lowerRoman"/>
      <w:lvlText w:val="%9."/>
      <w:lvlJc w:val="right"/>
      <w:pPr>
        <w:ind w:left="6840" w:hanging="360"/>
      </w:pPr>
      <w:rPr>
        <w:u w:val="none"/>
      </w:rPr>
    </w:lvl>
  </w:abstractNum>
  <w:abstractNum w:abstractNumId="6">
    <w:nsid w:val="223E5031"/>
    <w:multiLevelType w:val="multilevel"/>
    <w:tmpl w:val="223E503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2D21819"/>
    <w:multiLevelType w:val="multilevel"/>
    <w:tmpl w:val="22D21819"/>
    <w:lvl w:ilvl="0" w:tentative="0">
      <w:start w:val="1"/>
      <w:numFmt w:val="bullet"/>
      <w:pStyle w:val="21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25073E61"/>
    <w:multiLevelType w:val="multilevel"/>
    <w:tmpl w:val="25073E6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4B376B0"/>
    <w:multiLevelType w:val="multilevel"/>
    <w:tmpl w:val="34B376B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4D5045A"/>
    <w:multiLevelType w:val="singleLevel"/>
    <w:tmpl w:val="34D5045A"/>
    <w:lvl w:ilvl="0" w:tentative="0">
      <w:start w:val="1"/>
      <w:numFmt w:val="bullet"/>
      <w:pStyle w:val="243"/>
      <w:lvlText w:val=""/>
      <w:lvlJc w:val="left"/>
      <w:pPr>
        <w:tabs>
          <w:tab w:val="left" w:pos="360"/>
        </w:tabs>
        <w:ind w:left="340" w:hanging="340"/>
      </w:pPr>
      <w:rPr>
        <w:rFonts w:hint="default" w:ascii="Symbol" w:hAnsi="Symbol" w:eastAsia="Times New Roman"/>
        <w:color w:val="auto"/>
      </w:rPr>
    </w:lvl>
  </w:abstractNum>
  <w:abstractNum w:abstractNumId="11">
    <w:nsid w:val="35647301"/>
    <w:multiLevelType w:val="multilevel"/>
    <w:tmpl w:val="35647301"/>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abstractNum w:abstractNumId="12">
    <w:nsid w:val="4355470F"/>
    <w:multiLevelType w:val="multilevel"/>
    <w:tmpl w:val="4355470F"/>
    <w:lvl w:ilvl="0" w:tentative="0">
      <w:start w:val="1"/>
      <w:numFmt w:val="decimal"/>
      <w:pStyle w:val="125"/>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9A3391E"/>
    <w:multiLevelType w:val="multilevel"/>
    <w:tmpl w:val="49A3391E"/>
    <w:lvl w:ilvl="0" w:tentative="0">
      <w:start w:val="1"/>
      <w:numFmt w:val="decimal"/>
      <w:pStyle w:val="115"/>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A9C774A"/>
    <w:multiLevelType w:val="multilevel"/>
    <w:tmpl w:val="4A9C774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5101505E"/>
    <w:multiLevelType w:val="multilevel"/>
    <w:tmpl w:val="5101505E"/>
    <w:lvl w:ilvl="0" w:tentative="0">
      <w:start w:val="1"/>
      <w:numFmt w:val="decimal"/>
      <w:pStyle w:val="14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5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4307611"/>
    <w:multiLevelType w:val="multilevel"/>
    <w:tmpl w:val="54307611"/>
    <w:lvl w:ilvl="0" w:tentative="0">
      <w:start w:val="1"/>
      <w:numFmt w:val="bullet"/>
      <w:pStyle w:val="22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57AB0AEA"/>
    <w:multiLevelType w:val="multilevel"/>
    <w:tmpl w:val="57AB0AE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5A715986"/>
    <w:multiLevelType w:val="multilevel"/>
    <w:tmpl w:val="5A715986"/>
    <w:lvl w:ilvl="0" w:tentative="0">
      <w:start w:val="1"/>
      <w:numFmt w:val="decimal"/>
      <w:pStyle w:val="126"/>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0">
    <w:nsid w:val="64AE27F1"/>
    <w:multiLevelType w:val="singleLevel"/>
    <w:tmpl w:val="64AE27F1"/>
    <w:lvl w:ilvl="0" w:tentative="0">
      <w:start w:val="1"/>
      <w:numFmt w:val="bullet"/>
      <w:pStyle w:val="250"/>
      <w:lvlText w:val=""/>
      <w:lvlJc w:val="left"/>
      <w:pPr>
        <w:tabs>
          <w:tab w:val="left" w:pos="992"/>
        </w:tabs>
        <w:ind w:left="992" w:hanging="425"/>
      </w:pPr>
      <w:rPr>
        <w:rFonts w:hint="default" w:ascii="Symbol" w:hAnsi="Symbol" w:eastAsia="Times New Roman"/>
      </w:rPr>
    </w:lvl>
  </w:abstractNum>
  <w:abstractNum w:abstractNumId="21">
    <w:nsid w:val="70146DC0"/>
    <w:multiLevelType w:val="multilevel"/>
    <w:tmpl w:val="70146DC0"/>
    <w:lvl w:ilvl="0" w:tentative="0">
      <w:start w:val="1"/>
      <w:numFmt w:val="bullet"/>
      <w:pStyle w:val="2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581155B"/>
    <w:multiLevelType w:val="multilevel"/>
    <w:tmpl w:val="7581155B"/>
    <w:lvl w:ilvl="0" w:tentative="0">
      <w:start w:val="1"/>
      <w:numFmt w:val="bullet"/>
      <w:pStyle w:val="27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3">
    <w:nsid w:val="77913BD9"/>
    <w:multiLevelType w:val="multilevel"/>
    <w:tmpl w:val="77913BD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7BC330F5"/>
    <w:multiLevelType w:val="multilevel"/>
    <w:tmpl w:val="7BC330F5"/>
    <w:lvl w:ilvl="0" w:tentative="0">
      <w:start w:val="1"/>
      <w:numFmt w:val="bullet"/>
      <w:pStyle w:val="14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1"/>
  </w:num>
  <w:num w:numId="2">
    <w:abstractNumId w:val="2"/>
  </w:num>
  <w:num w:numId="3">
    <w:abstractNumId w:val="1"/>
  </w:num>
  <w:num w:numId="4">
    <w:abstractNumId w:val="0"/>
  </w:num>
  <w:num w:numId="5">
    <w:abstractNumId w:val="13"/>
  </w:num>
  <w:num w:numId="6">
    <w:abstractNumId w:val="12"/>
  </w:num>
  <w:num w:numId="7">
    <w:abstractNumId w:val="19"/>
  </w:num>
  <w:num w:numId="8">
    <w:abstractNumId w:val="24"/>
  </w:num>
  <w:num w:numId="9">
    <w:abstractNumId w:val="15"/>
  </w:num>
  <w:num w:numId="10">
    <w:abstractNumId w:val="16"/>
  </w:num>
  <w:num w:numId="11">
    <w:abstractNumId w:val="21"/>
  </w:num>
  <w:num w:numId="12">
    <w:abstractNumId w:val="7"/>
  </w:num>
  <w:num w:numId="13">
    <w:abstractNumId w:val="17"/>
  </w:num>
  <w:num w:numId="14">
    <w:abstractNumId w:val="10"/>
  </w:num>
  <w:num w:numId="15">
    <w:abstractNumId w:val="20"/>
  </w:num>
  <w:num w:numId="16">
    <w:abstractNumId w:val="2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3"/>
  </w:num>
  <w:num w:numId="20">
    <w:abstractNumId w:val="18"/>
  </w:num>
  <w:num w:numId="21">
    <w:abstractNumId w:val="9"/>
  </w:num>
  <w:num w:numId="22">
    <w:abstractNumId w:val="8"/>
  </w:num>
  <w:num w:numId="23">
    <w:abstractNumId w:val="3"/>
  </w:num>
  <w:num w:numId="24">
    <w:abstractNumId w:val="14"/>
  </w:num>
  <w:num w:numId="25">
    <w:abstractNumId w:val="4"/>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hilips International B.V.">
    <w15:presenceInfo w15:providerId="None" w15:userId="Philips International B.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zN7I0s7A0tDQwsrRQ0lEKTi0uzszPAykwqgUATnN1GS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16E8"/>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36F"/>
    <w:rsid w:val="00030C77"/>
    <w:rsid w:val="00030D7E"/>
    <w:rsid w:val="0003100C"/>
    <w:rsid w:val="00031354"/>
    <w:rsid w:val="00032171"/>
    <w:rsid w:val="00033051"/>
    <w:rsid w:val="000334D1"/>
    <w:rsid w:val="00033ADF"/>
    <w:rsid w:val="00033D97"/>
    <w:rsid w:val="0003424F"/>
    <w:rsid w:val="0003495F"/>
    <w:rsid w:val="0003508E"/>
    <w:rsid w:val="00035D41"/>
    <w:rsid w:val="000371FF"/>
    <w:rsid w:val="00037238"/>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7B2"/>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87B"/>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8B8"/>
    <w:rsid w:val="00095A8F"/>
    <w:rsid w:val="00095AB2"/>
    <w:rsid w:val="000960B0"/>
    <w:rsid w:val="0009653C"/>
    <w:rsid w:val="000968B3"/>
    <w:rsid w:val="0009701C"/>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4C29"/>
    <w:rsid w:val="000A6B2A"/>
    <w:rsid w:val="000A6C8B"/>
    <w:rsid w:val="000A7CD5"/>
    <w:rsid w:val="000A7D24"/>
    <w:rsid w:val="000B0700"/>
    <w:rsid w:val="000B0731"/>
    <w:rsid w:val="000B0F0A"/>
    <w:rsid w:val="000B255A"/>
    <w:rsid w:val="000B2A09"/>
    <w:rsid w:val="000B2C46"/>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6D86"/>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DFE"/>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3FEC"/>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1E20"/>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14B"/>
    <w:rsid w:val="001323E2"/>
    <w:rsid w:val="00132605"/>
    <w:rsid w:val="001327B1"/>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1892"/>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0E14"/>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82"/>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47A"/>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089E"/>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5486"/>
    <w:rsid w:val="001F62F0"/>
    <w:rsid w:val="001F661F"/>
    <w:rsid w:val="001F68E8"/>
    <w:rsid w:val="001F71E0"/>
    <w:rsid w:val="001F72DC"/>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6D6"/>
    <w:rsid w:val="00235A7D"/>
    <w:rsid w:val="00236798"/>
    <w:rsid w:val="00236902"/>
    <w:rsid w:val="00236903"/>
    <w:rsid w:val="00236CB3"/>
    <w:rsid w:val="00236CEE"/>
    <w:rsid w:val="00236D61"/>
    <w:rsid w:val="002370B3"/>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3F70"/>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37FC"/>
    <w:rsid w:val="0025411C"/>
    <w:rsid w:val="00254E06"/>
    <w:rsid w:val="00255227"/>
    <w:rsid w:val="002556F0"/>
    <w:rsid w:val="00256006"/>
    <w:rsid w:val="00256539"/>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5EC"/>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61E"/>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743"/>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2B4D"/>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5DA3"/>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17B"/>
    <w:rsid w:val="002E43FC"/>
    <w:rsid w:val="002E4CF7"/>
    <w:rsid w:val="002E50F3"/>
    <w:rsid w:val="002E5771"/>
    <w:rsid w:val="002E5967"/>
    <w:rsid w:val="002E63FB"/>
    <w:rsid w:val="002E6BA5"/>
    <w:rsid w:val="002E6C1B"/>
    <w:rsid w:val="002E6DBB"/>
    <w:rsid w:val="002E71BE"/>
    <w:rsid w:val="002E769C"/>
    <w:rsid w:val="002E7D94"/>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198"/>
    <w:rsid w:val="002F7212"/>
    <w:rsid w:val="002F73E7"/>
    <w:rsid w:val="002F762E"/>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CE2"/>
    <w:rsid w:val="00312EB8"/>
    <w:rsid w:val="00314246"/>
    <w:rsid w:val="003142E8"/>
    <w:rsid w:val="0031449E"/>
    <w:rsid w:val="0031533E"/>
    <w:rsid w:val="003156BD"/>
    <w:rsid w:val="003159B2"/>
    <w:rsid w:val="00315D29"/>
    <w:rsid w:val="00315EAA"/>
    <w:rsid w:val="00316004"/>
    <w:rsid w:val="0031637C"/>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693"/>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084"/>
    <w:rsid w:val="00392305"/>
    <w:rsid w:val="0039242C"/>
    <w:rsid w:val="00392805"/>
    <w:rsid w:val="00392BCB"/>
    <w:rsid w:val="00392C48"/>
    <w:rsid w:val="00392F16"/>
    <w:rsid w:val="00393129"/>
    <w:rsid w:val="003932BC"/>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878"/>
    <w:rsid w:val="003A3AE2"/>
    <w:rsid w:val="003A3C77"/>
    <w:rsid w:val="003A4196"/>
    <w:rsid w:val="003A529F"/>
    <w:rsid w:val="003A5402"/>
    <w:rsid w:val="003A5DF7"/>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527"/>
    <w:rsid w:val="003B7660"/>
    <w:rsid w:val="003B7B33"/>
    <w:rsid w:val="003C0089"/>
    <w:rsid w:val="003C0C3A"/>
    <w:rsid w:val="003C0FA1"/>
    <w:rsid w:val="003C1474"/>
    <w:rsid w:val="003C17BB"/>
    <w:rsid w:val="003C191F"/>
    <w:rsid w:val="003C1F67"/>
    <w:rsid w:val="003C2A40"/>
    <w:rsid w:val="003C2BD2"/>
    <w:rsid w:val="003C2F1A"/>
    <w:rsid w:val="003C2FC3"/>
    <w:rsid w:val="003C3348"/>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0A84"/>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42A"/>
    <w:rsid w:val="003D791D"/>
    <w:rsid w:val="003D7AF7"/>
    <w:rsid w:val="003D7B6C"/>
    <w:rsid w:val="003D7E84"/>
    <w:rsid w:val="003E01A5"/>
    <w:rsid w:val="003E042A"/>
    <w:rsid w:val="003E0751"/>
    <w:rsid w:val="003E087B"/>
    <w:rsid w:val="003E0AC2"/>
    <w:rsid w:val="003E0DFC"/>
    <w:rsid w:val="003E1084"/>
    <w:rsid w:val="003E3584"/>
    <w:rsid w:val="003E366E"/>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AF1"/>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A6F"/>
    <w:rsid w:val="00427EC7"/>
    <w:rsid w:val="00430290"/>
    <w:rsid w:val="00430518"/>
    <w:rsid w:val="004305EB"/>
    <w:rsid w:val="00430C91"/>
    <w:rsid w:val="00430D6C"/>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9EC"/>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491"/>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2F8D"/>
    <w:rsid w:val="0049385C"/>
    <w:rsid w:val="0049426F"/>
    <w:rsid w:val="00494995"/>
    <w:rsid w:val="00494FCB"/>
    <w:rsid w:val="0049505E"/>
    <w:rsid w:val="00495166"/>
    <w:rsid w:val="004954FB"/>
    <w:rsid w:val="004962A4"/>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4B"/>
    <w:rsid w:val="004B14EF"/>
    <w:rsid w:val="004B1909"/>
    <w:rsid w:val="004B210C"/>
    <w:rsid w:val="004B2193"/>
    <w:rsid w:val="004B2710"/>
    <w:rsid w:val="004B3295"/>
    <w:rsid w:val="004B3634"/>
    <w:rsid w:val="004B3D5D"/>
    <w:rsid w:val="004B3FBE"/>
    <w:rsid w:val="004B4353"/>
    <w:rsid w:val="004B570E"/>
    <w:rsid w:val="004B5A91"/>
    <w:rsid w:val="004B5ABF"/>
    <w:rsid w:val="004B5DC4"/>
    <w:rsid w:val="004B64BA"/>
    <w:rsid w:val="004B6959"/>
    <w:rsid w:val="004B7154"/>
    <w:rsid w:val="004C1564"/>
    <w:rsid w:val="004C1A5D"/>
    <w:rsid w:val="004C2BBE"/>
    <w:rsid w:val="004C3035"/>
    <w:rsid w:val="004C326C"/>
    <w:rsid w:val="004C33FE"/>
    <w:rsid w:val="004C479A"/>
    <w:rsid w:val="004C5B7D"/>
    <w:rsid w:val="004C5E37"/>
    <w:rsid w:val="004C61BD"/>
    <w:rsid w:val="004C6F86"/>
    <w:rsid w:val="004C709D"/>
    <w:rsid w:val="004C7432"/>
    <w:rsid w:val="004D012E"/>
    <w:rsid w:val="004D02DB"/>
    <w:rsid w:val="004D0A61"/>
    <w:rsid w:val="004D161F"/>
    <w:rsid w:val="004D20D8"/>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A51"/>
    <w:rsid w:val="004E0FC5"/>
    <w:rsid w:val="004E1001"/>
    <w:rsid w:val="004E10A2"/>
    <w:rsid w:val="004E121A"/>
    <w:rsid w:val="004E1524"/>
    <w:rsid w:val="004E1A73"/>
    <w:rsid w:val="004E2980"/>
    <w:rsid w:val="004E2BC1"/>
    <w:rsid w:val="004E2BF0"/>
    <w:rsid w:val="004E2E5A"/>
    <w:rsid w:val="004E3497"/>
    <w:rsid w:val="004E3B84"/>
    <w:rsid w:val="004E3FCB"/>
    <w:rsid w:val="004E3FD0"/>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773"/>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3FD"/>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03"/>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45B"/>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982"/>
    <w:rsid w:val="00566B51"/>
    <w:rsid w:val="00566BD9"/>
    <w:rsid w:val="005676DA"/>
    <w:rsid w:val="005679BA"/>
    <w:rsid w:val="00567A4C"/>
    <w:rsid w:val="00567B12"/>
    <w:rsid w:val="00567E6F"/>
    <w:rsid w:val="00570955"/>
    <w:rsid w:val="005709E1"/>
    <w:rsid w:val="005710A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2EE2"/>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5DD0"/>
    <w:rsid w:val="005A6644"/>
    <w:rsid w:val="005A69F3"/>
    <w:rsid w:val="005A6AA5"/>
    <w:rsid w:val="005A6B57"/>
    <w:rsid w:val="005A7188"/>
    <w:rsid w:val="005A748F"/>
    <w:rsid w:val="005A7771"/>
    <w:rsid w:val="005A783E"/>
    <w:rsid w:val="005B086A"/>
    <w:rsid w:val="005B0F17"/>
    <w:rsid w:val="005B1093"/>
    <w:rsid w:val="005B155F"/>
    <w:rsid w:val="005B1BFF"/>
    <w:rsid w:val="005B2569"/>
    <w:rsid w:val="005B2654"/>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406"/>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0FF"/>
    <w:rsid w:val="00626C73"/>
    <w:rsid w:val="00626F3E"/>
    <w:rsid w:val="00627097"/>
    <w:rsid w:val="00630051"/>
    <w:rsid w:val="00630AEF"/>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3EDF"/>
    <w:rsid w:val="0064421C"/>
    <w:rsid w:val="006443D0"/>
    <w:rsid w:val="006447A2"/>
    <w:rsid w:val="006447A5"/>
    <w:rsid w:val="00644862"/>
    <w:rsid w:val="00645496"/>
    <w:rsid w:val="006459A5"/>
    <w:rsid w:val="006459E3"/>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492A"/>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06B"/>
    <w:rsid w:val="006824DF"/>
    <w:rsid w:val="00682500"/>
    <w:rsid w:val="00682B0C"/>
    <w:rsid w:val="00683B4A"/>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07BB"/>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70"/>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B7F71"/>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4C4"/>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55"/>
    <w:rsid w:val="006D59D3"/>
    <w:rsid w:val="006D5CE4"/>
    <w:rsid w:val="006D6400"/>
    <w:rsid w:val="006D7D1E"/>
    <w:rsid w:val="006E07BA"/>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641"/>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7A3"/>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9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500"/>
    <w:rsid w:val="007918DD"/>
    <w:rsid w:val="00791D89"/>
    <w:rsid w:val="0079247B"/>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A47"/>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8DB"/>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AC1"/>
    <w:rsid w:val="00810DEF"/>
    <w:rsid w:val="00810FAD"/>
    <w:rsid w:val="00811141"/>
    <w:rsid w:val="00811AD8"/>
    <w:rsid w:val="00812239"/>
    <w:rsid w:val="00812256"/>
    <w:rsid w:val="008122A2"/>
    <w:rsid w:val="0081301E"/>
    <w:rsid w:val="00813275"/>
    <w:rsid w:val="00813506"/>
    <w:rsid w:val="008138D3"/>
    <w:rsid w:val="00813AE9"/>
    <w:rsid w:val="00813E4E"/>
    <w:rsid w:val="00814071"/>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4CE"/>
    <w:rsid w:val="00851A07"/>
    <w:rsid w:val="00851B77"/>
    <w:rsid w:val="00851D84"/>
    <w:rsid w:val="008527CC"/>
    <w:rsid w:val="00853120"/>
    <w:rsid w:val="00853420"/>
    <w:rsid w:val="00853F6E"/>
    <w:rsid w:val="00854196"/>
    <w:rsid w:val="00854E52"/>
    <w:rsid w:val="00855505"/>
    <w:rsid w:val="00855984"/>
    <w:rsid w:val="00855EC7"/>
    <w:rsid w:val="00855FE9"/>
    <w:rsid w:val="00856E95"/>
    <w:rsid w:val="0085718C"/>
    <w:rsid w:val="0085742F"/>
    <w:rsid w:val="00857D90"/>
    <w:rsid w:val="008607C5"/>
    <w:rsid w:val="00860B17"/>
    <w:rsid w:val="00861286"/>
    <w:rsid w:val="00861478"/>
    <w:rsid w:val="00861775"/>
    <w:rsid w:val="008618D3"/>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8AD"/>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24C"/>
    <w:rsid w:val="008F23F2"/>
    <w:rsid w:val="008F2C3D"/>
    <w:rsid w:val="008F30C1"/>
    <w:rsid w:val="008F4748"/>
    <w:rsid w:val="008F4949"/>
    <w:rsid w:val="008F4D04"/>
    <w:rsid w:val="008F62EC"/>
    <w:rsid w:val="008F69D7"/>
    <w:rsid w:val="008F6D2F"/>
    <w:rsid w:val="008F778E"/>
    <w:rsid w:val="008F7DC7"/>
    <w:rsid w:val="008F7E14"/>
    <w:rsid w:val="008F7E94"/>
    <w:rsid w:val="008F7EC9"/>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01B"/>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831"/>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3C7"/>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0B79"/>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170"/>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AFC"/>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7FF"/>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202"/>
    <w:rsid w:val="009D762E"/>
    <w:rsid w:val="009D7FF2"/>
    <w:rsid w:val="009E007B"/>
    <w:rsid w:val="009E0D02"/>
    <w:rsid w:val="009E0D24"/>
    <w:rsid w:val="009E10FC"/>
    <w:rsid w:val="009E2137"/>
    <w:rsid w:val="009E21A2"/>
    <w:rsid w:val="009E389A"/>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A36"/>
    <w:rsid w:val="00A14D7F"/>
    <w:rsid w:val="00A14E3D"/>
    <w:rsid w:val="00A152A5"/>
    <w:rsid w:val="00A1543F"/>
    <w:rsid w:val="00A15C84"/>
    <w:rsid w:val="00A17224"/>
    <w:rsid w:val="00A17CF2"/>
    <w:rsid w:val="00A209CC"/>
    <w:rsid w:val="00A20D78"/>
    <w:rsid w:val="00A2110C"/>
    <w:rsid w:val="00A21865"/>
    <w:rsid w:val="00A21E55"/>
    <w:rsid w:val="00A222AA"/>
    <w:rsid w:val="00A2290A"/>
    <w:rsid w:val="00A2416D"/>
    <w:rsid w:val="00A242AA"/>
    <w:rsid w:val="00A24819"/>
    <w:rsid w:val="00A25182"/>
    <w:rsid w:val="00A252EC"/>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3D59"/>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37C"/>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383B"/>
    <w:rsid w:val="00A74C1E"/>
    <w:rsid w:val="00A75042"/>
    <w:rsid w:val="00A75E3C"/>
    <w:rsid w:val="00A760C4"/>
    <w:rsid w:val="00A762A5"/>
    <w:rsid w:val="00A76A9D"/>
    <w:rsid w:val="00A76EB1"/>
    <w:rsid w:val="00A76F71"/>
    <w:rsid w:val="00A774B6"/>
    <w:rsid w:val="00A7779F"/>
    <w:rsid w:val="00A7793D"/>
    <w:rsid w:val="00A7794B"/>
    <w:rsid w:val="00A8014A"/>
    <w:rsid w:val="00A80809"/>
    <w:rsid w:val="00A80ED0"/>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6F64"/>
    <w:rsid w:val="00A9705E"/>
    <w:rsid w:val="00A97508"/>
    <w:rsid w:val="00A97600"/>
    <w:rsid w:val="00AA0771"/>
    <w:rsid w:val="00AA0C64"/>
    <w:rsid w:val="00AA21BD"/>
    <w:rsid w:val="00AA27A2"/>
    <w:rsid w:val="00AA2C58"/>
    <w:rsid w:val="00AA3758"/>
    <w:rsid w:val="00AA3BBC"/>
    <w:rsid w:val="00AA4363"/>
    <w:rsid w:val="00AA47EC"/>
    <w:rsid w:val="00AA47F4"/>
    <w:rsid w:val="00AA57E5"/>
    <w:rsid w:val="00AA588C"/>
    <w:rsid w:val="00AA5BB3"/>
    <w:rsid w:val="00AA5E9F"/>
    <w:rsid w:val="00AA5FBE"/>
    <w:rsid w:val="00AA6626"/>
    <w:rsid w:val="00AA66C1"/>
    <w:rsid w:val="00AA712C"/>
    <w:rsid w:val="00AB006C"/>
    <w:rsid w:val="00AB05F9"/>
    <w:rsid w:val="00AB0680"/>
    <w:rsid w:val="00AB0C77"/>
    <w:rsid w:val="00AB0DED"/>
    <w:rsid w:val="00AB15FD"/>
    <w:rsid w:val="00AB188B"/>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9FB"/>
    <w:rsid w:val="00AC6DA6"/>
    <w:rsid w:val="00AC6EA8"/>
    <w:rsid w:val="00AC7215"/>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3D"/>
    <w:rsid w:val="00B13367"/>
    <w:rsid w:val="00B133A8"/>
    <w:rsid w:val="00B136F6"/>
    <w:rsid w:val="00B13B2E"/>
    <w:rsid w:val="00B13B34"/>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2A0"/>
    <w:rsid w:val="00B4263C"/>
    <w:rsid w:val="00B42AD8"/>
    <w:rsid w:val="00B43C39"/>
    <w:rsid w:val="00B43E4C"/>
    <w:rsid w:val="00B4472E"/>
    <w:rsid w:val="00B448A7"/>
    <w:rsid w:val="00B44997"/>
    <w:rsid w:val="00B454A3"/>
    <w:rsid w:val="00B45690"/>
    <w:rsid w:val="00B45721"/>
    <w:rsid w:val="00B45C65"/>
    <w:rsid w:val="00B45DEC"/>
    <w:rsid w:val="00B461C5"/>
    <w:rsid w:val="00B4638F"/>
    <w:rsid w:val="00B46DC3"/>
    <w:rsid w:val="00B47607"/>
    <w:rsid w:val="00B477FB"/>
    <w:rsid w:val="00B50677"/>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56F"/>
    <w:rsid w:val="00B62C1E"/>
    <w:rsid w:val="00B62DB2"/>
    <w:rsid w:val="00B62E12"/>
    <w:rsid w:val="00B6418C"/>
    <w:rsid w:val="00B647CB"/>
    <w:rsid w:val="00B64A8F"/>
    <w:rsid w:val="00B64E38"/>
    <w:rsid w:val="00B657F3"/>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3C7"/>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56B1"/>
    <w:rsid w:val="00BB5AF3"/>
    <w:rsid w:val="00BB661E"/>
    <w:rsid w:val="00BB6D0E"/>
    <w:rsid w:val="00BB6FC1"/>
    <w:rsid w:val="00BB7023"/>
    <w:rsid w:val="00BB742A"/>
    <w:rsid w:val="00BB77F4"/>
    <w:rsid w:val="00BB7A32"/>
    <w:rsid w:val="00BC095A"/>
    <w:rsid w:val="00BC1012"/>
    <w:rsid w:val="00BC160D"/>
    <w:rsid w:val="00BC178B"/>
    <w:rsid w:val="00BC2EC1"/>
    <w:rsid w:val="00BC2EC3"/>
    <w:rsid w:val="00BC3351"/>
    <w:rsid w:val="00BC42B7"/>
    <w:rsid w:val="00BC45DE"/>
    <w:rsid w:val="00BC4965"/>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0E1"/>
    <w:rsid w:val="00BD4715"/>
    <w:rsid w:val="00BD4C47"/>
    <w:rsid w:val="00BD4DCF"/>
    <w:rsid w:val="00BD50D4"/>
    <w:rsid w:val="00BD5593"/>
    <w:rsid w:val="00BD5BF4"/>
    <w:rsid w:val="00BD6107"/>
    <w:rsid w:val="00BD617E"/>
    <w:rsid w:val="00BD669A"/>
    <w:rsid w:val="00BD6A70"/>
    <w:rsid w:val="00BD7440"/>
    <w:rsid w:val="00BD79A2"/>
    <w:rsid w:val="00BD7B73"/>
    <w:rsid w:val="00BE013C"/>
    <w:rsid w:val="00BE08D7"/>
    <w:rsid w:val="00BE1617"/>
    <w:rsid w:val="00BE164C"/>
    <w:rsid w:val="00BE1784"/>
    <w:rsid w:val="00BE2261"/>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079CD"/>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737"/>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6ED6"/>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6873"/>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1F6E"/>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182"/>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10E"/>
    <w:rsid w:val="00CD2387"/>
    <w:rsid w:val="00CD2653"/>
    <w:rsid w:val="00CD2ACB"/>
    <w:rsid w:val="00CD2E71"/>
    <w:rsid w:val="00CD30B7"/>
    <w:rsid w:val="00CD3FD5"/>
    <w:rsid w:val="00CD4E7C"/>
    <w:rsid w:val="00CD4F1B"/>
    <w:rsid w:val="00CD540A"/>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7AF"/>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540"/>
    <w:rsid w:val="00CF3B2E"/>
    <w:rsid w:val="00CF3BF5"/>
    <w:rsid w:val="00CF3D90"/>
    <w:rsid w:val="00CF4606"/>
    <w:rsid w:val="00CF4A8C"/>
    <w:rsid w:val="00CF4FD6"/>
    <w:rsid w:val="00CF519E"/>
    <w:rsid w:val="00CF5326"/>
    <w:rsid w:val="00CF5393"/>
    <w:rsid w:val="00CF5A33"/>
    <w:rsid w:val="00CF65B0"/>
    <w:rsid w:val="00CF6FE1"/>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4D1E"/>
    <w:rsid w:val="00D1514A"/>
    <w:rsid w:val="00D1579E"/>
    <w:rsid w:val="00D15C33"/>
    <w:rsid w:val="00D16574"/>
    <w:rsid w:val="00D16C4F"/>
    <w:rsid w:val="00D16D92"/>
    <w:rsid w:val="00D17616"/>
    <w:rsid w:val="00D179BD"/>
    <w:rsid w:val="00D17A64"/>
    <w:rsid w:val="00D17B49"/>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1CA"/>
    <w:rsid w:val="00D45632"/>
    <w:rsid w:val="00D458D8"/>
    <w:rsid w:val="00D4590D"/>
    <w:rsid w:val="00D45C2F"/>
    <w:rsid w:val="00D460E0"/>
    <w:rsid w:val="00D464F2"/>
    <w:rsid w:val="00D47683"/>
    <w:rsid w:val="00D476CE"/>
    <w:rsid w:val="00D47708"/>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258"/>
    <w:rsid w:val="00D6174A"/>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A1D"/>
    <w:rsid w:val="00D83BB1"/>
    <w:rsid w:val="00D843A0"/>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5ED"/>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68BA"/>
    <w:rsid w:val="00DF725F"/>
    <w:rsid w:val="00DF726E"/>
    <w:rsid w:val="00DF7427"/>
    <w:rsid w:val="00DF7FA5"/>
    <w:rsid w:val="00E008C7"/>
    <w:rsid w:val="00E00A3C"/>
    <w:rsid w:val="00E01595"/>
    <w:rsid w:val="00E01B4C"/>
    <w:rsid w:val="00E02424"/>
    <w:rsid w:val="00E0271B"/>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B0B"/>
    <w:rsid w:val="00E17DE2"/>
    <w:rsid w:val="00E17F10"/>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3EE7"/>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290"/>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0DB7"/>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A7FC0"/>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4E11"/>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1D2A"/>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2BD"/>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00B8"/>
    <w:rsid w:val="00F01209"/>
    <w:rsid w:val="00F01B9E"/>
    <w:rsid w:val="00F01CE5"/>
    <w:rsid w:val="00F02C38"/>
    <w:rsid w:val="00F0329D"/>
    <w:rsid w:val="00F035C1"/>
    <w:rsid w:val="00F03A15"/>
    <w:rsid w:val="00F04196"/>
    <w:rsid w:val="00F04B15"/>
    <w:rsid w:val="00F0564C"/>
    <w:rsid w:val="00F06250"/>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D7A"/>
    <w:rsid w:val="00F23F74"/>
    <w:rsid w:val="00F240EA"/>
    <w:rsid w:val="00F248C7"/>
    <w:rsid w:val="00F24CC9"/>
    <w:rsid w:val="00F258DE"/>
    <w:rsid w:val="00F259A3"/>
    <w:rsid w:val="00F25E2C"/>
    <w:rsid w:val="00F26221"/>
    <w:rsid w:val="00F266B3"/>
    <w:rsid w:val="00F26F1A"/>
    <w:rsid w:val="00F26FD2"/>
    <w:rsid w:val="00F27A02"/>
    <w:rsid w:val="00F27EAE"/>
    <w:rsid w:val="00F30A48"/>
    <w:rsid w:val="00F30E80"/>
    <w:rsid w:val="00F3122A"/>
    <w:rsid w:val="00F31538"/>
    <w:rsid w:val="00F333B5"/>
    <w:rsid w:val="00F33983"/>
    <w:rsid w:val="00F33E81"/>
    <w:rsid w:val="00F34042"/>
    <w:rsid w:val="00F342F9"/>
    <w:rsid w:val="00F34893"/>
    <w:rsid w:val="00F34FA9"/>
    <w:rsid w:val="00F350A2"/>
    <w:rsid w:val="00F3608B"/>
    <w:rsid w:val="00F3721D"/>
    <w:rsid w:val="00F37A77"/>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4A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018"/>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87203"/>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523"/>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6B4"/>
    <w:rsid w:val="00FA5BC9"/>
    <w:rsid w:val="00FA5DA6"/>
    <w:rsid w:val="00FA65D4"/>
    <w:rsid w:val="00FA7736"/>
    <w:rsid w:val="00FA7CEE"/>
    <w:rsid w:val="00FA7F2C"/>
    <w:rsid w:val="00FA7F82"/>
    <w:rsid w:val="00FB0234"/>
    <w:rsid w:val="00FB0941"/>
    <w:rsid w:val="00FB09AF"/>
    <w:rsid w:val="00FB09E5"/>
    <w:rsid w:val="00FB0DAC"/>
    <w:rsid w:val="00FB16A9"/>
    <w:rsid w:val="00FB195E"/>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40C"/>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DAC"/>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804"/>
    <w:rsid w:val="00FE7A07"/>
    <w:rsid w:val="00FE7CE5"/>
    <w:rsid w:val="00FE7FCF"/>
    <w:rsid w:val="00FF00EE"/>
    <w:rsid w:val="00FF0992"/>
    <w:rsid w:val="00FF1610"/>
    <w:rsid w:val="00FF2351"/>
    <w:rsid w:val="00FF28D7"/>
    <w:rsid w:val="00FF2CDB"/>
    <w:rsid w:val="00FF32E6"/>
    <w:rsid w:val="00FF36FF"/>
    <w:rsid w:val="00FF3EF6"/>
    <w:rsid w:val="00FF4059"/>
    <w:rsid w:val="00FF42C0"/>
    <w:rsid w:val="00FF4409"/>
    <w:rsid w:val="00FF47E8"/>
    <w:rsid w:val="00FF4AC9"/>
    <w:rsid w:val="00FF5DD3"/>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312357"/>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803EE7"/>
    <w:rsid w:val="20B7D044"/>
    <w:rsid w:val="2149C0E7"/>
    <w:rsid w:val="22607D9B"/>
    <w:rsid w:val="22E46544"/>
    <w:rsid w:val="234600B9"/>
    <w:rsid w:val="23606717"/>
    <w:rsid w:val="25C164E5"/>
    <w:rsid w:val="26AB7857"/>
    <w:rsid w:val="2764928A"/>
    <w:rsid w:val="27B2DAF9"/>
    <w:rsid w:val="28E82F9C"/>
    <w:rsid w:val="28F54A73"/>
    <w:rsid w:val="296846A8"/>
    <w:rsid w:val="2A409803"/>
    <w:rsid w:val="2A9134DC"/>
    <w:rsid w:val="2B184100"/>
    <w:rsid w:val="2B454154"/>
    <w:rsid w:val="2D0780AF"/>
    <w:rsid w:val="2EEDF5E9"/>
    <w:rsid w:val="2FCB68CE"/>
    <w:rsid w:val="30C2CEBE"/>
    <w:rsid w:val="3183DEC3"/>
    <w:rsid w:val="330F03A0"/>
    <w:rsid w:val="33885998"/>
    <w:rsid w:val="34512577"/>
    <w:rsid w:val="346E080B"/>
    <w:rsid w:val="34E000FD"/>
    <w:rsid w:val="350CDC29"/>
    <w:rsid w:val="35562183"/>
    <w:rsid w:val="3636EF8D"/>
    <w:rsid w:val="370BDC9B"/>
    <w:rsid w:val="37268B83"/>
    <w:rsid w:val="37672C27"/>
    <w:rsid w:val="37B05506"/>
    <w:rsid w:val="385521F5"/>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nhideWhenUsed="0" w:uiPriority="0" w:semiHidden="0" w:name="table of figures"/>
    <w:lsdException w:qFormat="1" w:uiPriority="99" w:name="envelope address"/>
    <w:lsdException w:qFormat="1"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qFormat="1" w:unhideWhenUsed="0" w:uiPriority="0" w:semiHidden="0" w:name="E-mail Signature"/>
    <w:lsdException w:qFormat="1"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3">
    <w:name w:val="heading 1"/>
    <w:basedOn w:val="4"/>
    <w:next w:val="1"/>
    <w:link w:val="96"/>
    <w:qFormat/>
    <w:uiPriority w:val="9"/>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5">
    <w:name w:val="heading 2"/>
    <w:basedOn w:val="3"/>
    <w:next w:val="1"/>
    <w:link w:val="97"/>
    <w:unhideWhenUsed/>
    <w:qFormat/>
    <w:uiPriority w:val="0"/>
    <w:pPr>
      <w:numPr>
        <w:numId w:val="0"/>
      </w:numPr>
      <w:pBdr>
        <w:top w:val="none" w:color="auto" w:sz="0" w:space="0"/>
      </w:pBdr>
      <w:spacing w:before="180"/>
      <w:outlineLvl w:val="1"/>
    </w:pPr>
    <w:rPr>
      <w:sz w:val="32"/>
    </w:rPr>
  </w:style>
  <w:style w:type="paragraph" w:styleId="6">
    <w:name w:val="heading 3"/>
    <w:basedOn w:val="5"/>
    <w:next w:val="1"/>
    <w:link w:val="98"/>
    <w:unhideWhenUsed/>
    <w:qFormat/>
    <w:uiPriority w:val="0"/>
    <w:pPr>
      <w:numPr>
        <w:ilvl w:val="2"/>
      </w:numPr>
      <w:spacing w:before="120"/>
      <w:outlineLvl w:val="2"/>
    </w:pPr>
    <w:rPr>
      <w:sz w:val="28"/>
    </w:rPr>
  </w:style>
  <w:style w:type="paragraph" w:styleId="7">
    <w:name w:val="heading 4"/>
    <w:basedOn w:val="1"/>
    <w:next w:val="1"/>
    <w:link w:val="99"/>
    <w:unhideWhenUsed/>
    <w:qFormat/>
    <w:uiPriority w:val="0"/>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8">
    <w:name w:val="heading 5"/>
    <w:basedOn w:val="1"/>
    <w:next w:val="1"/>
    <w:link w:val="100"/>
    <w:unhideWhenUsed/>
    <w:qFormat/>
    <w:uiPriority w:val="0"/>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9">
    <w:name w:val="heading 6"/>
    <w:basedOn w:val="1"/>
    <w:next w:val="1"/>
    <w:link w:val="101"/>
    <w:unhideWhenUsed/>
    <w:qFormat/>
    <w:uiPriority w:val="0"/>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10">
    <w:name w:val="heading 7"/>
    <w:basedOn w:val="1"/>
    <w:next w:val="1"/>
    <w:link w:val="102"/>
    <w:unhideWhenUsed/>
    <w:qFormat/>
    <w:uiPriority w:val="0"/>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11">
    <w:name w:val="heading 8"/>
    <w:basedOn w:val="1"/>
    <w:next w:val="1"/>
    <w:link w:val="103"/>
    <w:unhideWhenUsed/>
    <w:qFormat/>
    <w:uiPriority w:val="0"/>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12">
    <w:name w:val="heading 9"/>
    <w:basedOn w:val="1"/>
    <w:next w:val="1"/>
    <w:link w:val="104"/>
    <w:unhideWhenUsed/>
    <w:qFormat/>
    <w:uiPriority w:val="0"/>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8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301"/>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styleId="4">
    <w:name w:val="header"/>
    <w:link w:val="105"/>
    <w:unhideWhenUsed/>
    <w:qFormat/>
    <w:uiPriority w:val="0"/>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3">
    <w:name w:val="List 3"/>
    <w:basedOn w:val="1"/>
    <w:unhideWhenUsed/>
    <w:qFormat/>
    <w:uiPriority w:val="0"/>
    <w:pPr>
      <w:overflowPunct w:val="0"/>
      <w:autoSpaceDE w:val="0"/>
      <w:autoSpaceDN w:val="0"/>
      <w:adjustRightInd w:val="0"/>
      <w:spacing w:after="180"/>
      <w:ind w:left="1080" w:hanging="360"/>
      <w:contextualSpacing/>
    </w:pPr>
    <w:rPr>
      <w:sz w:val="20"/>
      <w:szCs w:val="20"/>
    </w:rPr>
  </w:style>
  <w:style w:type="paragraph" w:styleId="14">
    <w:name w:val="toc 7"/>
    <w:basedOn w:val="15"/>
    <w:next w:val="1"/>
    <w:qFormat/>
    <w:uiPriority w:val="0"/>
    <w:pPr>
      <w:tabs>
        <w:tab w:val="left" w:pos="1418"/>
        <w:tab w:val="right" w:leader="dot" w:pos="9350"/>
        <w:tab w:val="right" w:leader="dot" w:pos="9639"/>
      </w:tabs>
      <w:ind w:left="2268" w:hanging="2268"/>
    </w:pPr>
  </w:style>
  <w:style w:type="paragraph" w:styleId="15">
    <w:name w:val="toc 6"/>
    <w:basedOn w:val="16"/>
    <w:next w:val="1"/>
    <w:qFormat/>
    <w:uiPriority w:val="0"/>
    <w:pPr>
      <w:tabs>
        <w:tab w:val="left" w:pos="1418"/>
        <w:tab w:val="right" w:leader="dot" w:pos="9350"/>
        <w:tab w:val="right" w:leader="dot" w:pos="9639"/>
      </w:tabs>
      <w:ind w:left="1985" w:hanging="1985"/>
    </w:pPr>
  </w:style>
  <w:style w:type="paragraph" w:styleId="16">
    <w:name w:val="toc 5"/>
    <w:basedOn w:val="17"/>
    <w:next w:val="1"/>
    <w:qFormat/>
    <w:uiPriority w:val="0"/>
    <w:pPr>
      <w:tabs>
        <w:tab w:val="left" w:pos="1418"/>
        <w:tab w:val="right" w:leader="dot" w:pos="9350"/>
        <w:tab w:val="right" w:leader="dot" w:pos="9639"/>
      </w:tabs>
      <w:ind w:left="1701" w:hanging="1701"/>
    </w:pPr>
  </w:style>
  <w:style w:type="paragraph" w:styleId="17">
    <w:name w:val="toc 4"/>
    <w:basedOn w:val="18"/>
    <w:next w:val="1"/>
    <w:qFormat/>
    <w:uiPriority w:val="39"/>
    <w:pPr>
      <w:tabs>
        <w:tab w:val="left" w:pos="1418"/>
        <w:tab w:val="right" w:leader="dot" w:pos="9350"/>
        <w:tab w:val="right" w:leader="dot" w:pos="9639"/>
      </w:tabs>
      <w:ind w:left="1418" w:hanging="1418"/>
    </w:pPr>
  </w:style>
  <w:style w:type="paragraph" w:styleId="18">
    <w:name w:val="toc 3"/>
    <w:basedOn w:val="19"/>
    <w:next w:val="1"/>
    <w:qFormat/>
    <w:uiPriority w:val="39"/>
    <w:pPr>
      <w:tabs>
        <w:tab w:val="left" w:pos="1418"/>
        <w:tab w:val="right" w:leader="dot" w:pos="9350"/>
        <w:tab w:val="right" w:leader="dot" w:pos="9639"/>
      </w:tabs>
      <w:ind w:left="1134" w:hanging="1134"/>
    </w:pPr>
  </w:style>
  <w:style w:type="paragraph" w:styleId="19">
    <w:name w:val="toc 2"/>
    <w:basedOn w:val="20"/>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20">
    <w:name w:val="toc 1"/>
    <w:basedOn w:val="1"/>
    <w:next w:val="1"/>
    <w:unhideWhenUsed/>
    <w:qFormat/>
    <w:uiPriority w:val="39"/>
    <w:pPr>
      <w:tabs>
        <w:tab w:val="left" w:pos="1418"/>
        <w:tab w:val="right" w:leader="dot" w:pos="9350"/>
      </w:tabs>
      <w:spacing w:after="100"/>
      <w:jc w:val="both"/>
    </w:pPr>
    <w:rPr>
      <w:sz w:val="20"/>
    </w:rPr>
  </w:style>
  <w:style w:type="paragraph" w:styleId="21">
    <w:name w:val="List Number 2"/>
    <w:basedOn w:val="22"/>
    <w:qFormat/>
    <w:uiPriority w:val="0"/>
    <w:pPr>
      <w:ind w:left="851"/>
    </w:pPr>
  </w:style>
  <w:style w:type="paragraph" w:styleId="22">
    <w:name w:val="List Number"/>
    <w:basedOn w:val="23"/>
    <w:qFormat/>
    <w:uiPriority w:val="0"/>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23">
    <w:name w:val="List"/>
    <w:basedOn w:val="1"/>
    <w:unhideWhenUsed/>
    <w:qFormat/>
    <w:uiPriority w:val="0"/>
    <w:pPr>
      <w:ind w:left="360" w:hanging="360"/>
      <w:contextualSpacing/>
    </w:pPr>
  </w:style>
  <w:style w:type="paragraph" w:styleId="24">
    <w:name w:val="table of authorities"/>
    <w:basedOn w:val="1"/>
    <w:next w:val="1"/>
    <w:qFormat/>
    <w:uiPriority w:val="0"/>
    <w:pPr>
      <w:ind w:left="200" w:hanging="200"/>
    </w:pPr>
    <w:rPr>
      <w:rFonts w:eastAsia="宋体"/>
      <w:sz w:val="20"/>
      <w:szCs w:val="20"/>
      <w:lang w:val="en-GB"/>
    </w:rPr>
  </w:style>
  <w:style w:type="paragraph" w:styleId="25">
    <w:name w:val="Note Heading"/>
    <w:basedOn w:val="1"/>
    <w:next w:val="1"/>
    <w:link w:val="305"/>
    <w:qFormat/>
    <w:uiPriority w:val="0"/>
    <w:rPr>
      <w:rFonts w:eastAsia="宋体"/>
      <w:sz w:val="20"/>
      <w:szCs w:val="20"/>
      <w:lang w:val="en-GB"/>
    </w:rPr>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23"/>
    <w:qFormat/>
    <w:uiPriority w:val="0"/>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30">
    <w:name w:val="index 8"/>
    <w:basedOn w:val="1"/>
    <w:next w:val="1"/>
    <w:qFormat/>
    <w:uiPriority w:val="0"/>
    <w:pPr>
      <w:ind w:left="1600" w:hanging="200"/>
    </w:pPr>
    <w:rPr>
      <w:rFonts w:eastAsia="宋体"/>
      <w:sz w:val="20"/>
      <w:szCs w:val="20"/>
      <w:lang w:val="en-GB"/>
    </w:rPr>
  </w:style>
  <w:style w:type="paragraph" w:styleId="31">
    <w:name w:val="E-mail Signature"/>
    <w:basedOn w:val="1"/>
    <w:link w:val="294"/>
    <w:qFormat/>
    <w:uiPriority w:val="0"/>
    <w:rPr>
      <w:rFonts w:eastAsia="宋体"/>
      <w:sz w:val="20"/>
      <w:szCs w:val="20"/>
      <w:lang w:val="en-GB"/>
    </w:rPr>
  </w:style>
  <w:style w:type="paragraph" w:styleId="32">
    <w:name w:val="Normal Indent"/>
    <w:basedOn w:val="1"/>
    <w:qFormat/>
    <w:uiPriority w:val="0"/>
    <w:pPr>
      <w:spacing w:after="180"/>
      <w:ind w:left="720"/>
    </w:pPr>
    <w:rPr>
      <w:rFonts w:eastAsia="宋体"/>
      <w:sz w:val="20"/>
      <w:szCs w:val="20"/>
      <w:lang w:val="en-GB"/>
    </w:rPr>
  </w:style>
  <w:style w:type="paragraph" w:styleId="33">
    <w:name w:val="caption"/>
    <w:basedOn w:val="1"/>
    <w:next w:val="1"/>
    <w:link w:val="138"/>
    <w:unhideWhenUsed/>
    <w:qFormat/>
    <w:uiPriority w:val="0"/>
    <w:pPr>
      <w:overflowPunct w:val="0"/>
      <w:autoSpaceDE w:val="0"/>
      <w:autoSpaceDN w:val="0"/>
      <w:adjustRightInd w:val="0"/>
      <w:spacing w:after="200"/>
    </w:pPr>
    <w:rPr>
      <w:i/>
      <w:iCs/>
      <w:color w:val="44546A" w:themeColor="text2"/>
      <w:sz w:val="18"/>
      <w:szCs w:val="18"/>
      <w14:textFill>
        <w14:solidFill>
          <w14:schemeClr w14:val="tx2"/>
        </w14:solidFill>
      </w14:textFill>
    </w:rPr>
  </w:style>
  <w:style w:type="paragraph" w:styleId="34">
    <w:name w:val="index 5"/>
    <w:basedOn w:val="1"/>
    <w:next w:val="1"/>
    <w:qFormat/>
    <w:uiPriority w:val="0"/>
    <w:pPr>
      <w:ind w:left="1000" w:hanging="200"/>
    </w:pPr>
    <w:rPr>
      <w:rFonts w:eastAsia="宋体"/>
      <w:sz w:val="20"/>
      <w:szCs w:val="20"/>
      <w:lang w:val="en-GB"/>
    </w:rPr>
  </w:style>
  <w:style w:type="paragraph" w:styleId="35">
    <w:name w:val="envelope address"/>
    <w:basedOn w:val="1"/>
    <w:semiHidden/>
    <w:unhideWhenUsed/>
    <w:qFormat/>
    <w:uiPriority w:val="99"/>
    <w:pPr>
      <w:framePr w:w="7920" w:h="1980" w:hRule="exact" w:hSpace="180" w:wrap="auto" w:vAnchor="margin" w:hAnchor="page" w:xAlign="center" w:yAlign="bottom"/>
      <w:ind w:left="2880"/>
    </w:pPr>
    <w:rPr>
      <w:rFonts w:asciiTheme="majorHAnsi" w:hAnsiTheme="majorHAnsi" w:eastAsiaTheme="majorEastAsia" w:cstheme="majorBidi"/>
    </w:rPr>
  </w:style>
  <w:style w:type="paragraph" w:styleId="36">
    <w:name w:val="Document Map"/>
    <w:basedOn w:val="1"/>
    <w:link w:val="201"/>
    <w:unhideWhenUsed/>
    <w:qFormat/>
    <w:uiPriority w:val="0"/>
    <w:rPr>
      <w:rFonts w:ascii="Segoe UI" w:hAnsi="Segoe UI" w:cs="Segoe UI"/>
      <w:sz w:val="16"/>
      <w:szCs w:val="16"/>
    </w:rPr>
  </w:style>
  <w:style w:type="paragraph" w:styleId="37">
    <w:name w:val="annotation text"/>
    <w:basedOn w:val="1"/>
    <w:link w:val="121"/>
    <w:unhideWhenUsed/>
    <w:qFormat/>
    <w:uiPriority w:val="0"/>
    <w:pPr>
      <w:overflowPunct w:val="0"/>
      <w:autoSpaceDE w:val="0"/>
      <w:autoSpaceDN w:val="0"/>
      <w:adjustRightInd w:val="0"/>
      <w:spacing w:after="180"/>
    </w:pPr>
    <w:rPr>
      <w:sz w:val="20"/>
      <w:szCs w:val="20"/>
    </w:rPr>
  </w:style>
  <w:style w:type="paragraph" w:styleId="38">
    <w:name w:val="index 6"/>
    <w:basedOn w:val="1"/>
    <w:next w:val="1"/>
    <w:qFormat/>
    <w:uiPriority w:val="0"/>
    <w:pPr>
      <w:ind w:left="1200" w:hanging="200"/>
    </w:pPr>
    <w:rPr>
      <w:rFonts w:eastAsia="宋体"/>
      <w:sz w:val="20"/>
      <w:szCs w:val="20"/>
      <w:lang w:val="en-GB"/>
    </w:rPr>
  </w:style>
  <w:style w:type="paragraph" w:styleId="39">
    <w:name w:val="Salutation"/>
    <w:basedOn w:val="1"/>
    <w:next w:val="1"/>
    <w:link w:val="309"/>
    <w:qFormat/>
    <w:uiPriority w:val="0"/>
    <w:pPr>
      <w:spacing w:after="180"/>
    </w:pPr>
    <w:rPr>
      <w:rFonts w:eastAsia="宋体"/>
      <w:sz w:val="20"/>
      <w:szCs w:val="20"/>
      <w:lang w:val="en-GB"/>
    </w:rPr>
  </w:style>
  <w:style w:type="paragraph" w:styleId="40">
    <w:name w:val="Body Text 3"/>
    <w:basedOn w:val="1"/>
    <w:link w:val="247"/>
    <w:qFormat/>
    <w:uiPriority w:val="0"/>
    <w:pPr>
      <w:jc w:val="both"/>
    </w:pPr>
    <w:rPr>
      <w:rFonts w:eastAsia="MS Gothic"/>
      <w:szCs w:val="20"/>
      <w:lang w:val="en-GB" w:eastAsia="ja-JP"/>
    </w:rPr>
  </w:style>
  <w:style w:type="paragraph" w:styleId="41">
    <w:name w:val="Closing"/>
    <w:basedOn w:val="1"/>
    <w:link w:val="292"/>
    <w:qFormat/>
    <w:uiPriority w:val="0"/>
    <w:pPr>
      <w:ind w:left="4252"/>
    </w:pPr>
    <w:rPr>
      <w:rFonts w:eastAsia="宋体"/>
      <w:sz w:val="20"/>
      <w:szCs w:val="20"/>
      <w:lang w:val="en-GB"/>
    </w:rPr>
  </w:style>
  <w:style w:type="paragraph" w:styleId="42">
    <w:name w:val="Body Text"/>
    <w:basedOn w:val="1"/>
    <w:link w:val="118"/>
    <w:unhideWhenUsed/>
    <w:qFormat/>
    <w:uiPriority w:val="0"/>
    <w:pPr>
      <w:overflowPunct w:val="0"/>
      <w:autoSpaceDE w:val="0"/>
      <w:autoSpaceDN w:val="0"/>
      <w:adjustRightInd w:val="0"/>
      <w:spacing w:after="120"/>
    </w:pPr>
    <w:rPr>
      <w:sz w:val="20"/>
      <w:szCs w:val="20"/>
    </w:rPr>
  </w:style>
  <w:style w:type="paragraph" w:styleId="43">
    <w:name w:val="Body Text Indent"/>
    <w:basedOn w:val="1"/>
    <w:link w:val="241"/>
    <w:qFormat/>
    <w:uiPriority w:val="0"/>
    <w:pPr>
      <w:ind w:left="360"/>
    </w:pPr>
    <w:rPr>
      <w:rFonts w:eastAsia="MS Gothic"/>
      <w:szCs w:val="20"/>
      <w:lang w:val="en-GB" w:eastAsia="ja-JP"/>
    </w:rPr>
  </w:style>
  <w:style w:type="paragraph" w:styleId="44">
    <w:name w:val="List Number 3"/>
    <w:basedOn w:val="1"/>
    <w:qFormat/>
    <w:uiPriority w:val="0"/>
    <w:pPr>
      <w:numPr>
        <w:ilvl w:val="0"/>
        <w:numId w:val="2"/>
      </w:numPr>
      <w:spacing w:after="180"/>
      <w:contextualSpacing/>
    </w:pPr>
    <w:rPr>
      <w:rFonts w:eastAsia="宋体"/>
      <w:sz w:val="20"/>
      <w:szCs w:val="20"/>
      <w:lang w:val="en-GB"/>
    </w:rPr>
  </w:style>
  <w:style w:type="paragraph" w:styleId="45">
    <w:name w:val="List 2"/>
    <w:basedOn w:val="23"/>
    <w:qFormat/>
    <w:uiPriority w:val="0"/>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46">
    <w:name w:val="List Continue"/>
    <w:basedOn w:val="1"/>
    <w:qFormat/>
    <w:uiPriority w:val="0"/>
    <w:pPr>
      <w:spacing w:after="120"/>
      <w:ind w:left="283"/>
      <w:contextualSpacing/>
    </w:pPr>
    <w:rPr>
      <w:rFonts w:eastAsia="宋体"/>
      <w:sz w:val="20"/>
      <w:szCs w:val="20"/>
      <w:lang w:val="en-GB"/>
    </w:rPr>
  </w:style>
  <w:style w:type="paragraph" w:styleId="47">
    <w:name w:val="Block Text"/>
    <w:basedOn w:val="1"/>
    <w:semiHidden/>
    <w:unhideWhenUsed/>
    <w:qFormat/>
    <w:uiPriority w:val="99"/>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8">
    <w:name w:val="HTML Address"/>
    <w:basedOn w:val="1"/>
    <w:link w:val="298"/>
    <w:qFormat/>
    <w:uiPriority w:val="0"/>
    <w:rPr>
      <w:rFonts w:eastAsia="宋体"/>
      <w:i/>
      <w:iCs/>
      <w:sz w:val="20"/>
      <w:szCs w:val="20"/>
      <w:lang w:val="en-GB"/>
    </w:rPr>
  </w:style>
  <w:style w:type="paragraph" w:styleId="49">
    <w:name w:val="index 4"/>
    <w:basedOn w:val="1"/>
    <w:next w:val="1"/>
    <w:qFormat/>
    <w:uiPriority w:val="0"/>
    <w:pPr>
      <w:ind w:left="800" w:hanging="200"/>
    </w:pPr>
    <w:rPr>
      <w:rFonts w:eastAsia="宋体"/>
      <w:sz w:val="20"/>
      <w:szCs w:val="20"/>
      <w:lang w:val="en-GB"/>
    </w:rPr>
  </w:style>
  <w:style w:type="paragraph" w:styleId="50">
    <w:name w:val="Plain Text"/>
    <w:basedOn w:val="1"/>
    <w:link w:val="209"/>
    <w:unhideWhenUsed/>
    <w:qFormat/>
    <w:uiPriority w:val="0"/>
    <w:pPr>
      <w:spacing w:before="40"/>
    </w:pPr>
    <w:rPr>
      <w:rFonts w:ascii="Consolas" w:hAnsi="Consolas" w:eastAsia="Calibri"/>
      <w:sz w:val="21"/>
      <w:szCs w:val="21"/>
      <w:lang w:val="en-GB"/>
    </w:rPr>
  </w:style>
  <w:style w:type="paragraph" w:styleId="51">
    <w:name w:val="List Bullet 5"/>
    <w:basedOn w:val="26"/>
    <w:qFormat/>
    <w:uiPriority w:val="0"/>
    <w:pPr>
      <w:ind w:left="1702"/>
    </w:pPr>
  </w:style>
  <w:style w:type="paragraph" w:styleId="52">
    <w:name w:val="List Number 4"/>
    <w:basedOn w:val="1"/>
    <w:qFormat/>
    <w:uiPriority w:val="0"/>
    <w:pPr>
      <w:numPr>
        <w:ilvl w:val="0"/>
        <w:numId w:val="3"/>
      </w:numPr>
      <w:spacing w:after="180"/>
      <w:contextualSpacing/>
    </w:pPr>
    <w:rPr>
      <w:rFonts w:eastAsia="宋体"/>
      <w:sz w:val="20"/>
      <w:szCs w:val="20"/>
      <w:lang w:val="en-GB"/>
    </w:rPr>
  </w:style>
  <w:style w:type="paragraph" w:styleId="53">
    <w:name w:val="toc 8"/>
    <w:basedOn w:val="20"/>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54">
    <w:name w:val="index 3"/>
    <w:basedOn w:val="1"/>
    <w:next w:val="1"/>
    <w:qFormat/>
    <w:uiPriority w:val="0"/>
    <w:pPr>
      <w:ind w:left="600" w:hanging="200"/>
    </w:pPr>
    <w:rPr>
      <w:rFonts w:eastAsia="宋体"/>
      <w:sz w:val="20"/>
      <w:szCs w:val="20"/>
      <w:lang w:val="en-GB"/>
    </w:rPr>
  </w:style>
  <w:style w:type="paragraph" w:styleId="55">
    <w:name w:val="Date"/>
    <w:basedOn w:val="1"/>
    <w:next w:val="1"/>
    <w:link w:val="293"/>
    <w:qFormat/>
    <w:uiPriority w:val="0"/>
    <w:pPr>
      <w:spacing w:after="180"/>
    </w:pPr>
    <w:rPr>
      <w:rFonts w:eastAsia="宋体"/>
      <w:sz w:val="20"/>
      <w:szCs w:val="20"/>
      <w:lang w:val="en-GB"/>
    </w:rPr>
  </w:style>
  <w:style w:type="paragraph" w:styleId="56">
    <w:name w:val="Body Text Indent 2"/>
    <w:basedOn w:val="1"/>
    <w:link w:val="244"/>
    <w:qFormat/>
    <w:uiPriority w:val="0"/>
    <w:pPr>
      <w:widowControl w:val="0"/>
      <w:autoSpaceDE w:val="0"/>
      <w:autoSpaceDN w:val="0"/>
      <w:adjustRightInd w:val="0"/>
      <w:ind w:left="1656"/>
      <w:jc w:val="both"/>
      <w:textAlignment w:val="baseline"/>
    </w:pPr>
    <w:rPr>
      <w:rFonts w:eastAsia="MS Gothic"/>
      <w:kern w:val="2"/>
      <w:szCs w:val="20"/>
      <w:lang w:val="en-GB" w:eastAsia="ja-JP"/>
    </w:rPr>
  </w:style>
  <w:style w:type="paragraph" w:styleId="57">
    <w:name w:val="endnote text"/>
    <w:basedOn w:val="1"/>
    <w:link w:val="295"/>
    <w:qFormat/>
    <w:uiPriority w:val="0"/>
    <w:rPr>
      <w:rFonts w:eastAsia="宋体"/>
      <w:sz w:val="20"/>
      <w:szCs w:val="20"/>
      <w:lang w:val="en-GB"/>
    </w:rPr>
  </w:style>
  <w:style w:type="paragraph" w:styleId="58">
    <w:name w:val="List Continue 5"/>
    <w:basedOn w:val="1"/>
    <w:qFormat/>
    <w:uiPriority w:val="0"/>
    <w:pPr>
      <w:spacing w:after="120"/>
      <w:ind w:left="1415"/>
      <w:contextualSpacing/>
    </w:pPr>
    <w:rPr>
      <w:rFonts w:eastAsia="宋体"/>
      <w:sz w:val="20"/>
      <w:szCs w:val="20"/>
      <w:lang w:val="en-GB"/>
    </w:rPr>
  </w:style>
  <w:style w:type="paragraph" w:styleId="59">
    <w:name w:val="Balloon Text"/>
    <w:basedOn w:val="1"/>
    <w:link w:val="119"/>
    <w:unhideWhenUsed/>
    <w:qFormat/>
    <w:uiPriority w:val="0"/>
    <w:pPr>
      <w:overflowPunct w:val="0"/>
      <w:autoSpaceDE w:val="0"/>
      <w:autoSpaceDN w:val="0"/>
      <w:adjustRightInd w:val="0"/>
    </w:pPr>
    <w:rPr>
      <w:rFonts w:ascii="Segoe UI" w:hAnsi="Segoe UI" w:cs="Segoe UI"/>
      <w:sz w:val="18"/>
      <w:szCs w:val="18"/>
    </w:rPr>
  </w:style>
  <w:style w:type="paragraph" w:styleId="60">
    <w:name w:val="footer"/>
    <w:basedOn w:val="1"/>
    <w:link w:val="123"/>
    <w:unhideWhenUsed/>
    <w:qFormat/>
    <w:uiPriority w:val="0"/>
    <w:pPr>
      <w:tabs>
        <w:tab w:val="center" w:pos="4153"/>
        <w:tab w:val="right" w:pos="8306"/>
      </w:tabs>
      <w:overflowPunct w:val="0"/>
      <w:autoSpaceDE w:val="0"/>
      <w:autoSpaceDN w:val="0"/>
      <w:adjustRightInd w:val="0"/>
      <w:snapToGrid w:val="0"/>
      <w:spacing w:after="180"/>
    </w:pPr>
    <w:rPr>
      <w:sz w:val="18"/>
      <w:szCs w:val="18"/>
    </w:rPr>
  </w:style>
  <w:style w:type="paragraph" w:styleId="61">
    <w:name w:val="envelope return"/>
    <w:basedOn w:val="1"/>
    <w:semiHidden/>
    <w:unhideWhenUsed/>
    <w:qFormat/>
    <w:uiPriority w:val="99"/>
    <w:rPr>
      <w:rFonts w:asciiTheme="majorHAnsi" w:hAnsiTheme="majorHAnsi" w:eastAsiaTheme="majorEastAsia" w:cstheme="majorBidi"/>
      <w:sz w:val="20"/>
      <w:szCs w:val="20"/>
    </w:rPr>
  </w:style>
  <w:style w:type="paragraph" w:styleId="62">
    <w:name w:val="Signature"/>
    <w:basedOn w:val="1"/>
    <w:link w:val="310"/>
    <w:qFormat/>
    <w:uiPriority w:val="0"/>
    <w:pPr>
      <w:ind w:left="4252"/>
    </w:pPr>
    <w:rPr>
      <w:rFonts w:eastAsia="宋体"/>
      <w:sz w:val="20"/>
      <w:szCs w:val="20"/>
      <w:lang w:val="en-GB"/>
    </w:rPr>
  </w:style>
  <w:style w:type="paragraph" w:styleId="63">
    <w:name w:val="List Continue 4"/>
    <w:basedOn w:val="1"/>
    <w:qFormat/>
    <w:uiPriority w:val="0"/>
    <w:pPr>
      <w:spacing w:after="120"/>
      <w:ind w:left="1132"/>
      <w:contextualSpacing/>
    </w:pPr>
    <w:rPr>
      <w:rFonts w:eastAsia="宋体"/>
      <w:sz w:val="20"/>
      <w:szCs w:val="20"/>
      <w:lang w:val="en-GB"/>
    </w:rPr>
  </w:style>
  <w:style w:type="paragraph" w:styleId="64">
    <w:name w:val="Subtitle"/>
    <w:basedOn w:val="1"/>
    <w:next w:val="1"/>
    <w:link w:val="312"/>
    <w:qFormat/>
    <w:uiPriority w:val="0"/>
    <w:pPr>
      <w:spacing w:after="160"/>
    </w:pPr>
    <w:rPr>
      <w:rFonts w:ascii="Calibri" w:hAnsi="Calibri" w:eastAsia="等线"/>
      <w:color w:val="5A5A5A"/>
      <w:spacing w:val="15"/>
      <w:sz w:val="22"/>
      <w:szCs w:val="22"/>
    </w:rPr>
  </w:style>
  <w:style w:type="paragraph" w:styleId="65">
    <w:name w:val="List Number 5"/>
    <w:basedOn w:val="1"/>
    <w:qFormat/>
    <w:uiPriority w:val="0"/>
    <w:pPr>
      <w:numPr>
        <w:ilvl w:val="0"/>
        <w:numId w:val="4"/>
      </w:numPr>
      <w:spacing w:after="180"/>
      <w:contextualSpacing/>
    </w:pPr>
    <w:rPr>
      <w:rFonts w:eastAsia="宋体"/>
      <w:sz w:val="20"/>
      <w:szCs w:val="20"/>
      <w:lang w:val="en-GB"/>
    </w:rPr>
  </w:style>
  <w:style w:type="paragraph" w:styleId="66">
    <w:name w:val="footnote text"/>
    <w:basedOn w:val="1"/>
    <w:link w:val="186"/>
    <w:qFormat/>
    <w:uiPriority w:val="0"/>
    <w:pPr>
      <w:keepLines/>
      <w:overflowPunct w:val="0"/>
      <w:autoSpaceDE w:val="0"/>
      <w:autoSpaceDN w:val="0"/>
      <w:adjustRightInd w:val="0"/>
      <w:ind w:left="454" w:hanging="454"/>
      <w:textAlignment w:val="baseline"/>
    </w:pPr>
    <w:rPr>
      <w:sz w:val="16"/>
      <w:szCs w:val="20"/>
      <w:lang w:val="en-GB" w:eastAsia="ja-JP"/>
    </w:rPr>
  </w:style>
  <w:style w:type="paragraph" w:styleId="67">
    <w:name w:val="List 5"/>
    <w:basedOn w:val="68"/>
    <w:qFormat/>
    <w:uiPriority w:val="0"/>
    <w:pPr>
      <w:overflowPunct/>
      <w:autoSpaceDE/>
      <w:autoSpaceDN/>
      <w:adjustRightInd/>
      <w:spacing w:after="120"/>
      <w:ind w:left="1702" w:hanging="284"/>
      <w:contextualSpacing w:val="0"/>
      <w:jc w:val="both"/>
    </w:pPr>
    <w:rPr>
      <w:rFonts w:ascii="Arial" w:hAnsi="Arial"/>
      <w:szCs w:val="24"/>
      <w:lang w:eastAsia="ja-JP"/>
    </w:rPr>
  </w:style>
  <w:style w:type="paragraph" w:styleId="68">
    <w:name w:val="List 4"/>
    <w:basedOn w:val="1"/>
    <w:unhideWhenUsed/>
    <w:qFormat/>
    <w:uiPriority w:val="0"/>
    <w:pPr>
      <w:overflowPunct w:val="0"/>
      <w:autoSpaceDE w:val="0"/>
      <w:autoSpaceDN w:val="0"/>
      <w:adjustRightInd w:val="0"/>
      <w:spacing w:after="180"/>
      <w:ind w:left="1440" w:hanging="360"/>
      <w:contextualSpacing/>
    </w:pPr>
    <w:rPr>
      <w:sz w:val="20"/>
      <w:szCs w:val="20"/>
    </w:rPr>
  </w:style>
  <w:style w:type="paragraph" w:styleId="69">
    <w:name w:val="Body Text Indent 3"/>
    <w:basedOn w:val="1"/>
    <w:link w:val="291"/>
    <w:qFormat/>
    <w:uiPriority w:val="0"/>
    <w:pPr>
      <w:spacing w:after="120"/>
      <w:ind w:left="283"/>
    </w:pPr>
    <w:rPr>
      <w:rFonts w:eastAsia="宋体"/>
      <w:sz w:val="16"/>
      <w:szCs w:val="16"/>
      <w:lang w:val="en-GB"/>
    </w:rPr>
  </w:style>
  <w:style w:type="paragraph" w:styleId="70">
    <w:name w:val="index 7"/>
    <w:basedOn w:val="1"/>
    <w:next w:val="1"/>
    <w:qFormat/>
    <w:uiPriority w:val="0"/>
    <w:pPr>
      <w:ind w:left="1400" w:hanging="200"/>
    </w:pPr>
    <w:rPr>
      <w:rFonts w:eastAsia="宋体"/>
      <w:sz w:val="20"/>
      <w:szCs w:val="20"/>
      <w:lang w:val="en-GB"/>
    </w:rPr>
  </w:style>
  <w:style w:type="paragraph" w:styleId="71">
    <w:name w:val="index 9"/>
    <w:basedOn w:val="1"/>
    <w:next w:val="1"/>
    <w:qFormat/>
    <w:uiPriority w:val="0"/>
    <w:pPr>
      <w:ind w:left="1800" w:hanging="200"/>
    </w:pPr>
    <w:rPr>
      <w:rFonts w:eastAsia="宋体"/>
      <w:sz w:val="20"/>
      <w:szCs w:val="20"/>
      <w:lang w:val="en-GB"/>
    </w:rPr>
  </w:style>
  <w:style w:type="paragraph" w:styleId="72">
    <w:name w:val="table of figures"/>
    <w:basedOn w:val="1"/>
    <w:next w:val="1"/>
    <w:qFormat/>
    <w:uiPriority w:val="0"/>
    <w:pPr>
      <w:tabs>
        <w:tab w:val="left" w:pos="811"/>
      </w:tabs>
      <w:spacing w:before="60"/>
      <w:ind w:left="811" w:hanging="811"/>
    </w:pPr>
    <w:rPr>
      <w:rFonts w:ascii="Arial" w:hAnsi="Arial" w:eastAsia="MS Mincho"/>
      <w:sz w:val="20"/>
      <w:lang w:val="en-GB" w:eastAsia="en-GB"/>
    </w:rPr>
  </w:style>
  <w:style w:type="paragraph" w:styleId="73">
    <w:name w:val="toc 9"/>
    <w:basedOn w:val="53"/>
    <w:next w:val="1"/>
    <w:qFormat/>
    <w:uiPriority w:val="39"/>
    <w:pPr>
      <w:ind w:left="1418" w:hanging="1418"/>
    </w:pPr>
  </w:style>
  <w:style w:type="paragraph" w:styleId="74">
    <w:name w:val="Body Text 2"/>
    <w:basedOn w:val="1"/>
    <w:link w:val="288"/>
    <w:qFormat/>
    <w:uiPriority w:val="0"/>
    <w:pPr>
      <w:spacing w:after="120" w:line="480" w:lineRule="auto"/>
    </w:pPr>
    <w:rPr>
      <w:rFonts w:eastAsia="宋体"/>
      <w:sz w:val="20"/>
      <w:szCs w:val="20"/>
      <w:lang w:val="en-GB"/>
    </w:rPr>
  </w:style>
  <w:style w:type="paragraph" w:styleId="75">
    <w:name w:val="List Continue 2"/>
    <w:basedOn w:val="1"/>
    <w:qFormat/>
    <w:uiPriority w:val="0"/>
    <w:pPr>
      <w:spacing w:after="120"/>
      <w:ind w:left="566"/>
      <w:contextualSpacing/>
    </w:pPr>
    <w:rPr>
      <w:rFonts w:eastAsia="宋体"/>
      <w:sz w:val="20"/>
      <w:szCs w:val="20"/>
      <w:lang w:val="en-GB"/>
    </w:rPr>
  </w:style>
  <w:style w:type="paragraph" w:styleId="76">
    <w:name w:val="Message Header"/>
    <w:basedOn w:val="1"/>
    <w:link w:val="315"/>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paragraph" w:styleId="77">
    <w:name w:val="HTML Preformatted"/>
    <w:basedOn w:val="1"/>
    <w:link w:val="299"/>
    <w:qFormat/>
    <w:uiPriority w:val="0"/>
    <w:rPr>
      <w:rFonts w:ascii="Consolas" w:hAnsi="Consolas" w:eastAsia="宋体"/>
      <w:sz w:val="20"/>
      <w:szCs w:val="20"/>
      <w:lang w:val="en-GB"/>
    </w:rPr>
  </w:style>
  <w:style w:type="paragraph" w:styleId="78">
    <w:name w:val="Normal (Web)"/>
    <w:basedOn w:val="1"/>
    <w:unhideWhenUsed/>
    <w:qFormat/>
    <w:uiPriority w:val="0"/>
    <w:pPr>
      <w:spacing w:before="100" w:beforeAutospacing="1" w:after="100" w:afterAutospacing="1"/>
    </w:pPr>
  </w:style>
  <w:style w:type="paragraph" w:styleId="79">
    <w:name w:val="List Continue 3"/>
    <w:basedOn w:val="1"/>
    <w:qFormat/>
    <w:uiPriority w:val="0"/>
    <w:pPr>
      <w:spacing w:after="120"/>
      <w:ind w:left="849"/>
      <w:contextualSpacing/>
    </w:pPr>
    <w:rPr>
      <w:rFonts w:eastAsia="宋体"/>
      <w:sz w:val="20"/>
      <w:szCs w:val="20"/>
      <w:lang w:val="en-GB"/>
    </w:rPr>
  </w:style>
  <w:style w:type="paragraph" w:styleId="80">
    <w:name w:val="index 1"/>
    <w:basedOn w:val="1"/>
    <w:next w:val="1"/>
    <w:qFormat/>
    <w:uiPriority w:val="0"/>
    <w:pPr>
      <w:keepLines/>
      <w:overflowPunct w:val="0"/>
      <w:autoSpaceDE w:val="0"/>
      <w:autoSpaceDN w:val="0"/>
      <w:adjustRightInd w:val="0"/>
      <w:textAlignment w:val="baseline"/>
    </w:pPr>
    <w:rPr>
      <w:sz w:val="20"/>
      <w:szCs w:val="20"/>
      <w:lang w:val="en-GB" w:eastAsia="ja-JP"/>
    </w:rPr>
  </w:style>
  <w:style w:type="paragraph" w:styleId="81">
    <w:name w:val="index 2"/>
    <w:basedOn w:val="80"/>
    <w:next w:val="1"/>
    <w:qFormat/>
    <w:uiPriority w:val="0"/>
    <w:pPr>
      <w:ind w:left="284"/>
    </w:pPr>
  </w:style>
  <w:style w:type="paragraph" w:styleId="82">
    <w:name w:val="Title"/>
    <w:basedOn w:val="5"/>
    <w:link w:val="143"/>
    <w:qFormat/>
    <w:uiPriority w:val="0"/>
    <w:pPr>
      <w:widowControl/>
      <w:spacing w:after="120"/>
      <w:textAlignment w:val="baseline"/>
    </w:pPr>
    <w:rPr>
      <w:rFonts w:eastAsia="MS Mincho"/>
      <w:b/>
      <w:sz w:val="24"/>
      <w:lang w:val="de-DE" w:eastAsia="en-US"/>
    </w:rPr>
  </w:style>
  <w:style w:type="paragraph" w:styleId="83">
    <w:name w:val="annotation subject"/>
    <w:basedOn w:val="37"/>
    <w:next w:val="37"/>
    <w:link w:val="122"/>
    <w:unhideWhenUsed/>
    <w:qFormat/>
    <w:uiPriority w:val="0"/>
    <w:rPr>
      <w:b/>
      <w:bCs/>
    </w:rPr>
  </w:style>
  <w:style w:type="paragraph" w:styleId="84">
    <w:name w:val="Body Text First Indent"/>
    <w:basedOn w:val="42"/>
    <w:link w:val="289"/>
    <w:qFormat/>
    <w:uiPriority w:val="0"/>
    <w:pPr>
      <w:overflowPunct/>
      <w:autoSpaceDE/>
      <w:autoSpaceDN/>
      <w:adjustRightInd/>
      <w:spacing w:after="180"/>
      <w:ind w:firstLine="360"/>
    </w:pPr>
    <w:rPr>
      <w:rFonts w:eastAsia="宋体"/>
      <w:lang w:val="en-GB"/>
    </w:rPr>
  </w:style>
  <w:style w:type="paragraph" w:styleId="85">
    <w:name w:val="Body Text First Indent 2"/>
    <w:basedOn w:val="43"/>
    <w:link w:val="290"/>
    <w:qFormat/>
    <w:uiPriority w:val="0"/>
    <w:pPr>
      <w:spacing w:after="180"/>
      <w:ind w:firstLine="360"/>
    </w:pPr>
    <w:rPr>
      <w:rFonts w:eastAsia="宋体"/>
      <w:sz w:val="20"/>
      <w:lang w:eastAsia="en-US"/>
    </w:rPr>
  </w:style>
  <w:style w:type="table" w:styleId="87">
    <w:name w:val="Table Grid"/>
    <w:basedOn w:val="86"/>
    <w:qFormat/>
    <w:uiPriority w:val="39"/>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basedOn w:val="88"/>
    <w:qFormat/>
    <w:uiPriority w:val="22"/>
    <w:rPr>
      <w:b/>
      <w:bCs/>
    </w:rPr>
  </w:style>
  <w:style w:type="character" w:styleId="90">
    <w:name w:val="page number"/>
    <w:basedOn w:val="88"/>
    <w:qFormat/>
    <w:uiPriority w:val="0"/>
  </w:style>
  <w:style w:type="character" w:styleId="91">
    <w:name w:val="FollowedHyperlink"/>
    <w:basedOn w:val="88"/>
    <w:unhideWhenUsed/>
    <w:qFormat/>
    <w:uiPriority w:val="0"/>
    <w:rPr>
      <w:color w:val="954F72" w:themeColor="followedHyperlink"/>
      <w:u w:val="single"/>
      <w14:textFill>
        <w14:solidFill>
          <w14:schemeClr w14:val="folHlink"/>
        </w14:solidFill>
      </w14:textFill>
    </w:rPr>
  </w:style>
  <w:style w:type="character" w:styleId="92">
    <w:name w:val="Emphasis"/>
    <w:qFormat/>
    <w:uiPriority w:val="0"/>
    <w:rPr>
      <w:i/>
      <w:iCs/>
    </w:rPr>
  </w:style>
  <w:style w:type="character" w:styleId="93">
    <w:name w:val="Hyperlink"/>
    <w:qFormat/>
    <w:uiPriority w:val="0"/>
    <w:rPr>
      <w:color w:val="0000FF"/>
      <w:u w:val="single"/>
    </w:rPr>
  </w:style>
  <w:style w:type="character" w:styleId="94">
    <w:name w:val="annotation reference"/>
    <w:basedOn w:val="88"/>
    <w:unhideWhenUsed/>
    <w:qFormat/>
    <w:uiPriority w:val="0"/>
    <w:rPr>
      <w:sz w:val="16"/>
      <w:szCs w:val="16"/>
    </w:rPr>
  </w:style>
  <w:style w:type="character" w:styleId="95">
    <w:name w:val="footnote reference"/>
    <w:basedOn w:val="88"/>
    <w:qFormat/>
    <w:uiPriority w:val="0"/>
    <w:rPr>
      <w:b/>
      <w:position w:val="6"/>
      <w:sz w:val="16"/>
    </w:rPr>
  </w:style>
  <w:style w:type="character" w:customStyle="1" w:styleId="96">
    <w:name w:val="标题 1 字符"/>
    <w:basedOn w:val="88"/>
    <w:link w:val="3"/>
    <w:qFormat/>
    <w:uiPriority w:val="9"/>
    <w:rPr>
      <w:rFonts w:ascii="Arial" w:hAnsi="Arial" w:eastAsia="Arial" w:cs="Times New Roman"/>
      <w:sz w:val="36"/>
      <w:lang w:val="en-GB"/>
    </w:rPr>
  </w:style>
  <w:style w:type="character" w:customStyle="1" w:styleId="97">
    <w:name w:val="标题 2 字符"/>
    <w:basedOn w:val="88"/>
    <w:link w:val="5"/>
    <w:qFormat/>
    <w:uiPriority w:val="9"/>
    <w:rPr>
      <w:rFonts w:ascii="Arial" w:hAnsi="Arial" w:eastAsia="Arial" w:cs="Times New Roman"/>
      <w:sz w:val="32"/>
      <w:szCs w:val="20"/>
      <w:lang w:val="en-GB" w:eastAsia="zh-CN"/>
    </w:rPr>
  </w:style>
  <w:style w:type="character" w:customStyle="1" w:styleId="98">
    <w:name w:val="标题 3 字符"/>
    <w:basedOn w:val="88"/>
    <w:link w:val="6"/>
    <w:qFormat/>
    <w:uiPriority w:val="0"/>
    <w:rPr>
      <w:rFonts w:ascii="Arial" w:hAnsi="Arial" w:eastAsia="Arial" w:cs="Times New Roman"/>
      <w:sz w:val="28"/>
      <w:szCs w:val="20"/>
      <w:lang w:val="en-GB" w:eastAsia="zh-CN"/>
    </w:rPr>
  </w:style>
  <w:style w:type="character" w:customStyle="1" w:styleId="99">
    <w:name w:val="标题 4 字符"/>
    <w:basedOn w:val="88"/>
    <w:link w:val="7"/>
    <w:qFormat/>
    <w:uiPriority w:val="0"/>
    <w:rPr>
      <w:rFonts w:ascii="Calibri" w:hAnsi="Calibri" w:eastAsia="Times New Roman" w:cs="Times New Roman"/>
      <w:b/>
      <w:bCs/>
      <w:sz w:val="28"/>
      <w:szCs w:val="28"/>
      <w:lang w:val="zh-CN" w:eastAsia="zh-CN"/>
    </w:rPr>
  </w:style>
  <w:style w:type="character" w:customStyle="1" w:styleId="100">
    <w:name w:val="标题 5 字符"/>
    <w:basedOn w:val="88"/>
    <w:link w:val="8"/>
    <w:qFormat/>
    <w:uiPriority w:val="0"/>
    <w:rPr>
      <w:rFonts w:ascii="Cambria" w:hAnsi="Cambria" w:cs="Times New Roman"/>
      <w:color w:val="243F60"/>
      <w:lang w:val="zh-CN"/>
    </w:rPr>
  </w:style>
  <w:style w:type="character" w:customStyle="1" w:styleId="101">
    <w:name w:val="标题 6 字符"/>
    <w:basedOn w:val="88"/>
    <w:link w:val="9"/>
    <w:qFormat/>
    <w:uiPriority w:val="0"/>
    <w:rPr>
      <w:rFonts w:ascii="Calibri" w:hAnsi="Calibri" w:eastAsia="Times New Roman" w:cs="Times New Roman"/>
      <w:b/>
      <w:bCs/>
      <w:sz w:val="22"/>
      <w:szCs w:val="22"/>
      <w:lang w:val="zh-CN"/>
    </w:rPr>
  </w:style>
  <w:style w:type="character" w:customStyle="1" w:styleId="102">
    <w:name w:val="标题 7 字符"/>
    <w:basedOn w:val="88"/>
    <w:link w:val="10"/>
    <w:qFormat/>
    <w:uiPriority w:val="0"/>
    <w:rPr>
      <w:rFonts w:ascii="Calibri" w:hAnsi="Calibri" w:eastAsia="Times New Roman" w:cs="Times New Roman"/>
      <w:sz w:val="24"/>
      <w:szCs w:val="24"/>
      <w:lang w:val="zh-CN"/>
    </w:rPr>
  </w:style>
  <w:style w:type="character" w:customStyle="1" w:styleId="103">
    <w:name w:val="标题 8 字符"/>
    <w:basedOn w:val="88"/>
    <w:link w:val="11"/>
    <w:qFormat/>
    <w:uiPriority w:val="0"/>
    <w:rPr>
      <w:rFonts w:ascii="Calibri" w:hAnsi="Calibri" w:eastAsia="Times New Roman" w:cs="Times New Roman"/>
      <w:i/>
      <w:iCs/>
      <w:sz w:val="24"/>
      <w:szCs w:val="24"/>
      <w:lang w:val="zh-CN"/>
    </w:rPr>
  </w:style>
  <w:style w:type="character" w:customStyle="1" w:styleId="104">
    <w:name w:val="标题 9 字符"/>
    <w:basedOn w:val="88"/>
    <w:link w:val="12"/>
    <w:qFormat/>
    <w:uiPriority w:val="0"/>
    <w:rPr>
      <w:rFonts w:ascii="Calibri Light" w:hAnsi="Calibri Light" w:eastAsia="Times New Roman" w:cs="Times New Roman"/>
      <w:sz w:val="22"/>
      <w:szCs w:val="22"/>
      <w:lang w:val="zh-CN"/>
    </w:rPr>
  </w:style>
  <w:style w:type="character" w:customStyle="1" w:styleId="105">
    <w:name w:val="页眉 字符"/>
    <w:basedOn w:val="88"/>
    <w:link w:val="4"/>
    <w:qFormat/>
    <w:uiPriority w:val="0"/>
    <w:rPr>
      <w:rFonts w:ascii="Arial" w:hAnsi="Arial" w:eastAsia="宋体" w:cs="Times New Roman"/>
      <w:b/>
      <w:sz w:val="18"/>
      <w:szCs w:val="20"/>
    </w:rPr>
  </w:style>
  <w:style w:type="paragraph" w:customStyle="1" w:styleId="106">
    <w:name w:val="CR Cover Page"/>
    <w:link w:val="205"/>
    <w:qFormat/>
    <w:uiPriority w:val="0"/>
    <w:pPr>
      <w:spacing w:after="120" w:line="276" w:lineRule="auto"/>
    </w:pPr>
    <w:rPr>
      <w:rFonts w:ascii="Arial" w:hAnsi="Arial" w:eastAsia="MS Mincho" w:cs="Times New Roman"/>
      <w:lang w:val="en-GB" w:eastAsia="en-US" w:bidi="ar-SA"/>
    </w:rPr>
  </w:style>
  <w:style w:type="character" w:customStyle="1" w:styleId="107">
    <w:name w:val="Doc-title Char"/>
    <w:link w:val="108"/>
    <w:qFormat/>
    <w:locked/>
    <w:uiPriority w:val="0"/>
    <w:rPr>
      <w:rFonts w:ascii="Arial" w:hAnsi="Arial" w:eastAsia="MS Mincho" w:cs="Arial"/>
      <w:szCs w:val="24"/>
      <w:lang w:val="en-GB" w:eastAsia="en-GB"/>
    </w:rPr>
  </w:style>
  <w:style w:type="paragraph" w:customStyle="1" w:styleId="108">
    <w:name w:val="Doc-title"/>
    <w:basedOn w:val="1"/>
    <w:next w:val="1"/>
    <w:link w:val="107"/>
    <w:qFormat/>
    <w:uiPriority w:val="0"/>
    <w:pPr>
      <w:spacing w:before="60"/>
      <w:ind w:left="1259" w:hanging="1259"/>
    </w:pPr>
    <w:rPr>
      <w:rFonts w:ascii="Arial" w:hAnsi="Arial" w:eastAsia="MS Mincho" w:cs="Arial"/>
      <w:lang w:val="en-GB" w:eastAsia="en-GB"/>
    </w:rPr>
  </w:style>
  <w:style w:type="character" w:customStyle="1" w:styleId="109">
    <w:name w:val="TH Char"/>
    <w:link w:val="110"/>
    <w:qFormat/>
    <w:locked/>
    <w:uiPriority w:val="0"/>
    <w:rPr>
      <w:rFonts w:ascii="Arial" w:hAnsi="Arial" w:cs="Arial"/>
      <w:b/>
      <w:lang w:val="en-GB"/>
    </w:rPr>
  </w:style>
  <w:style w:type="paragraph" w:customStyle="1" w:styleId="110">
    <w:name w:val="TH"/>
    <w:basedOn w:val="1"/>
    <w:link w:val="109"/>
    <w:qFormat/>
    <w:uiPriority w:val="0"/>
    <w:pPr>
      <w:keepNext/>
      <w:keepLines/>
      <w:spacing w:before="60" w:after="180"/>
      <w:jc w:val="center"/>
    </w:pPr>
    <w:rPr>
      <w:rFonts w:ascii="Arial" w:hAnsi="Arial" w:cs="Arial"/>
      <w:b/>
      <w:lang w:val="en-GB"/>
    </w:rPr>
  </w:style>
  <w:style w:type="character" w:customStyle="1" w:styleId="111">
    <w:name w:val="TF Char"/>
    <w:link w:val="112"/>
    <w:qFormat/>
    <w:locked/>
    <w:uiPriority w:val="0"/>
    <w:rPr>
      <w:rFonts w:ascii="Arial" w:hAnsi="Arial" w:eastAsia="Times New Roman" w:cs="Arial"/>
      <w:b/>
      <w:lang w:val="en-GB" w:eastAsia="ko-KR"/>
    </w:rPr>
  </w:style>
  <w:style w:type="paragraph" w:customStyle="1" w:styleId="112">
    <w:name w:val="TF"/>
    <w:basedOn w:val="110"/>
    <w:link w:val="111"/>
    <w:qFormat/>
    <w:uiPriority w:val="0"/>
    <w:pPr>
      <w:keepNext w:val="0"/>
      <w:overflowPunct w:val="0"/>
      <w:autoSpaceDE w:val="0"/>
      <w:autoSpaceDN w:val="0"/>
      <w:adjustRightInd w:val="0"/>
      <w:spacing w:before="0" w:after="240"/>
    </w:pPr>
    <w:rPr>
      <w:lang w:eastAsia="ko-KR"/>
    </w:rPr>
  </w:style>
  <w:style w:type="paragraph" w:customStyle="1" w:styleId="113">
    <w:name w:val="Proposal"/>
    <w:basedOn w:val="1"/>
    <w:link w:val="114"/>
    <w:qFormat/>
    <w:uiPriority w:val="0"/>
    <w:pPr>
      <w:overflowPunct w:val="0"/>
      <w:autoSpaceDE w:val="0"/>
      <w:autoSpaceDN w:val="0"/>
      <w:adjustRightInd w:val="0"/>
      <w:spacing w:after="180"/>
      <w:jc w:val="both"/>
    </w:pPr>
    <w:rPr>
      <w:sz w:val="20"/>
      <w:szCs w:val="20"/>
      <w:lang w:val="en-GB" w:eastAsia="zh-CN"/>
    </w:rPr>
  </w:style>
  <w:style w:type="character" w:customStyle="1" w:styleId="114">
    <w:name w:val="Proposal Char"/>
    <w:link w:val="113"/>
    <w:qFormat/>
    <w:uiPriority w:val="0"/>
    <w:rPr>
      <w:rFonts w:ascii="Times New Roman" w:hAnsi="Times New Roman" w:eastAsia="宋体" w:cs="Times New Roman"/>
      <w:sz w:val="20"/>
      <w:szCs w:val="20"/>
      <w:lang w:val="en-GB" w:eastAsia="zh-CN"/>
    </w:rPr>
  </w:style>
  <w:style w:type="paragraph" w:customStyle="1" w:styleId="115">
    <w:name w:val="observ."/>
    <w:basedOn w:val="113"/>
    <w:link w:val="116"/>
    <w:qFormat/>
    <w:uiPriority w:val="0"/>
    <w:pPr>
      <w:numPr>
        <w:ilvl w:val="0"/>
        <w:numId w:val="5"/>
      </w:numPr>
    </w:pPr>
  </w:style>
  <w:style w:type="character" w:customStyle="1" w:styleId="116">
    <w:name w:val="observ. Char"/>
    <w:link w:val="115"/>
    <w:qFormat/>
    <w:uiPriority w:val="0"/>
    <w:rPr>
      <w:rFonts w:ascii="Times New Roman" w:hAnsi="Times New Roman" w:cs="Times New Roman"/>
      <w:lang w:val="en-GB"/>
    </w:rPr>
  </w:style>
  <w:style w:type="paragraph" w:customStyle="1" w:styleId="117">
    <w:name w:val="3GPP_Header"/>
    <w:basedOn w:val="42"/>
    <w:qFormat/>
    <w:uiPriority w:val="0"/>
    <w:pPr>
      <w:tabs>
        <w:tab w:val="left" w:pos="1701"/>
        <w:tab w:val="right" w:pos="9639"/>
      </w:tabs>
      <w:spacing w:after="240"/>
      <w:jc w:val="both"/>
    </w:pPr>
    <w:rPr>
      <w:rFonts w:ascii="Arial" w:hAnsi="Arial"/>
      <w:b/>
      <w:sz w:val="24"/>
      <w:lang w:val="en-GB" w:eastAsia="zh-CN"/>
    </w:rPr>
  </w:style>
  <w:style w:type="character" w:customStyle="1" w:styleId="118">
    <w:name w:val="正文文本 字符"/>
    <w:basedOn w:val="88"/>
    <w:link w:val="42"/>
    <w:qFormat/>
    <w:uiPriority w:val="0"/>
    <w:rPr>
      <w:rFonts w:ascii="Times New Roman" w:hAnsi="Times New Roman" w:eastAsia="宋体" w:cs="Times New Roman"/>
      <w:sz w:val="20"/>
      <w:szCs w:val="20"/>
    </w:rPr>
  </w:style>
  <w:style w:type="character" w:customStyle="1" w:styleId="119">
    <w:name w:val="批注框文本 字符"/>
    <w:basedOn w:val="88"/>
    <w:link w:val="59"/>
    <w:qFormat/>
    <w:uiPriority w:val="0"/>
    <w:rPr>
      <w:rFonts w:ascii="Segoe UI" w:hAnsi="Segoe UI" w:eastAsia="宋体" w:cs="Segoe UI"/>
      <w:sz w:val="18"/>
      <w:szCs w:val="18"/>
    </w:rPr>
  </w:style>
  <w:style w:type="paragraph" w:styleId="120">
    <w:name w:val="List Paragraph"/>
    <w:basedOn w:val="1"/>
    <w:link w:val="124"/>
    <w:qFormat/>
    <w:uiPriority w:val="34"/>
    <w:pPr>
      <w:overflowPunct w:val="0"/>
      <w:autoSpaceDE w:val="0"/>
      <w:autoSpaceDN w:val="0"/>
      <w:adjustRightInd w:val="0"/>
      <w:spacing w:after="180"/>
      <w:ind w:left="720"/>
      <w:contextualSpacing/>
    </w:pPr>
    <w:rPr>
      <w:sz w:val="20"/>
      <w:szCs w:val="20"/>
    </w:rPr>
  </w:style>
  <w:style w:type="character" w:customStyle="1" w:styleId="121">
    <w:name w:val="批注文字 字符"/>
    <w:basedOn w:val="88"/>
    <w:link w:val="37"/>
    <w:qFormat/>
    <w:uiPriority w:val="0"/>
    <w:rPr>
      <w:rFonts w:ascii="Times New Roman" w:hAnsi="Times New Roman" w:eastAsia="宋体" w:cs="Times New Roman"/>
      <w:sz w:val="20"/>
      <w:szCs w:val="20"/>
    </w:rPr>
  </w:style>
  <w:style w:type="character" w:customStyle="1" w:styleId="122">
    <w:name w:val="批注主题 字符"/>
    <w:basedOn w:val="121"/>
    <w:link w:val="83"/>
    <w:qFormat/>
    <w:uiPriority w:val="0"/>
    <w:rPr>
      <w:rFonts w:ascii="Times New Roman" w:hAnsi="Times New Roman" w:eastAsia="宋体" w:cs="Times New Roman"/>
      <w:b/>
      <w:bCs/>
      <w:sz w:val="20"/>
      <w:szCs w:val="20"/>
    </w:rPr>
  </w:style>
  <w:style w:type="character" w:customStyle="1" w:styleId="123">
    <w:name w:val="页脚 字符"/>
    <w:basedOn w:val="88"/>
    <w:link w:val="60"/>
    <w:qFormat/>
    <w:uiPriority w:val="0"/>
    <w:rPr>
      <w:rFonts w:ascii="Times New Roman" w:hAnsi="Times New Roman" w:eastAsia="宋体" w:cs="Times New Roman"/>
      <w:sz w:val="18"/>
      <w:szCs w:val="18"/>
    </w:rPr>
  </w:style>
  <w:style w:type="character" w:customStyle="1" w:styleId="124">
    <w:name w:val="列表段落 字符"/>
    <w:basedOn w:val="88"/>
    <w:link w:val="120"/>
    <w:qFormat/>
    <w:locked/>
    <w:uiPriority w:val="34"/>
    <w:rPr>
      <w:rFonts w:ascii="Times New Roman" w:hAnsi="Times New Roman" w:eastAsia="宋体" w:cs="Times New Roman"/>
      <w:sz w:val="20"/>
      <w:szCs w:val="20"/>
    </w:rPr>
  </w:style>
  <w:style w:type="paragraph" w:customStyle="1" w:styleId="125">
    <w:name w:val="N_O"/>
    <w:basedOn w:val="1"/>
    <w:next w:val="1"/>
    <w:link w:val="127"/>
    <w:qFormat/>
    <w:uiPriority w:val="0"/>
    <w:pPr>
      <w:numPr>
        <w:ilvl w:val="0"/>
        <w:numId w:val="6"/>
      </w:numPr>
      <w:ind w:left="360"/>
    </w:pPr>
    <w:rPr>
      <w:b/>
      <w:bCs/>
      <w:lang w:val="en-GB"/>
    </w:rPr>
  </w:style>
  <w:style w:type="paragraph" w:customStyle="1" w:styleId="126">
    <w:name w:val="N_P"/>
    <w:basedOn w:val="125"/>
    <w:next w:val="1"/>
    <w:link w:val="128"/>
    <w:qFormat/>
    <w:uiPriority w:val="0"/>
    <w:pPr>
      <w:numPr>
        <w:numId w:val="7"/>
      </w:numPr>
    </w:pPr>
  </w:style>
  <w:style w:type="character" w:customStyle="1" w:styleId="127">
    <w:name w:val="N_O Char"/>
    <w:basedOn w:val="88"/>
    <w:link w:val="125"/>
    <w:qFormat/>
    <w:uiPriority w:val="0"/>
    <w:rPr>
      <w:b/>
      <w:bCs/>
      <w:sz w:val="22"/>
      <w:szCs w:val="22"/>
      <w:lang w:val="en-GB" w:eastAsia="en-US"/>
    </w:rPr>
  </w:style>
  <w:style w:type="character" w:customStyle="1" w:styleId="128">
    <w:name w:val="N_P Char"/>
    <w:basedOn w:val="127"/>
    <w:link w:val="126"/>
    <w:qFormat/>
    <w:uiPriority w:val="0"/>
    <w:rPr>
      <w:sz w:val="22"/>
      <w:szCs w:val="22"/>
      <w:lang w:val="en-GB" w:eastAsia="en-US"/>
    </w:rPr>
  </w:style>
  <w:style w:type="paragraph" w:customStyle="1" w:styleId="129">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130">
    <w:name w:val="B1 Char"/>
    <w:link w:val="131"/>
    <w:qFormat/>
    <w:locked/>
    <w:uiPriority w:val="0"/>
    <w:rPr>
      <w:lang w:val="zh-CN"/>
    </w:rPr>
  </w:style>
  <w:style w:type="paragraph" w:customStyle="1" w:styleId="131">
    <w:name w:val="B1"/>
    <w:basedOn w:val="1"/>
    <w:link w:val="130"/>
    <w:qFormat/>
    <w:uiPriority w:val="0"/>
    <w:pPr>
      <w:spacing w:after="180"/>
      <w:ind w:left="568" w:hanging="284"/>
    </w:pPr>
    <w:rPr>
      <w:lang w:val="zh-CN"/>
    </w:rPr>
  </w:style>
  <w:style w:type="paragraph" w:customStyle="1" w:styleId="132">
    <w:name w:val="Obs-prop"/>
    <w:basedOn w:val="1"/>
    <w:next w:val="1"/>
    <w:qFormat/>
    <w:uiPriority w:val="0"/>
    <w:rPr>
      <w:b/>
      <w:bCs/>
      <w:lang w:val="en-GB"/>
    </w:rPr>
  </w:style>
  <w:style w:type="paragraph" w:customStyle="1" w:styleId="133">
    <w:name w:val="paragraph"/>
    <w:basedOn w:val="1"/>
    <w:qFormat/>
    <w:uiPriority w:val="0"/>
    <w:pPr>
      <w:spacing w:before="100" w:beforeAutospacing="1" w:after="100" w:afterAutospacing="1"/>
    </w:pPr>
    <w:rPr>
      <w:lang w:val="en-GB" w:eastAsia="en-GB"/>
    </w:rPr>
  </w:style>
  <w:style w:type="character" w:customStyle="1" w:styleId="134">
    <w:name w:val="normaltextrun"/>
    <w:basedOn w:val="88"/>
    <w:qFormat/>
    <w:uiPriority w:val="0"/>
  </w:style>
  <w:style w:type="character" w:customStyle="1" w:styleId="135">
    <w:name w:val="eop"/>
    <w:basedOn w:val="88"/>
    <w:qFormat/>
    <w:uiPriority w:val="0"/>
  </w:style>
  <w:style w:type="paragraph" w:customStyle="1" w:styleId="136">
    <w:name w:val="Doc-text2"/>
    <w:basedOn w:val="1"/>
    <w:link w:val="137"/>
    <w:qFormat/>
    <w:uiPriority w:val="0"/>
    <w:pPr>
      <w:tabs>
        <w:tab w:val="left" w:pos="1622"/>
      </w:tabs>
      <w:ind w:left="1622" w:hanging="363"/>
    </w:pPr>
    <w:rPr>
      <w:rFonts w:ascii="Arial" w:hAnsi="Arial" w:eastAsia="MS Mincho"/>
      <w:sz w:val="20"/>
      <w:lang w:val="en-GB" w:eastAsia="en-GB"/>
    </w:rPr>
  </w:style>
  <w:style w:type="character" w:customStyle="1" w:styleId="137">
    <w:name w:val="Doc-text2 Char"/>
    <w:link w:val="136"/>
    <w:qFormat/>
    <w:uiPriority w:val="0"/>
    <w:rPr>
      <w:rFonts w:ascii="Arial" w:hAnsi="Arial" w:eastAsia="MS Mincho" w:cs="Times New Roman"/>
      <w:sz w:val="20"/>
      <w:szCs w:val="24"/>
      <w:lang w:val="en-GB" w:eastAsia="en-GB"/>
    </w:rPr>
  </w:style>
  <w:style w:type="character" w:customStyle="1" w:styleId="138">
    <w:name w:val="题注 字符"/>
    <w:link w:val="33"/>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39">
    <w:name w:val="B2"/>
    <w:basedOn w:val="1"/>
    <w:link w:val="141"/>
    <w:qFormat/>
    <w:uiPriority w:val="0"/>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140">
    <w:name w:val="Char Char1 Char Char Char Char Char Char"/>
    <w:semiHidden/>
    <w:qFormat/>
    <w:uiPriority w:val="0"/>
    <w:pPr>
      <w:keepNext/>
      <w:numPr>
        <w:ilvl w:val="0"/>
        <w:numId w:val="8"/>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41">
    <w:name w:val="B2 Char"/>
    <w:link w:val="139"/>
    <w:qFormat/>
    <w:uiPriority w:val="0"/>
    <w:rPr>
      <w:rFonts w:ascii="Times New Roman" w:hAnsi="Times New Roman" w:eastAsia="宋体" w:cs="Times New Roman"/>
      <w:szCs w:val="20"/>
      <w:lang w:eastAsia="zh-CN"/>
    </w:rPr>
  </w:style>
  <w:style w:type="character" w:customStyle="1" w:styleId="142">
    <w:name w:val="B1 Zchn"/>
    <w:qFormat/>
    <w:uiPriority w:val="0"/>
    <w:rPr>
      <w:sz w:val="22"/>
    </w:rPr>
  </w:style>
  <w:style w:type="character" w:customStyle="1" w:styleId="143">
    <w:name w:val="标题 字符"/>
    <w:basedOn w:val="88"/>
    <w:link w:val="82"/>
    <w:qFormat/>
    <w:uiPriority w:val="0"/>
    <w:rPr>
      <w:rFonts w:ascii="Arial" w:hAnsi="Arial" w:eastAsia="MS Mincho" w:cs="Times New Roman"/>
      <w:b/>
      <w:sz w:val="24"/>
      <w:szCs w:val="20"/>
      <w:lang w:val="de-DE"/>
    </w:rPr>
  </w:style>
  <w:style w:type="paragraph" w:customStyle="1" w:styleId="144">
    <w:name w:val="Observation"/>
    <w:basedOn w:val="113"/>
    <w:link w:val="145"/>
    <w:qFormat/>
    <w:uiPriority w:val="0"/>
    <w:pPr>
      <w:numPr>
        <w:ilvl w:val="0"/>
        <w:numId w:val="9"/>
      </w:numPr>
      <w:tabs>
        <w:tab w:val="left" w:pos="1701"/>
      </w:tabs>
      <w:spacing w:after="120"/>
      <w:ind w:left="0" w:firstLine="0"/>
      <w:textAlignment w:val="baseline"/>
    </w:pPr>
    <w:rPr>
      <w:rFonts w:ascii="Arial" w:hAnsi="Arial"/>
      <w:b/>
      <w:bCs/>
    </w:rPr>
  </w:style>
  <w:style w:type="character" w:customStyle="1" w:styleId="145">
    <w:name w:val="Observation Char"/>
    <w:link w:val="144"/>
    <w:qFormat/>
    <w:uiPriority w:val="0"/>
    <w:rPr>
      <w:rFonts w:ascii="Arial" w:hAnsi="Arial" w:cs="Times New Roman"/>
      <w:b/>
      <w:bCs/>
      <w:lang w:val="en-GB"/>
    </w:rPr>
  </w:style>
  <w:style w:type="paragraph" w:customStyle="1" w:styleId="146">
    <w:name w:val="NO"/>
    <w:basedOn w:val="1"/>
    <w:link w:val="147"/>
    <w:qFormat/>
    <w:uiPriority w:val="0"/>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147">
    <w:name w:val="NO Char"/>
    <w:link w:val="146"/>
    <w:qFormat/>
    <w:uiPriority w:val="0"/>
    <w:rPr>
      <w:rFonts w:ascii="Times New Roman" w:hAnsi="Times New Roman" w:eastAsia="Times New Roman" w:cs="Times New Roman"/>
      <w:sz w:val="20"/>
      <w:szCs w:val="20"/>
      <w:lang w:val="en-GB" w:eastAsia="ja-JP"/>
    </w:rPr>
  </w:style>
  <w:style w:type="character" w:customStyle="1" w:styleId="148">
    <w:name w:val="B1 Char1"/>
    <w:qFormat/>
    <w:uiPriority w:val="0"/>
    <w:rPr>
      <w:rFonts w:ascii="Times New Roman" w:hAnsi="Times New Roman" w:eastAsia="Times New Roman"/>
      <w:lang w:val="en-GB" w:eastAsia="ja-JP"/>
    </w:rPr>
  </w:style>
  <w:style w:type="paragraph" w:customStyle="1" w:styleId="149">
    <w:name w:val="B3"/>
    <w:basedOn w:val="13"/>
    <w:link w:val="150"/>
    <w:qFormat/>
    <w:uiPriority w:val="0"/>
    <w:pPr>
      <w:ind w:left="1135" w:hanging="284"/>
      <w:contextualSpacing w:val="0"/>
      <w:textAlignment w:val="baseline"/>
    </w:pPr>
    <w:rPr>
      <w:lang w:val="en-GB" w:eastAsia="ja-JP"/>
    </w:rPr>
  </w:style>
  <w:style w:type="character" w:customStyle="1" w:styleId="150">
    <w:name w:val="B3 Char2"/>
    <w:link w:val="149"/>
    <w:qFormat/>
    <w:uiPriority w:val="0"/>
    <w:rPr>
      <w:rFonts w:ascii="Times New Roman" w:hAnsi="Times New Roman" w:eastAsia="Times New Roman" w:cs="Times New Roman"/>
      <w:sz w:val="20"/>
      <w:szCs w:val="20"/>
      <w:lang w:val="en-GB" w:eastAsia="ja-JP"/>
    </w:rPr>
  </w:style>
  <w:style w:type="paragraph" w:customStyle="1" w:styleId="151">
    <w:name w:val="B4"/>
    <w:basedOn w:val="68"/>
    <w:link w:val="152"/>
    <w:qFormat/>
    <w:uiPriority w:val="0"/>
    <w:pPr>
      <w:ind w:left="1418" w:hanging="284"/>
      <w:contextualSpacing w:val="0"/>
      <w:textAlignment w:val="baseline"/>
    </w:pPr>
    <w:rPr>
      <w:lang w:val="en-GB" w:eastAsia="ja-JP"/>
    </w:rPr>
  </w:style>
  <w:style w:type="character" w:customStyle="1" w:styleId="152">
    <w:name w:val="B4 Char"/>
    <w:link w:val="151"/>
    <w:qFormat/>
    <w:uiPriority w:val="0"/>
    <w:rPr>
      <w:rFonts w:ascii="Times New Roman" w:hAnsi="Times New Roman" w:eastAsia="Times New Roman" w:cs="Times New Roman"/>
      <w:sz w:val="20"/>
      <w:szCs w:val="20"/>
      <w:lang w:val="en-GB" w:eastAsia="ja-JP"/>
    </w:rPr>
  </w:style>
  <w:style w:type="character" w:customStyle="1" w:styleId="153">
    <w:name w:val="EmailDiscussion Char"/>
    <w:link w:val="154"/>
    <w:qFormat/>
    <w:locked/>
    <w:uiPriority w:val="0"/>
    <w:rPr>
      <w:rFonts w:ascii="Arial" w:hAnsi="Arial" w:eastAsia="MS Mincho" w:cs="Arial"/>
      <w:b/>
      <w:sz w:val="22"/>
      <w:szCs w:val="24"/>
      <w:lang w:val="en-GB" w:eastAsia="en-GB"/>
    </w:rPr>
  </w:style>
  <w:style w:type="paragraph" w:customStyle="1" w:styleId="154">
    <w:name w:val="EmailDiscussion"/>
    <w:basedOn w:val="1"/>
    <w:next w:val="1"/>
    <w:link w:val="153"/>
    <w:qFormat/>
    <w:uiPriority w:val="0"/>
    <w:pPr>
      <w:numPr>
        <w:ilvl w:val="0"/>
        <w:numId w:val="10"/>
      </w:numPr>
      <w:spacing w:before="40"/>
    </w:pPr>
    <w:rPr>
      <w:rFonts w:ascii="Arial" w:hAnsi="Arial" w:eastAsia="MS Mincho" w:cs="Arial"/>
      <w:b/>
      <w:lang w:val="en-GB" w:eastAsia="en-GB"/>
    </w:rPr>
  </w:style>
  <w:style w:type="paragraph" w:customStyle="1" w:styleId="155">
    <w:name w:val="EmailDiscussion2"/>
    <w:basedOn w:val="1"/>
    <w:qFormat/>
    <w:uiPriority w:val="99"/>
    <w:pPr>
      <w:tabs>
        <w:tab w:val="left" w:pos="1622"/>
      </w:tabs>
      <w:ind w:left="1622" w:hanging="363"/>
    </w:pPr>
    <w:rPr>
      <w:rFonts w:ascii="Arial" w:hAnsi="Arial" w:eastAsia="MS Mincho"/>
      <w:sz w:val="20"/>
      <w:lang w:val="en-GB" w:eastAsia="en-GB"/>
    </w:rPr>
  </w:style>
  <w:style w:type="paragraph" w:customStyle="1" w:styleId="156">
    <w:name w:val="Comments"/>
    <w:basedOn w:val="1"/>
    <w:link w:val="157"/>
    <w:qFormat/>
    <w:uiPriority w:val="0"/>
    <w:pPr>
      <w:spacing w:before="40"/>
    </w:pPr>
    <w:rPr>
      <w:rFonts w:ascii="Arial" w:hAnsi="Arial" w:eastAsia="MS Mincho"/>
      <w:i/>
      <w:sz w:val="18"/>
      <w:lang w:val="en-GB" w:eastAsia="en-GB"/>
    </w:rPr>
  </w:style>
  <w:style w:type="character" w:customStyle="1" w:styleId="157">
    <w:name w:val="Comments Char"/>
    <w:link w:val="156"/>
    <w:qFormat/>
    <w:uiPriority w:val="0"/>
    <w:rPr>
      <w:rFonts w:ascii="Arial" w:hAnsi="Arial" w:eastAsia="MS Mincho" w:cs="Times New Roman"/>
      <w:i/>
      <w:sz w:val="18"/>
      <w:szCs w:val="24"/>
      <w:lang w:val="en-GB" w:eastAsia="en-GB"/>
    </w:rPr>
  </w:style>
  <w:style w:type="character" w:customStyle="1" w:styleId="158">
    <w:name w:val="TAL Car"/>
    <w:link w:val="159"/>
    <w:qFormat/>
    <w:locked/>
    <w:uiPriority w:val="0"/>
    <w:rPr>
      <w:rFonts w:ascii="Arial" w:hAnsi="Arial" w:eastAsia="Times New Roman" w:cs="Arial"/>
      <w:sz w:val="18"/>
    </w:rPr>
  </w:style>
  <w:style w:type="paragraph" w:customStyle="1" w:styleId="159">
    <w:name w:val="TAL"/>
    <w:basedOn w:val="1"/>
    <w:link w:val="158"/>
    <w:qFormat/>
    <w:uiPriority w:val="0"/>
    <w:pPr>
      <w:keepNext/>
      <w:keepLines/>
      <w:overflowPunct w:val="0"/>
      <w:autoSpaceDE w:val="0"/>
      <w:autoSpaceDN w:val="0"/>
      <w:adjustRightInd w:val="0"/>
    </w:pPr>
    <w:rPr>
      <w:rFonts w:ascii="Arial" w:hAnsi="Arial" w:cs="Arial"/>
      <w:sz w:val="18"/>
    </w:rPr>
  </w:style>
  <w:style w:type="paragraph" w:customStyle="1" w:styleId="160">
    <w:name w:val="TAN"/>
    <w:basedOn w:val="159"/>
    <w:link w:val="269"/>
    <w:qFormat/>
    <w:uiPriority w:val="0"/>
    <w:pPr>
      <w:ind w:left="851" w:hanging="851"/>
    </w:pPr>
  </w:style>
  <w:style w:type="paragraph" w:customStyle="1" w:styleId="161">
    <w:name w:val="H6"/>
    <w:basedOn w:val="8"/>
    <w:next w:val="1"/>
    <w:qFormat/>
    <w:uiPriority w:val="0"/>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162">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163">
    <w:name w:val="ZGSM"/>
    <w:qFormat/>
    <w:uiPriority w:val="0"/>
  </w:style>
  <w:style w:type="paragraph" w:customStyle="1" w:styleId="164">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65">
    <w:name w:val="TT"/>
    <w:basedOn w:val="3"/>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66">
    <w:name w:val="NF"/>
    <w:basedOn w:val="146"/>
    <w:qFormat/>
    <w:uiPriority w:val="0"/>
    <w:pPr>
      <w:keepNext/>
      <w:spacing w:after="0"/>
    </w:pPr>
    <w:rPr>
      <w:rFonts w:ascii="Arial" w:hAnsi="Arial"/>
      <w:sz w:val="18"/>
    </w:rPr>
  </w:style>
  <w:style w:type="paragraph" w:customStyle="1" w:styleId="167">
    <w:name w:val="PL"/>
    <w:link w:val="1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68">
    <w:name w:val="TAR"/>
    <w:basedOn w:val="159"/>
    <w:qFormat/>
    <w:uiPriority w:val="0"/>
    <w:pPr>
      <w:jc w:val="right"/>
      <w:textAlignment w:val="baseline"/>
    </w:pPr>
    <w:rPr>
      <w:rFonts w:cs="Times New Roman"/>
      <w:szCs w:val="20"/>
      <w:lang w:val="en-GB" w:eastAsia="ja-JP"/>
    </w:rPr>
  </w:style>
  <w:style w:type="paragraph" w:customStyle="1" w:styleId="169">
    <w:name w:val="TAH"/>
    <w:basedOn w:val="170"/>
    <w:link w:val="190"/>
    <w:qFormat/>
    <w:uiPriority w:val="0"/>
    <w:rPr>
      <w:b/>
    </w:rPr>
  </w:style>
  <w:style w:type="paragraph" w:customStyle="1" w:styleId="170">
    <w:name w:val="TAC"/>
    <w:basedOn w:val="159"/>
    <w:link w:val="197"/>
    <w:qFormat/>
    <w:uiPriority w:val="0"/>
    <w:pPr>
      <w:jc w:val="center"/>
      <w:textAlignment w:val="baseline"/>
    </w:pPr>
    <w:rPr>
      <w:rFonts w:cs="Times New Roman"/>
      <w:szCs w:val="20"/>
      <w:lang w:val="en-GB" w:eastAsia="ja-JP"/>
    </w:rPr>
  </w:style>
  <w:style w:type="paragraph" w:customStyle="1" w:styleId="171">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72">
    <w:name w:val="EX"/>
    <w:basedOn w:val="1"/>
    <w:link w:val="189"/>
    <w:qFormat/>
    <w:uiPriority w:val="0"/>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173">
    <w:name w:val="FP"/>
    <w:basedOn w:val="1"/>
    <w:qFormat/>
    <w:uiPriority w:val="0"/>
    <w:pPr>
      <w:overflowPunct w:val="0"/>
      <w:autoSpaceDE w:val="0"/>
      <w:autoSpaceDN w:val="0"/>
      <w:adjustRightInd w:val="0"/>
      <w:textAlignment w:val="baseline"/>
    </w:pPr>
    <w:rPr>
      <w:sz w:val="20"/>
      <w:szCs w:val="20"/>
      <w:lang w:val="en-GB" w:eastAsia="ja-JP"/>
    </w:rPr>
  </w:style>
  <w:style w:type="paragraph" w:customStyle="1" w:styleId="174">
    <w:name w:val="NW"/>
    <w:basedOn w:val="146"/>
    <w:qFormat/>
    <w:uiPriority w:val="0"/>
    <w:pPr>
      <w:spacing w:after="0"/>
    </w:pPr>
  </w:style>
  <w:style w:type="paragraph" w:customStyle="1" w:styleId="175">
    <w:name w:val="EW"/>
    <w:basedOn w:val="172"/>
    <w:qFormat/>
    <w:uiPriority w:val="0"/>
    <w:pPr>
      <w:spacing w:after="0"/>
    </w:pPr>
  </w:style>
  <w:style w:type="paragraph" w:customStyle="1" w:styleId="176">
    <w:name w:val="Editor's Note"/>
    <w:basedOn w:val="146"/>
    <w:link w:val="187"/>
    <w:qFormat/>
    <w:uiPriority w:val="0"/>
    <w:rPr>
      <w:color w:val="FF0000"/>
    </w:rPr>
  </w:style>
  <w:style w:type="paragraph" w:customStyle="1" w:styleId="1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78">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79">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80">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81">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82">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83">
    <w:name w:val="B5"/>
    <w:basedOn w:val="67"/>
    <w:link w:val="192"/>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84">
    <w:name w:val="ZTD"/>
    <w:basedOn w:val="178"/>
    <w:qFormat/>
    <w:uiPriority w:val="0"/>
    <w:pPr>
      <w:framePr w:hRule="auto" w:y="852"/>
    </w:pPr>
    <w:rPr>
      <w:i w:val="0"/>
      <w:sz w:val="40"/>
    </w:rPr>
  </w:style>
  <w:style w:type="paragraph" w:customStyle="1" w:styleId="185">
    <w:name w:val="ZV"/>
    <w:basedOn w:val="180"/>
    <w:qFormat/>
    <w:uiPriority w:val="0"/>
    <w:pPr>
      <w:framePr w:y="16161"/>
    </w:pPr>
  </w:style>
  <w:style w:type="character" w:customStyle="1" w:styleId="186">
    <w:name w:val="脚注文本 字符"/>
    <w:basedOn w:val="88"/>
    <w:link w:val="66"/>
    <w:qFormat/>
    <w:uiPriority w:val="0"/>
    <w:rPr>
      <w:rFonts w:ascii="Times New Roman" w:hAnsi="Times New Roman" w:eastAsia="Times New Roman" w:cs="Times New Roman"/>
      <w:sz w:val="16"/>
      <w:lang w:val="en-GB" w:eastAsia="ja-JP"/>
    </w:rPr>
  </w:style>
  <w:style w:type="character" w:customStyle="1" w:styleId="187">
    <w:name w:val="Editor's Note Char"/>
    <w:link w:val="176"/>
    <w:qFormat/>
    <w:uiPriority w:val="0"/>
    <w:rPr>
      <w:rFonts w:ascii="Times New Roman" w:hAnsi="Times New Roman" w:eastAsia="Times New Roman" w:cs="Times New Roman"/>
      <w:color w:val="FF0000"/>
      <w:lang w:val="en-GB" w:eastAsia="ja-JP"/>
    </w:rPr>
  </w:style>
  <w:style w:type="paragraph" w:customStyle="1" w:styleId="188">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89">
    <w:name w:val="EX Char"/>
    <w:link w:val="172"/>
    <w:qFormat/>
    <w:locked/>
    <w:uiPriority w:val="0"/>
    <w:rPr>
      <w:rFonts w:ascii="Times New Roman" w:hAnsi="Times New Roman" w:eastAsia="Times New Roman" w:cs="Times New Roman"/>
      <w:lang w:val="en-GB" w:eastAsia="ja-JP"/>
    </w:rPr>
  </w:style>
  <w:style w:type="character" w:customStyle="1" w:styleId="190">
    <w:name w:val="TAH Car"/>
    <w:link w:val="169"/>
    <w:qFormat/>
    <w:locked/>
    <w:uiPriority w:val="0"/>
    <w:rPr>
      <w:rFonts w:ascii="Arial" w:hAnsi="Arial" w:eastAsia="Times New Roman" w:cs="Times New Roman"/>
      <w:b/>
      <w:sz w:val="18"/>
      <w:lang w:val="en-GB" w:eastAsia="ja-JP"/>
    </w:rPr>
  </w:style>
  <w:style w:type="character" w:customStyle="1" w:styleId="191">
    <w:name w:val="PL Char"/>
    <w:link w:val="167"/>
    <w:qFormat/>
    <w:uiPriority w:val="0"/>
    <w:rPr>
      <w:rFonts w:ascii="Courier New" w:hAnsi="Courier New" w:eastAsia="Times New Roman" w:cs="Times New Roman"/>
      <w:sz w:val="16"/>
      <w:lang w:val="en-GB" w:eastAsia="ja-JP"/>
    </w:rPr>
  </w:style>
  <w:style w:type="character" w:customStyle="1" w:styleId="192">
    <w:name w:val="B5 Char"/>
    <w:link w:val="183"/>
    <w:qFormat/>
    <w:uiPriority w:val="0"/>
    <w:rPr>
      <w:rFonts w:ascii="Times New Roman" w:hAnsi="Times New Roman" w:eastAsia="Times New Roman" w:cs="Times New Roman"/>
      <w:lang w:val="en-GB" w:eastAsia="ja-JP"/>
    </w:rPr>
  </w:style>
  <w:style w:type="paragraph" w:customStyle="1" w:styleId="193">
    <w:name w:val="B6"/>
    <w:basedOn w:val="183"/>
    <w:link w:val="194"/>
    <w:qFormat/>
    <w:uiPriority w:val="0"/>
    <w:pPr>
      <w:ind w:left="1985"/>
    </w:pPr>
    <w:rPr>
      <w:rFonts w:eastAsia="MS Mincho"/>
      <w:lang w:eastAsia="zh-CN"/>
    </w:rPr>
  </w:style>
  <w:style w:type="character" w:customStyle="1" w:styleId="194">
    <w:name w:val="B6 Char"/>
    <w:link w:val="193"/>
    <w:qFormat/>
    <w:uiPriority w:val="0"/>
    <w:rPr>
      <w:rFonts w:ascii="Times New Roman" w:hAnsi="Times New Roman" w:eastAsia="MS Mincho" w:cs="Times New Roman"/>
      <w:lang w:val="en-GB" w:eastAsia="zh-CN"/>
    </w:rPr>
  </w:style>
  <w:style w:type="paragraph" w:customStyle="1" w:styleId="195">
    <w:name w:val="B7"/>
    <w:basedOn w:val="193"/>
    <w:link w:val="196"/>
    <w:qFormat/>
    <w:uiPriority w:val="0"/>
    <w:pPr>
      <w:ind w:left="2269"/>
    </w:pPr>
  </w:style>
  <w:style w:type="character" w:customStyle="1" w:styleId="196">
    <w:name w:val="B7 Char"/>
    <w:link w:val="195"/>
    <w:qFormat/>
    <w:uiPriority w:val="0"/>
    <w:rPr>
      <w:rFonts w:ascii="Times New Roman" w:hAnsi="Times New Roman" w:eastAsia="MS Mincho" w:cs="Times New Roman"/>
      <w:lang w:val="en-GB" w:eastAsia="zh-CN"/>
    </w:rPr>
  </w:style>
  <w:style w:type="character" w:customStyle="1" w:styleId="197">
    <w:name w:val="TAC Char"/>
    <w:link w:val="170"/>
    <w:qFormat/>
    <w:locked/>
    <w:uiPriority w:val="0"/>
    <w:rPr>
      <w:rFonts w:ascii="Arial" w:hAnsi="Arial" w:eastAsia="Times New Roman" w:cs="Times New Roman"/>
      <w:sz w:val="18"/>
      <w:lang w:val="en-GB" w:eastAsia="ja-JP"/>
    </w:rPr>
  </w:style>
  <w:style w:type="paragraph" w:customStyle="1" w:styleId="198">
    <w:name w:val="LGTdoc_제목1"/>
    <w:basedOn w:val="1"/>
    <w:qFormat/>
    <w:uiPriority w:val="0"/>
    <w:pPr>
      <w:adjustRightInd w:val="0"/>
      <w:snapToGrid w:val="0"/>
      <w:spacing w:before="120" w:beforeLines="50" w:after="100" w:afterAutospacing="1"/>
      <w:jc w:val="both"/>
    </w:pPr>
    <w:rPr>
      <w:rFonts w:eastAsia="Batang"/>
      <w:b/>
      <w:sz w:val="28"/>
      <w:szCs w:val="20"/>
      <w:lang w:val="en-GB" w:eastAsia="ko-KR"/>
    </w:rPr>
  </w:style>
  <w:style w:type="paragraph" w:customStyle="1" w:styleId="199">
    <w:name w:val="Document Map1"/>
    <w:basedOn w:val="1"/>
    <w:next w:val="36"/>
    <w:link w:val="200"/>
    <w:qFormat/>
    <w:uiPriority w:val="0"/>
    <w:pPr>
      <w:shd w:val="clear" w:color="auto" w:fill="000080"/>
      <w:spacing w:after="180"/>
    </w:pPr>
    <w:rPr>
      <w:rFonts w:ascii="Tahoma" w:hAnsi="Tahoma" w:eastAsia="游明朝" w:cs="Tahoma"/>
      <w:sz w:val="20"/>
      <w:szCs w:val="20"/>
    </w:rPr>
  </w:style>
  <w:style w:type="character" w:customStyle="1" w:styleId="200">
    <w:name w:val="Document Map Char"/>
    <w:basedOn w:val="88"/>
    <w:link w:val="199"/>
    <w:qFormat/>
    <w:uiPriority w:val="0"/>
    <w:rPr>
      <w:rFonts w:ascii="Tahoma" w:hAnsi="Tahoma" w:eastAsia="游明朝" w:cs="Tahoma"/>
      <w:shd w:val="clear" w:color="auto" w:fill="000080"/>
      <w:lang w:eastAsia="en-US"/>
    </w:rPr>
  </w:style>
  <w:style w:type="character" w:customStyle="1" w:styleId="201">
    <w:name w:val="文档结构图 字符"/>
    <w:basedOn w:val="88"/>
    <w:link w:val="36"/>
    <w:semiHidden/>
    <w:qFormat/>
    <w:uiPriority w:val="99"/>
    <w:rPr>
      <w:rFonts w:ascii="Segoe UI" w:hAnsi="Segoe UI" w:cs="Segoe UI"/>
      <w:sz w:val="16"/>
      <w:szCs w:val="16"/>
      <w:lang w:eastAsia="en-US"/>
    </w:rPr>
  </w:style>
  <w:style w:type="character" w:customStyle="1" w:styleId="202">
    <w:name w:val="Unresolved Mention1"/>
    <w:basedOn w:val="88"/>
    <w:semiHidden/>
    <w:unhideWhenUsed/>
    <w:qFormat/>
    <w:uiPriority w:val="99"/>
    <w:rPr>
      <w:color w:val="605E5C"/>
      <w:shd w:val="clear" w:color="auto" w:fill="E1DFDD"/>
    </w:rPr>
  </w:style>
  <w:style w:type="character" w:customStyle="1" w:styleId="203">
    <w:name w:val="Unresolved Mention2"/>
    <w:basedOn w:val="88"/>
    <w:semiHidden/>
    <w:unhideWhenUsed/>
    <w:qFormat/>
    <w:uiPriority w:val="99"/>
    <w:rPr>
      <w:color w:val="605E5C"/>
      <w:shd w:val="clear" w:color="auto" w:fill="E1DFDD"/>
    </w:rPr>
  </w:style>
  <w:style w:type="paragraph" w:customStyle="1" w:styleId="204">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205">
    <w:name w:val="CR Cover Page Zchn"/>
    <w:link w:val="106"/>
    <w:qFormat/>
    <w:uiPriority w:val="0"/>
    <w:rPr>
      <w:rFonts w:ascii="Arial" w:hAnsi="Arial" w:eastAsia="MS Mincho" w:cs="Times New Roman"/>
      <w:lang w:val="en-GB" w:eastAsia="en-US"/>
    </w:rPr>
  </w:style>
  <w:style w:type="paragraph" w:customStyle="1" w:styleId="206">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207">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208">
    <w:name w:val="emailstyle20"/>
    <w:semiHidden/>
    <w:qFormat/>
    <w:uiPriority w:val="0"/>
    <w:rPr>
      <w:rFonts w:hint="default" w:ascii="Arial" w:hAnsi="Arial" w:cs="Arial"/>
      <w:color w:val="auto"/>
      <w:sz w:val="20"/>
      <w:szCs w:val="20"/>
    </w:rPr>
  </w:style>
  <w:style w:type="character" w:customStyle="1" w:styleId="209">
    <w:name w:val="纯文本 字符"/>
    <w:basedOn w:val="88"/>
    <w:link w:val="50"/>
    <w:qFormat/>
    <w:uiPriority w:val="0"/>
    <w:rPr>
      <w:rFonts w:ascii="Consolas" w:hAnsi="Consolas" w:eastAsia="Calibri" w:cs="Times New Roman"/>
      <w:sz w:val="21"/>
      <w:szCs w:val="21"/>
      <w:lang w:val="en-GB" w:eastAsia="en-US"/>
    </w:rPr>
  </w:style>
  <w:style w:type="paragraph" w:customStyle="1" w:styleId="210">
    <w:name w:val="Agreement"/>
    <w:basedOn w:val="1"/>
    <w:next w:val="136"/>
    <w:qFormat/>
    <w:uiPriority w:val="0"/>
    <w:pPr>
      <w:numPr>
        <w:ilvl w:val="0"/>
        <w:numId w:val="11"/>
      </w:numPr>
      <w:spacing w:before="60"/>
    </w:pPr>
    <w:rPr>
      <w:rFonts w:ascii="Arial" w:hAnsi="Arial" w:eastAsia="MS Mincho"/>
      <w:b/>
      <w:sz w:val="20"/>
      <w:lang w:val="en-GB" w:eastAsia="en-GB"/>
    </w:rPr>
  </w:style>
  <w:style w:type="paragraph" w:customStyle="1" w:styleId="211">
    <w:name w:val="ComeBack"/>
    <w:basedOn w:val="136"/>
    <w:next w:val="136"/>
    <w:link w:val="216"/>
    <w:qFormat/>
    <w:uiPriority w:val="0"/>
    <w:pPr>
      <w:numPr>
        <w:ilvl w:val="0"/>
        <w:numId w:val="12"/>
      </w:numPr>
      <w:tabs>
        <w:tab w:val="clear" w:pos="1622"/>
      </w:tabs>
    </w:pPr>
  </w:style>
  <w:style w:type="character" w:customStyle="1" w:styleId="212">
    <w:name w:val="Char Char7"/>
    <w:qFormat/>
    <w:uiPriority w:val="0"/>
    <w:rPr>
      <w:rFonts w:ascii="Arial" w:hAnsi="Arial" w:eastAsia="MS Mincho" w:cs="Arial"/>
      <w:b/>
      <w:bCs/>
      <w:iCs/>
      <w:sz w:val="28"/>
      <w:szCs w:val="28"/>
      <w:lang w:val="en-GB" w:eastAsia="en-GB" w:bidi="ar-SA"/>
    </w:rPr>
  </w:style>
  <w:style w:type="character" w:customStyle="1" w:styleId="213">
    <w:name w:val="Char Char6"/>
    <w:qFormat/>
    <w:uiPriority w:val="0"/>
    <w:rPr>
      <w:rFonts w:ascii="Arial" w:hAnsi="Arial" w:eastAsia="MS Mincho" w:cs="Arial"/>
      <w:bCs/>
      <w:sz w:val="26"/>
      <w:szCs w:val="26"/>
      <w:lang w:val="en-GB" w:eastAsia="en-GB" w:bidi="ar-SA"/>
    </w:rPr>
  </w:style>
  <w:style w:type="character" w:customStyle="1" w:styleId="214">
    <w:name w:val="Char Char5"/>
    <w:qFormat/>
    <w:uiPriority w:val="0"/>
    <w:rPr>
      <w:rFonts w:ascii="Arial" w:hAnsi="Arial" w:eastAsia="MS Mincho" w:cs="Arial"/>
      <w:bCs/>
      <w:sz w:val="24"/>
      <w:szCs w:val="28"/>
      <w:lang w:val="en-GB" w:eastAsia="en-GB" w:bidi="ar-SA"/>
    </w:rPr>
  </w:style>
  <w:style w:type="paragraph" w:customStyle="1" w:styleId="215">
    <w:name w:val="Style1"/>
    <w:basedOn w:val="7"/>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216">
    <w:name w:val="ComeBack Char Char"/>
    <w:link w:val="211"/>
    <w:qFormat/>
    <w:uiPriority w:val="0"/>
    <w:rPr>
      <w:rFonts w:ascii="Arial" w:hAnsi="Arial" w:eastAsia="MS Mincho" w:cs="Times New Roman"/>
      <w:szCs w:val="24"/>
      <w:lang w:val="en-GB" w:eastAsia="en-GB"/>
    </w:rPr>
  </w:style>
  <w:style w:type="paragraph" w:customStyle="1" w:styleId="217">
    <w:name w:val="SubHeading"/>
    <w:basedOn w:val="1"/>
    <w:next w:val="108"/>
    <w:link w:val="220"/>
    <w:qFormat/>
    <w:uiPriority w:val="0"/>
    <w:pPr>
      <w:spacing w:before="240" w:after="60"/>
      <w:outlineLvl w:val="8"/>
    </w:pPr>
    <w:rPr>
      <w:rFonts w:ascii="Arial" w:hAnsi="Arial" w:eastAsia="MS Mincho"/>
      <w:b/>
      <w:sz w:val="20"/>
      <w:lang w:val="en-GB" w:eastAsia="en-GB"/>
    </w:rPr>
  </w:style>
  <w:style w:type="paragraph" w:customStyle="1" w:styleId="218">
    <w:name w:val="Internal"/>
    <w:basedOn w:val="156"/>
    <w:link w:val="219"/>
    <w:qFormat/>
    <w:uiPriority w:val="0"/>
    <w:rPr>
      <w:color w:val="333399"/>
    </w:rPr>
  </w:style>
  <w:style w:type="character" w:customStyle="1" w:styleId="219">
    <w:name w:val="Internal Char"/>
    <w:link w:val="218"/>
    <w:qFormat/>
    <w:uiPriority w:val="0"/>
    <w:rPr>
      <w:rFonts w:ascii="Arial" w:hAnsi="Arial" w:eastAsia="MS Mincho" w:cs="Times New Roman"/>
      <w:i/>
      <w:color w:val="333399"/>
      <w:sz w:val="18"/>
      <w:szCs w:val="24"/>
      <w:lang w:val="en-GB" w:eastAsia="en-GB"/>
    </w:rPr>
  </w:style>
  <w:style w:type="character" w:customStyle="1" w:styleId="220">
    <w:name w:val="SubHeading Char"/>
    <w:link w:val="217"/>
    <w:qFormat/>
    <w:uiPriority w:val="0"/>
    <w:rPr>
      <w:rFonts w:ascii="Arial" w:hAnsi="Arial" w:eastAsia="MS Mincho" w:cs="Times New Roman"/>
      <w:b/>
      <w:szCs w:val="24"/>
      <w:lang w:val="en-GB" w:eastAsia="en-GB"/>
    </w:rPr>
  </w:style>
  <w:style w:type="paragraph" w:customStyle="1" w:styleId="221">
    <w:name w:val="LS Approved"/>
    <w:basedOn w:val="211"/>
    <w:next w:val="136"/>
    <w:qFormat/>
    <w:uiPriority w:val="0"/>
    <w:pPr>
      <w:numPr>
        <w:numId w:val="13"/>
      </w:numPr>
      <w:tabs>
        <w:tab w:val="left" w:pos="1622"/>
      </w:tabs>
      <w:ind w:left="1627" w:hanging="697"/>
    </w:pPr>
  </w:style>
  <w:style w:type="paragraph" w:customStyle="1" w:styleId="222">
    <w:name w:val="b3"/>
    <w:basedOn w:val="1"/>
    <w:qFormat/>
    <w:uiPriority w:val="0"/>
    <w:pPr>
      <w:overflowPunct w:val="0"/>
      <w:autoSpaceDE w:val="0"/>
      <w:autoSpaceDN w:val="0"/>
      <w:spacing w:after="180"/>
      <w:ind w:left="1135" w:hanging="284"/>
    </w:pPr>
    <w:rPr>
      <w:sz w:val="20"/>
      <w:szCs w:val="20"/>
      <w:lang w:val="en-GB" w:eastAsia="en-GB"/>
    </w:rPr>
  </w:style>
  <w:style w:type="paragraph" w:customStyle="1" w:styleId="223">
    <w:name w:val="MiniHeading"/>
    <w:basedOn w:val="156"/>
    <w:qFormat/>
    <w:uiPriority w:val="0"/>
    <w:pPr>
      <w:spacing w:before="180"/>
    </w:pPr>
    <w:rPr>
      <w:u w:val="single"/>
      <w:lang w:val="en-US"/>
    </w:rPr>
  </w:style>
  <w:style w:type="character" w:customStyle="1" w:styleId="224">
    <w:name w:val="TAL Char"/>
    <w:qFormat/>
    <w:uiPriority w:val="0"/>
    <w:rPr>
      <w:rFonts w:ascii="Arial" w:hAnsi="Arial"/>
      <w:sz w:val="18"/>
      <w:lang w:eastAsia="en-US"/>
    </w:rPr>
  </w:style>
  <w:style w:type="paragraph" w:customStyle="1" w:styleId="225">
    <w:name w:val="Bold Comments"/>
    <w:basedOn w:val="217"/>
    <w:link w:val="226"/>
    <w:qFormat/>
    <w:uiPriority w:val="0"/>
  </w:style>
  <w:style w:type="character" w:customStyle="1" w:styleId="226">
    <w:name w:val="Bold Comments Char"/>
    <w:link w:val="225"/>
    <w:qFormat/>
    <w:uiPriority w:val="0"/>
    <w:rPr>
      <w:rFonts w:ascii="Arial" w:hAnsi="Arial" w:eastAsia="MS Mincho" w:cs="Times New Roman"/>
      <w:b/>
      <w:szCs w:val="24"/>
      <w:lang w:val="en-GB" w:eastAsia="en-GB"/>
    </w:rPr>
  </w:style>
  <w:style w:type="character" w:styleId="227">
    <w:name w:val="Placeholder Text"/>
    <w:semiHidden/>
    <w:qFormat/>
    <w:uiPriority w:val="99"/>
    <w:rPr>
      <w:color w:val="808080"/>
    </w:rPr>
  </w:style>
  <w:style w:type="paragraph" w:customStyle="1" w:styleId="228">
    <w:name w:val="Review-comment"/>
    <w:basedOn w:val="1"/>
    <w:qFormat/>
    <w:uiPriority w:val="0"/>
    <w:pPr>
      <w:tabs>
        <w:tab w:val="left" w:pos="1622"/>
      </w:tabs>
      <w:ind w:left="1622" w:hanging="363"/>
    </w:pPr>
    <w:rPr>
      <w:rFonts w:ascii="Arial" w:hAnsi="Arial" w:eastAsia="MS Mincho"/>
      <w:color w:val="C00000"/>
      <w:sz w:val="18"/>
      <w:lang w:val="en-GB" w:eastAsia="en-GB"/>
    </w:rPr>
  </w:style>
  <w:style w:type="paragraph" w:customStyle="1" w:styleId="229">
    <w:name w:val="Comments-red"/>
    <w:basedOn w:val="156"/>
    <w:qFormat/>
    <w:uiPriority w:val="0"/>
    <w:rPr>
      <w:color w:val="FF0000"/>
    </w:rPr>
  </w:style>
  <w:style w:type="paragraph" w:customStyle="1" w:styleId="230">
    <w:name w:val="Doc-comment"/>
    <w:basedOn w:val="1"/>
    <w:next w:val="136"/>
    <w:qFormat/>
    <w:uiPriority w:val="0"/>
    <w:pPr>
      <w:tabs>
        <w:tab w:val="left" w:pos="1622"/>
      </w:tabs>
      <w:ind w:left="1622" w:hanging="363"/>
    </w:pPr>
    <w:rPr>
      <w:rFonts w:ascii="Arial" w:hAnsi="Arial" w:eastAsia="MS Mincho"/>
      <w:i/>
      <w:sz w:val="20"/>
      <w:lang w:val="en-GB" w:eastAsia="en-GB"/>
    </w:rPr>
  </w:style>
  <w:style w:type="paragraph" w:customStyle="1" w:styleId="231">
    <w:name w:val="Review-comment3"/>
    <w:basedOn w:val="1"/>
    <w:qFormat/>
    <w:uiPriority w:val="0"/>
    <w:pPr>
      <w:tabs>
        <w:tab w:val="left" w:pos="1622"/>
      </w:tabs>
      <w:ind w:left="1622" w:hanging="363"/>
    </w:pPr>
    <w:rPr>
      <w:rFonts w:ascii="Arial" w:hAnsi="Arial" w:eastAsia="MS Mincho"/>
      <w:color w:val="2E74B5"/>
      <w:sz w:val="18"/>
      <w:lang w:val="en-GB" w:eastAsia="en-GB"/>
    </w:rPr>
  </w:style>
  <w:style w:type="paragraph" w:customStyle="1" w:styleId="232">
    <w:name w:val="Review-comment2"/>
    <w:basedOn w:val="228"/>
    <w:qFormat/>
    <w:uiPriority w:val="0"/>
    <w:rPr>
      <w:color w:val="0C6E15"/>
    </w:rPr>
  </w:style>
  <w:style w:type="paragraph" w:customStyle="1" w:styleId="233">
    <w:name w:val="Debug-comment"/>
    <w:basedOn w:val="1"/>
    <w:qFormat/>
    <w:uiPriority w:val="0"/>
    <w:pPr>
      <w:tabs>
        <w:tab w:val="left" w:pos="1622"/>
      </w:tabs>
      <w:ind w:left="1622" w:hanging="363"/>
    </w:pPr>
    <w:rPr>
      <w:rFonts w:ascii="Arial" w:hAnsi="Arial" w:eastAsia="MS Mincho"/>
      <w:color w:val="00B0F0"/>
      <w:sz w:val="18"/>
      <w:lang w:val="en-GB" w:eastAsia="en-GB"/>
    </w:rPr>
  </w:style>
  <w:style w:type="character" w:customStyle="1" w:styleId="234">
    <w:name w:val="Unresolved Mention3"/>
    <w:basedOn w:val="88"/>
    <w:unhideWhenUsed/>
    <w:qFormat/>
    <w:uiPriority w:val="99"/>
    <w:rPr>
      <w:color w:val="605E5C"/>
      <w:shd w:val="clear" w:color="auto" w:fill="E1DFDD"/>
    </w:rPr>
  </w:style>
  <w:style w:type="character" w:customStyle="1" w:styleId="235">
    <w:name w:val="Mention1"/>
    <w:basedOn w:val="88"/>
    <w:unhideWhenUsed/>
    <w:qFormat/>
    <w:uiPriority w:val="99"/>
    <w:rPr>
      <w:color w:val="2B579A"/>
      <w:shd w:val="clear" w:color="auto" w:fill="E1DFDD"/>
    </w:rPr>
  </w:style>
  <w:style w:type="paragraph" w:customStyle="1" w:styleId="236">
    <w:name w:val="0 Main text"/>
    <w:basedOn w:val="1"/>
    <w:link w:val="237"/>
    <w:qFormat/>
    <w:uiPriority w:val="0"/>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customStyle="1" w:styleId="237">
    <w:name w:val="0 Main text Char"/>
    <w:link w:val="236"/>
    <w:qFormat/>
    <w:uiPriority w:val="0"/>
    <w:rPr>
      <w:rFonts w:ascii="Arial" w:hAnsi="Arial" w:eastAsia="Malgun Gothic" w:cs="Batang"/>
      <w:bCs/>
      <w:szCs w:val="32"/>
      <w:lang w:val="en-GB" w:eastAsia="en-US"/>
    </w:rPr>
  </w:style>
  <w:style w:type="paragraph" w:customStyle="1" w:styleId="238">
    <w:name w:val="Revision1"/>
    <w:hidden/>
    <w:unhideWhenUsed/>
    <w:qFormat/>
    <w:uiPriority w:val="99"/>
    <w:rPr>
      <w:rFonts w:eastAsia="宋体" w:asciiTheme="minorHAnsi" w:hAnsiTheme="minorHAnsi" w:cstheme="minorBidi"/>
      <w:sz w:val="22"/>
      <w:szCs w:val="22"/>
      <w:lang w:val="en-US" w:eastAsia="en-US" w:bidi="ar-SA"/>
    </w:rPr>
  </w:style>
  <w:style w:type="character" w:customStyle="1" w:styleId="239">
    <w:name w:val="Unresolved Mention4"/>
    <w:basedOn w:val="88"/>
    <w:semiHidden/>
    <w:unhideWhenUsed/>
    <w:qFormat/>
    <w:uiPriority w:val="99"/>
    <w:rPr>
      <w:color w:val="605E5C"/>
      <w:shd w:val="clear" w:color="auto" w:fill="E1DFDD"/>
    </w:rPr>
  </w:style>
  <w:style w:type="paragraph" w:customStyle="1" w:styleId="240">
    <w:name w:val="Heading 1 unnumbered"/>
    <w:basedOn w:val="3"/>
    <w:next w:val="42"/>
    <w:qFormat/>
    <w:uiPriority w:val="0"/>
    <w:pPr>
      <w:keepLines w:val="0"/>
      <w:widowControl/>
      <w:numPr>
        <w:numId w:val="0"/>
      </w:numPr>
      <w:pBdr>
        <w:top w:val="none" w:color="auto" w:sz="0" w:space="0"/>
      </w:pBdr>
      <w:tabs>
        <w:tab w:val="left" w:pos="0"/>
        <w:tab w:val="left" w:pos="360"/>
      </w:tabs>
      <w:overflowPunct/>
      <w:autoSpaceDE/>
      <w:autoSpaceDN/>
      <w:adjustRightInd/>
      <w:spacing w:before="360" w:after="240" w:line="240" w:lineRule="auto"/>
      <w:ind w:left="360" w:hanging="360"/>
      <w:outlineLvl w:val="9"/>
    </w:pPr>
    <w:rPr>
      <w:rFonts w:ascii="Times New Roman" w:hAnsi="Times New Roman" w:eastAsia="MS Gothic"/>
      <w:kern w:val="28"/>
      <w:sz w:val="32"/>
      <w:lang w:eastAsia="ja-JP"/>
    </w:rPr>
  </w:style>
  <w:style w:type="character" w:customStyle="1" w:styleId="241">
    <w:name w:val="正文文本缩进 字符"/>
    <w:basedOn w:val="88"/>
    <w:link w:val="43"/>
    <w:qFormat/>
    <w:uiPriority w:val="0"/>
    <w:rPr>
      <w:rFonts w:ascii="Times New Roman" w:hAnsi="Times New Roman" w:eastAsia="MS Gothic" w:cs="Times New Roman"/>
      <w:sz w:val="24"/>
      <w:lang w:val="en-GB" w:eastAsia="ja-JP"/>
    </w:rPr>
  </w:style>
  <w:style w:type="paragraph" w:customStyle="1" w:styleId="242">
    <w:name w:val="lˆptext"/>
    <w:basedOn w:val="1"/>
    <w:qFormat/>
    <w:uiPriority w:val="0"/>
    <w:pPr>
      <w:spacing w:before="100" w:after="100"/>
      <w:ind w:left="860"/>
    </w:pPr>
    <w:rPr>
      <w:rFonts w:ascii="Times" w:hAnsi="Times" w:eastAsia="MS Gothic"/>
      <w:szCs w:val="20"/>
      <w:lang w:val="en-GB" w:eastAsia="ja-JP"/>
    </w:rPr>
  </w:style>
  <w:style w:type="paragraph" w:customStyle="1" w:styleId="243">
    <w:name w:val="佐藤２"/>
    <w:basedOn w:val="1"/>
    <w:qFormat/>
    <w:uiPriority w:val="0"/>
    <w:pPr>
      <w:numPr>
        <w:ilvl w:val="0"/>
        <w:numId w:val="14"/>
      </w:numPr>
      <w:spacing w:after="180"/>
    </w:pPr>
    <w:rPr>
      <w:rFonts w:eastAsia="MS Gothic"/>
      <w:szCs w:val="20"/>
      <w:lang w:val="en-GB" w:eastAsia="ja-JP"/>
    </w:rPr>
  </w:style>
  <w:style w:type="character" w:customStyle="1" w:styleId="244">
    <w:name w:val="正文文本缩进 2 字符"/>
    <w:basedOn w:val="88"/>
    <w:link w:val="56"/>
    <w:qFormat/>
    <w:uiPriority w:val="0"/>
    <w:rPr>
      <w:rFonts w:ascii="Times New Roman" w:hAnsi="Times New Roman" w:eastAsia="MS Gothic" w:cs="Times New Roman"/>
      <w:kern w:val="2"/>
      <w:sz w:val="24"/>
      <w:lang w:val="en-GB" w:eastAsia="ja-JP"/>
    </w:rPr>
  </w:style>
  <w:style w:type="paragraph" w:customStyle="1" w:styleId="245">
    <w:name w:val="List Bullet Last"/>
    <w:basedOn w:val="29"/>
    <w:next w:val="42"/>
    <w:qFormat/>
    <w:uiPriority w:val="0"/>
    <w:pPr>
      <w:overflowPunct/>
      <w:autoSpaceDE/>
      <w:autoSpaceDN/>
      <w:adjustRightInd/>
      <w:spacing w:after="240"/>
      <w:ind w:left="714" w:hanging="357"/>
      <w:textAlignment w:val="auto"/>
    </w:pPr>
    <w:rPr>
      <w:rFonts w:ascii="Arial" w:hAnsi="Arial" w:eastAsia="MS Gothic"/>
      <w:sz w:val="24"/>
    </w:rPr>
  </w:style>
  <w:style w:type="paragraph" w:customStyle="1" w:styleId="246">
    <w:name w:val="Title Text"/>
    <w:basedOn w:val="1"/>
    <w:next w:val="1"/>
    <w:qFormat/>
    <w:uiPriority w:val="0"/>
    <w:pPr>
      <w:spacing w:after="220"/>
    </w:pPr>
    <w:rPr>
      <w:rFonts w:ascii="Arial" w:hAnsi="Arial" w:eastAsia="MS Gothic"/>
      <w:b/>
      <w:szCs w:val="20"/>
      <w:lang w:val="en-GB" w:eastAsia="ja-JP"/>
    </w:rPr>
  </w:style>
  <w:style w:type="character" w:customStyle="1" w:styleId="247">
    <w:name w:val="正文文本 3 字符"/>
    <w:basedOn w:val="88"/>
    <w:link w:val="40"/>
    <w:qFormat/>
    <w:uiPriority w:val="0"/>
    <w:rPr>
      <w:rFonts w:ascii="Times New Roman" w:hAnsi="Times New Roman" w:eastAsia="MS Gothic" w:cs="Times New Roman"/>
      <w:sz w:val="24"/>
      <w:lang w:val="en-GB" w:eastAsia="ja-JP"/>
    </w:rPr>
  </w:style>
  <w:style w:type="paragraph" w:customStyle="1" w:styleId="248">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249">
    <w:name w:val="text"/>
    <w:basedOn w:val="1"/>
    <w:qFormat/>
    <w:uiPriority w:val="0"/>
    <w:pPr>
      <w:spacing w:after="240"/>
      <w:jc w:val="both"/>
    </w:pPr>
    <w:rPr>
      <w:rFonts w:eastAsia="MS Gothic"/>
      <w:szCs w:val="20"/>
      <w:lang w:eastAsia="ja-JP"/>
    </w:rPr>
  </w:style>
  <w:style w:type="paragraph" w:customStyle="1" w:styleId="250">
    <w:name w:val="text intend 1"/>
    <w:basedOn w:val="249"/>
    <w:qFormat/>
    <w:uiPriority w:val="0"/>
    <w:pPr>
      <w:numPr>
        <w:ilvl w:val="0"/>
        <w:numId w:val="15"/>
      </w:numPr>
      <w:spacing w:after="120"/>
    </w:pPr>
  </w:style>
  <w:style w:type="paragraph" w:customStyle="1" w:styleId="251">
    <w:name w:val="shortcode"/>
    <w:basedOn w:val="42"/>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customStyle="1" w:styleId="252">
    <w:name w:val="Rec_CCITT_#"/>
    <w:basedOn w:val="1"/>
    <w:qFormat/>
    <w:uiPriority w:val="0"/>
    <w:pPr>
      <w:keepNext/>
      <w:keepLines/>
      <w:spacing w:after="180"/>
    </w:pPr>
    <w:rPr>
      <w:rFonts w:eastAsia="MS Gothic"/>
      <w:b/>
      <w:szCs w:val="20"/>
      <w:lang w:val="en-GB" w:eastAsia="ja-JP"/>
    </w:rPr>
  </w:style>
  <w:style w:type="paragraph" w:customStyle="1" w:styleId="253">
    <w:name w:val="Reference"/>
    <w:basedOn w:val="1"/>
    <w:qFormat/>
    <w:uiPriority w:val="0"/>
    <w:pPr>
      <w:widowControl w:val="0"/>
      <w:ind w:left="283" w:hanging="283"/>
      <w:jc w:val="both"/>
    </w:pPr>
    <w:rPr>
      <w:rFonts w:ascii="Arial" w:hAnsi="Arial"/>
      <w:kern w:val="2"/>
      <w:sz w:val="21"/>
      <w:szCs w:val="20"/>
      <w:lang w:val="de-DE" w:eastAsia="ja-JP"/>
    </w:rPr>
  </w:style>
  <w:style w:type="paragraph" w:customStyle="1" w:styleId="254">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255">
    <w:name w:val="図表番号 (文字)"/>
    <w:qFormat/>
    <w:uiPriority w:val="35"/>
    <w:rPr>
      <w:rFonts w:eastAsia="MS Gothic"/>
      <w:b/>
      <w:kern w:val="2"/>
      <w:sz w:val="24"/>
      <w:lang w:val="en-GB"/>
    </w:rPr>
  </w:style>
  <w:style w:type="paragraph" w:customStyle="1" w:styleId="256">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Times New Roman" w:cs="Times New Roman"/>
      <w:kern w:val="2"/>
      <w:sz w:val="21"/>
      <w:lang w:val="en-GB" w:eastAsia="ja-JP" w:bidi="ar-SA"/>
    </w:rPr>
  </w:style>
  <w:style w:type="paragraph" w:customStyle="1" w:styleId="25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25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59">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60">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61">
    <w:name w:val="表 (赤)  81"/>
    <w:basedOn w:val="1"/>
    <w:qFormat/>
    <w:uiPriority w:val="34"/>
    <w:pPr>
      <w:ind w:left="840" w:leftChars="400"/>
    </w:pPr>
    <w:rPr>
      <w:rFonts w:ascii="MS PGothic" w:hAnsi="MS PGothic" w:eastAsia="MS PGothic" w:cs="MS PGothic"/>
      <w:lang w:eastAsia="ja-JP"/>
    </w:rPr>
  </w:style>
  <w:style w:type="paragraph" w:customStyle="1" w:styleId="262">
    <w:name w:val="表 (赤)  71"/>
    <w:hidden/>
    <w:semiHidden/>
    <w:qFormat/>
    <w:uiPriority w:val="99"/>
    <w:rPr>
      <w:rFonts w:ascii="Times New Roman" w:hAnsi="Times New Roman" w:eastAsia="MS Gothic" w:cs="Times New Roman"/>
      <w:sz w:val="24"/>
      <w:lang w:val="en-GB" w:eastAsia="ja-JP" w:bidi="ar-SA"/>
    </w:rPr>
  </w:style>
  <w:style w:type="paragraph" w:customStyle="1" w:styleId="263">
    <w:name w:val="main text"/>
    <w:basedOn w:val="1"/>
    <w:link w:val="264"/>
    <w:qFormat/>
    <w:uiPriority w:val="0"/>
    <w:pPr>
      <w:spacing w:before="60" w:after="60" w:line="288" w:lineRule="auto"/>
      <w:jc w:val="both"/>
    </w:pPr>
    <w:rPr>
      <w:rFonts w:ascii="Calibri" w:hAnsi="Calibri" w:eastAsia="Malgun Gothic" w:cs="Batang"/>
      <w:sz w:val="20"/>
      <w:szCs w:val="20"/>
      <w:lang w:val="en-GB" w:eastAsia="ko-KR"/>
    </w:rPr>
  </w:style>
  <w:style w:type="character" w:customStyle="1" w:styleId="264">
    <w:name w:val="main text Char"/>
    <w:link w:val="263"/>
    <w:qFormat/>
    <w:uiPriority w:val="0"/>
    <w:rPr>
      <w:rFonts w:ascii="Calibri" w:hAnsi="Calibri" w:eastAsia="Malgun Gothic" w:cs="Batang"/>
      <w:lang w:val="en-GB" w:eastAsia="ko-KR"/>
    </w:rPr>
  </w:style>
  <w:style w:type="paragraph" w:customStyle="1" w:styleId="265">
    <w:name w:val="스타일 스타일 스타일 스타일 양쪽 첫 줄:  2 글자 + 첫 줄:  2 글자 + 첫 줄:  2 글자 + 첫 줄:  2..."/>
    <w:basedOn w:val="1"/>
    <w:link w:val="266"/>
    <w:qFormat/>
    <w:uiPriority w:val="0"/>
    <w:pPr>
      <w:spacing w:after="180" w:line="336" w:lineRule="auto"/>
      <w:ind w:firstLine="200" w:firstLineChars="200"/>
      <w:jc w:val="both"/>
    </w:pPr>
    <w:rPr>
      <w:rFonts w:eastAsia="Malgun Gothic" w:cs="Batang"/>
      <w:sz w:val="20"/>
      <w:szCs w:val="20"/>
      <w:lang w:val="en-GB" w:eastAsia="en-GB"/>
    </w:rPr>
  </w:style>
  <w:style w:type="character" w:customStyle="1" w:styleId="266">
    <w:name w:val="스타일 스타일 스타일 스타일 양쪽 첫 줄:  2 글자 + 첫 줄:  2 글자 + 첫 줄:  2 글자 + 첫 줄:  2... Char"/>
    <w:link w:val="265"/>
    <w:qFormat/>
    <w:uiPriority w:val="0"/>
    <w:rPr>
      <w:rFonts w:ascii="Times New Roman" w:hAnsi="Times New Roman" w:eastAsia="Malgun Gothic" w:cs="Batang"/>
      <w:lang w:val="en-GB" w:eastAsia="en-GB"/>
    </w:rPr>
  </w:style>
  <w:style w:type="paragraph" w:customStyle="1" w:styleId="26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268">
    <w:name w:val="Table_head"/>
    <w:basedOn w:val="267"/>
    <w:next w:val="267"/>
    <w:qFormat/>
    <w:uiPriority w:val="0"/>
    <w:pPr>
      <w:keepNext/>
      <w:spacing w:before="80" w:after="80"/>
      <w:jc w:val="center"/>
    </w:pPr>
    <w:rPr>
      <w:b/>
    </w:rPr>
  </w:style>
  <w:style w:type="character" w:customStyle="1" w:styleId="269">
    <w:name w:val="TAN Char"/>
    <w:link w:val="160"/>
    <w:qFormat/>
    <w:uiPriority w:val="0"/>
    <w:rPr>
      <w:rFonts w:ascii="Arial" w:hAnsi="Arial" w:eastAsia="Times New Roman" w:cs="Arial"/>
      <w:sz w:val="18"/>
      <w:szCs w:val="22"/>
      <w:lang w:eastAsia="en-US"/>
    </w:rPr>
  </w:style>
  <w:style w:type="paragraph" w:customStyle="1" w:styleId="270">
    <w:name w:val="TableText"/>
    <w:basedOn w:val="43"/>
    <w:qFormat/>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271">
    <w:name w:val="Unresolved Mention5"/>
    <w:basedOn w:val="88"/>
    <w:unhideWhenUsed/>
    <w:qFormat/>
    <w:uiPriority w:val="99"/>
    <w:rPr>
      <w:color w:val="605E5C"/>
      <w:shd w:val="clear" w:color="auto" w:fill="E1DFDD"/>
    </w:rPr>
  </w:style>
  <w:style w:type="character" w:customStyle="1" w:styleId="272">
    <w:name w:val="cf01"/>
    <w:basedOn w:val="88"/>
    <w:qFormat/>
    <w:uiPriority w:val="0"/>
    <w:rPr>
      <w:rFonts w:hint="default" w:ascii="Segoe UI" w:hAnsi="Segoe UI" w:cs="Segoe UI"/>
      <w:b/>
      <w:bCs/>
      <w:color w:val="262626"/>
      <w:sz w:val="28"/>
      <w:szCs w:val="28"/>
    </w:rPr>
  </w:style>
  <w:style w:type="paragraph" w:styleId="273">
    <w:name w:val="Intense Quote"/>
    <w:basedOn w:val="1"/>
    <w:next w:val="1"/>
    <w:link w:val="274"/>
    <w:qFormat/>
    <w:uiPriority w:val="30"/>
    <w:pPr>
      <w:pBdr>
        <w:top w:val="single" w:color="4472C4" w:themeColor="accent1" w:sz="4" w:space="10"/>
        <w:bottom w:val="single" w:color="4472C4" w:themeColor="accent1" w:sz="4" w:space="10"/>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14:textFill>
        <w14:solidFill>
          <w14:schemeClr w14:val="accent1"/>
        </w14:solidFill>
      </w14:textFill>
    </w:rPr>
  </w:style>
  <w:style w:type="character" w:customStyle="1" w:styleId="274">
    <w:name w:val="明显引用 字符"/>
    <w:basedOn w:val="88"/>
    <w:link w:val="273"/>
    <w:qFormat/>
    <w:uiPriority w:val="30"/>
    <w:rPr>
      <w:rFonts w:ascii="Times New Roman" w:hAnsi="Times New Roman" w:eastAsia="Times New Roman" w:cs="Times New Roman"/>
      <w:i/>
      <w:iCs/>
      <w:color w:val="4472C4" w:themeColor="accent1"/>
      <w:lang w:val="en-GB" w:eastAsia="en-GB"/>
      <w14:textFill>
        <w14:solidFill>
          <w14:schemeClr w14:val="accent1"/>
        </w14:solidFill>
      </w14:textFill>
    </w:rPr>
  </w:style>
  <w:style w:type="paragraph" w:customStyle="1" w:styleId="275">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76">
    <w:name w:val="3GPP Agreements"/>
    <w:basedOn w:val="1"/>
    <w:link w:val="277"/>
    <w:qFormat/>
    <w:uiPriority w:val="0"/>
    <w:pPr>
      <w:numPr>
        <w:ilvl w:val="0"/>
        <w:numId w:val="16"/>
      </w:numPr>
      <w:tabs>
        <w:tab w:val="left" w:pos="360"/>
      </w:tabs>
      <w:autoSpaceDE w:val="0"/>
      <w:autoSpaceDN w:val="0"/>
      <w:adjustRightInd w:val="0"/>
      <w:snapToGrid w:val="0"/>
      <w:spacing w:after="120"/>
      <w:ind w:left="0" w:firstLine="0"/>
      <w:jc w:val="both"/>
    </w:pPr>
  </w:style>
  <w:style w:type="character" w:customStyle="1" w:styleId="277">
    <w:name w:val="3GPP Agreements Char"/>
    <w:link w:val="276"/>
    <w:qFormat/>
    <w:uiPriority w:val="0"/>
    <w:rPr>
      <w:rFonts w:ascii="Times New Roman" w:hAnsi="Times New Roman" w:cs="Times New Roman"/>
      <w:sz w:val="22"/>
      <w:szCs w:val="22"/>
      <w:lang w:eastAsia="en-US"/>
    </w:rPr>
  </w:style>
  <w:style w:type="character" w:customStyle="1" w:styleId="278">
    <w:name w:val="Mention2"/>
    <w:basedOn w:val="88"/>
    <w:unhideWhenUsed/>
    <w:qFormat/>
    <w:uiPriority w:val="99"/>
    <w:rPr>
      <w:color w:val="2B579A"/>
      <w:shd w:val="clear" w:color="auto" w:fill="E1DFDD"/>
    </w:rPr>
  </w:style>
  <w:style w:type="paragraph" w:customStyle="1" w:styleId="279">
    <w:name w:val="N1"/>
    <w:basedOn w:val="1"/>
    <w:link w:val="280"/>
    <w:qFormat/>
    <w:uiPriority w:val="0"/>
    <w:pPr>
      <w:ind w:left="634"/>
    </w:pPr>
    <w:rPr>
      <w:rFonts w:eastAsiaTheme="minorEastAsia" w:cstheme="minorHAnsi"/>
      <w:lang w:eastAsia="ko-KR" w:bidi="hi-IN"/>
    </w:rPr>
  </w:style>
  <w:style w:type="character" w:customStyle="1" w:styleId="280">
    <w:name w:val="N1 Char"/>
    <w:basedOn w:val="88"/>
    <w:link w:val="279"/>
    <w:qFormat/>
    <w:uiPriority w:val="0"/>
    <w:rPr>
      <w:rFonts w:eastAsiaTheme="minorEastAsia" w:cstheme="minorHAnsi"/>
      <w:sz w:val="22"/>
      <w:szCs w:val="22"/>
      <w:lang w:eastAsia="ko-KR" w:bidi="hi-IN"/>
    </w:rPr>
  </w:style>
  <w:style w:type="paragraph" w:customStyle="1" w:styleId="281">
    <w:name w:val="Bibliography1"/>
    <w:basedOn w:val="1"/>
    <w:next w:val="1"/>
    <w:unhideWhenUsed/>
    <w:qFormat/>
    <w:uiPriority w:val="37"/>
  </w:style>
  <w:style w:type="character" w:customStyle="1" w:styleId="282">
    <w:name w:val="gray"/>
    <w:basedOn w:val="88"/>
    <w:qFormat/>
    <w:uiPriority w:val="0"/>
  </w:style>
  <w:style w:type="character" w:customStyle="1" w:styleId="283">
    <w:name w:val="pink"/>
    <w:basedOn w:val="88"/>
    <w:qFormat/>
    <w:uiPriority w:val="0"/>
  </w:style>
  <w:style w:type="paragraph" w:customStyle="1" w:styleId="284">
    <w:name w:val="TAJ"/>
    <w:basedOn w:val="110"/>
    <w:qFormat/>
    <w:uiPriority w:val="0"/>
    <w:rPr>
      <w:rFonts w:eastAsia="宋体" w:cs="Times New Roman"/>
      <w:sz w:val="20"/>
      <w:szCs w:val="20"/>
    </w:rPr>
  </w:style>
  <w:style w:type="paragraph" w:customStyle="1" w:styleId="285">
    <w:name w:val="Guidance"/>
    <w:basedOn w:val="1"/>
    <w:qFormat/>
    <w:uiPriority w:val="0"/>
    <w:pPr>
      <w:spacing w:after="180"/>
    </w:pPr>
    <w:rPr>
      <w:rFonts w:eastAsia="宋体"/>
      <w:i/>
      <w:color w:val="0000FF"/>
      <w:sz w:val="20"/>
      <w:szCs w:val="20"/>
      <w:lang w:val="en-GB"/>
    </w:rPr>
  </w:style>
  <w:style w:type="table" w:customStyle="1" w:styleId="286">
    <w:name w:val="Table Grid1"/>
    <w:basedOn w:val="86"/>
    <w:qFormat/>
    <w:uiPriority w:val="0"/>
    <w:rPr>
      <w:rFonts w:ascii="Times New Roman" w:hAnsi="Times New Roman" w:cs="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7">
    <w:name w:val="Block Text1"/>
    <w:basedOn w:val="1"/>
    <w:next w:val="47"/>
    <w:qFormat/>
    <w:uiPriority w:val="0"/>
    <w:pPr>
      <w:pBdr>
        <w:top w:val="single" w:color="4472C4" w:sz="2" w:space="10"/>
        <w:left w:val="single" w:color="4472C4" w:sz="2" w:space="10"/>
        <w:bottom w:val="single" w:color="4472C4" w:sz="2" w:space="10"/>
        <w:right w:val="single" w:color="4472C4" w:sz="2" w:space="10"/>
      </w:pBdr>
      <w:spacing w:after="180"/>
      <w:ind w:left="1152" w:right="1152"/>
    </w:pPr>
    <w:rPr>
      <w:rFonts w:ascii="Calibri" w:hAnsi="Calibri" w:eastAsia="等线"/>
      <w:i/>
      <w:iCs/>
      <w:color w:val="4472C4"/>
      <w:sz w:val="20"/>
      <w:szCs w:val="20"/>
      <w:lang w:val="en-GB"/>
    </w:rPr>
  </w:style>
  <w:style w:type="character" w:customStyle="1" w:styleId="288">
    <w:name w:val="正文文本 2 字符"/>
    <w:basedOn w:val="88"/>
    <w:link w:val="74"/>
    <w:qFormat/>
    <w:uiPriority w:val="0"/>
    <w:rPr>
      <w:rFonts w:ascii="Times New Roman" w:hAnsi="Times New Roman" w:cs="Times New Roman"/>
      <w:lang w:val="en-GB" w:eastAsia="en-US"/>
    </w:rPr>
  </w:style>
  <w:style w:type="character" w:customStyle="1" w:styleId="289">
    <w:name w:val="正文文本首行缩进 字符"/>
    <w:basedOn w:val="118"/>
    <w:link w:val="84"/>
    <w:qFormat/>
    <w:uiPriority w:val="0"/>
    <w:rPr>
      <w:rFonts w:ascii="Times New Roman" w:hAnsi="Times New Roman" w:eastAsia="宋体" w:cs="Times New Roman"/>
      <w:sz w:val="20"/>
      <w:szCs w:val="20"/>
      <w:lang w:val="en-GB" w:eastAsia="en-US"/>
    </w:rPr>
  </w:style>
  <w:style w:type="character" w:customStyle="1" w:styleId="290">
    <w:name w:val="正文文本首行缩进 2 字符"/>
    <w:basedOn w:val="241"/>
    <w:link w:val="85"/>
    <w:qFormat/>
    <w:uiPriority w:val="0"/>
    <w:rPr>
      <w:rFonts w:ascii="Times New Roman" w:hAnsi="Times New Roman" w:eastAsia="MS Gothic" w:cs="Times New Roman"/>
      <w:sz w:val="24"/>
      <w:lang w:val="en-GB" w:eastAsia="en-US"/>
    </w:rPr>
  </w:style>
  <w:style w:type="character" w:customStyle="1" w:styleId="291">
    <w:name w:val="正文文本缩进 3 字符"/>
    <w:basedOn w:val="88"/>
    <w:link w:val="69"/>
    <w:qFormat/>
    <w:uiPriority w:val="0"/>
    <w:rPr>
      <w:rFonts w:ascii="Times New Roman" w:hAnsi="Times New Roman" w:cs="Times New Roman"/>
      <w:sz w:val="16"/>
      <w:szCs w:val="16"/>
      <w:lang w:val="en-GB" w:eastAsia="en-US"/>
    </w:rPr>
  </w:style>
  <w:style w:type="character" w:customStyle="1" w:styleId="292">
    <w:name w:val="结束语 字符"/>
    <w:basedOn w:val="88"/>
    <w:link w:val="41"/>
    <w:qFormat/>
    <w:uiPriority w:val="0"/>
    <w:rPr>
      <w:rFonts w:ascii="Times New Roman" w:hAnsi="Times New Roman" w:cs="Times New Roman"/>
      <w:lang w:val="en-GB" w:eastAsia="en-US"/>
    </w:rPr>
  </w:style>
  <w:style w:type="character" w:customStyle="1" w:styleId="293">
    <w:name w:val="日期 字符"/>
    <w:basedOn w:val="88"/>
    <w:link w:val="55"/>
    <w:qFormat/>
    <w:uiPriority w:val="0"/>
    <w:rPr>
      <w:rFonts w:ascii="Times New Roman" w:hAnsi="Times New Roman" w:cs="Times New Roman"/>
      <w:lang w:val="en-GB" w:eastAsia="en-US"/>
    </w:rPr>
  </w:style>
  <w:style w:type="character" w:customStyle="1" w:styleId="294">
    <w:name w:val="电子邮件签名 字符"/>
    <w:basedOn w:val="88"/>
    <w:link w:val="31"/>
    <w:qFormat/>
    <w:uiPriority w:val="0"/>
    <w:rPr>
      <w:rFonts w:ascii="Times New Roman" w:hAnsi="Times New Roman" w:cs="Times New Roman"/>
      <w:lang w:val="en-GB" w:eastAsia="en-US"/>
    </w:rPr>
  </w:style>
  <w:style w:type="character" w:customStyle="1" w:styleId="295">
    <w:name w:val="尾注文本 字符"/>
    <w:basedOn w:val="88"/>
    <w:link w:val="57"/>
    <w:qFormat/>
    <w:uiPriority w:val="0"/>
    <w:rPr>
      <w:rFonts w:ascii="Times New Roman" w:hAnsi="Times New Roman" w:cs="Times New Roman"/>
      <w:lang w:val="en-GB" w:eastAsia="en-US"/>
    </w:rPr>
  </w:style>
  <w:style w:type="paragraph" w:customStyle="1" w:styleId="296">
    <w:name w:val="Envelope Address1"/>
    <w:basedOn w:val="1"/>
    <w:next w:val="35"/>
    <w:qFormat/>
    <w:uiPriority w:val="0"/>
    <w:pPr>
      <w:framePr w:w="7920" w:h="1980" w:hRule="exact" w:hSpace="180" w:wrap="auto" w:vAnchor="margin" w:hAnchor="page" w:xAlign="center" w:yAlign="bottom"/>
      <w:ind w:left="2880"/>
    </w:pPr>
    <w:rPr>
      <w:rFonts w:ascii="Calibri Light" w:hAnsi="Calibri Light" w:eastAsia="等线 Light"/>
      <w:lang w:val="en-GB"/>
    </w:rPr>
  </w:style>
  <w:style w:type="paragraph" w:customStyle="1" w:styleId="297">
    <w:name w:val="Envelope Return1"/>
    <w:basedOn w:val="1"/>
    <w:next w:val="61"/>
    <w:qFormat/>
    <w:uiPriority w:val="0"/>
    <w:rPr>
      <w:rFonts w:ascii="Calibri Light" w:hAnsi="Calibri Light" w:eastAsia="等线 Light"/>
      <w:sz w:val="20"/>
      <w:szCs w:val="20"/>
      <w:lang w:val="en-GB"/>
    </w:rPr>
  </w:style>
  <w:style w:type="character" w:customStyle="1" w:styleId="298">
    <w:name w:val="HTML 地址 字符"/>
    <w:basedOn w:val="88"/>
    <w:link w:val="48"/>
    <w:qFormat/>
    <w:uiPriority w:val="0"/>
    <w:rPr>
      <w:rFonts w:ascii="Times New Roman" w:hAnsi="Times New Roman" w:cs="Times New Roman"/>
      <w:i/>
      <w:iCs/>
      <w:lang w:val="en-GB" w:eastAsia="en-US"/>
    </w:rPr>
  </w:style>
  <w:style w:type="character" w:customStyle="1" w:styleId="299">
    <w:name w:val="HTML 预设格式 字符"/>
    <w:basedOn w:val="88"/>
    <w:link w:val="77"/>
    <w:qFormat/>
    <w:uiPriority w:val="0"/>
    <w:rPr>
      <w:rFonts w:ascii="Consolas" w:hAnsi="Consolas" w:cs="Times New Roman"/>
      <w:lang w:val="en-GB" w:eastAsia="en-US"/>
    </w:rPr>
  </w:style>
  <w:style w:type="paragraph" w:customStyle="1" w:styleId="300">
    <w:name w:val="Index Heading1"/>
    <w:basedOn w:val="1"/>
    <w:next w:val="80"/>
    <w:qFormat/>
    <w:uiPriority w:val="0"/>
    <w:pPr>
      <w:spacing w:after="180"/>
    </w:pPr>
    <w:rPr>
      <w:rFonts w:ascii="Calibri Light" w:hAnsi="Calibri Light" w:eastAsia="等线 Light"/>
      <w:b/>
      <w:bCs/>
      <w:sz w:val="20"/>
      <w:szCs w:val="20"/>
      <w:lang w:val="en-GB"/>
    </w:rPr>
  </w:style>
  <w:style w:type="character" w:customStyle="1" w:styleId="301">
    <w:name w:val="宏文本 字符"/>
    <w:basedOn w:val="88"/>
    <w:link w:val="2"/>
    <w:qFormat/>
    <w:uiPriority w:val="0"/>
    <w:rPr>
      <w:rFonts w:ascii="Consolas" w:hAnsi="Consolas" w:cs="Times New Roman"/>
      <w:lang w:val="en-GB" w:eastAsia="en-US"/>
    </w:rPr>
  </w:style>
  <w:style w:type="paragraph" w:customStyle="1" w:styleId="302">
    <w:name w:val="Message Header1"/>
    <w:basedOn w:val="1"/>
    <w:next w:val="76"/>
    <w:link w:val="303"/>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等线 Light"/>
    </w:rPr>
  </w:style>
  <w:style w:type="character" w:customStyle="1" w:styleId="303">
    <w:name w:val="Message Header Char"/>
    <w:basedOn w:val="88"/>
    <w:link w:val="302"/>
    <w:qFormat/>
    <w:uiPriority w:val="0"/>
    <w:rPr>
      <w:rFonts w:ascii="Calibri Light" w:hAnsi="Calibri Light" w:eastAsia="等线 Light" w:cs="Times New Roman"/>
      <w:sz w:val="24"/>
      <w:szCs w:val="24"/>
      <w:shd w:val="pct20" w:color="auto" w:fill="auto"/>
      <w:lang w:eastAsia="en-US"/>
    </w:rPr>
  </w:style>
  <w:style w:type="paragraph" w:styleId="304">
    <w:name w:val="No Spacing"/>
    <w:qFormat/>
    <w:uiPriority w:val="1"/>
    <w:rPr>
      <w:rFonts w:ascii="Times New Roman" w:hAnsi="Times New Roman" w:eastAsia="宋体" w:cs="Times New Roman"/>
      <w:lang w:val="en-GB" w:eastAsia="en-US" w:bidi="ar-SA"/>
    </w:rPr>
  </w:style>
  <w:style w:type="character" w:customStyle="1" w:styleId="305">
    <w:name w:val="注释标题 字符"/>
    <w:basedOn w:val="88"/>
    <w:link w:val="25"/>
    <w:qFormat/>
    <w:uiPriority w:val="0"/>
    <w:rPr>
      <w:rFonts w:ascii="Times New Roman" w:hAnsi="Times New Roman" w:cs="Times New Roman"/>
      <w:lang w:val="en-GB" w:eastAsia="en-US"/>
    </w:rPr>
  </w:style>
  <w:style w:type="paragraph" w:customStyle="1" w:styleId="306">
    <w:name w:val="Quote1"/>
    <w:basedOn w:val="1"/>
    <w:next w:val="1"/>
    <w:qFormat/>
    <w:uiPriority w:val="29"/>
    <w:pPr>
      <w:spacing w:before="200" w:after="160"/>
      <w:ind w:left="864" w:right="864"/>
      <w:jc w:val="center"/>
    </w:pPr>
    <w:rPr>
      <w:rFonts w:eastAsia="宋体"/>
      <w:i/>
      <w:iCs/>
      <w:color w:val="404040"/>
      <w:sz w:val="20"/>
      <w:szCs w:val="20"/>
      <w:lang w:val="en-GB"/>
    </w:rPr>
  </w:style>
  <w:style w:type="character" w:customStyle="1" w:styleId="307">
    <w:name w:val="引用 字符"/>
    <w:basedOn w:val="88"/>
    <w:link w:val="308"/>
    <w:qFormat/>
    <w:uiPriority w:val="29"/>
    <w:rPr>
      <w:i/>
      <w:iCs/>
      <w:color w:val="404040"/>
      <w:lang w:eastAsia="en-US"/>
    </w:rPr>
  </w:style>
  <w:style w:type="paragraph" w:styleId="308">
    <w:name w:val="Quote"/>
    <w:basedOn w:val="1"/>
    <w:next w:val="1"/>
    <w:link w:val="307"/>
    <w:qFormat/>
    <w:uiPriority w:val="29"/>
    <w:pPr>
      <w:spacing w:before="200" w:after="160"/>
      <w:ind w:left="864" w:right="864"/>
      <w:jc w:val="center"/>
    </w:pPr>
    <w:rPr>
      <w:rFonts w:eastAsia="宋体" w:asciiTheme="minorHAnsi" w:hAnsiTheme="minorHAnsi" w:cstheme="minorBidi"/>
      <w:i/>
      <w:iCs/>
      <w:color w:val="404040"/>
      <w:sz w:val="20"/>
      <w:szCs w:val="20"/>
    </w:rPr>
  </w:style>
  <w:style w:type="character" w:customStyle="1" w:styleId="309">
    <w:name w:val="称呼 字符"/>
    <w:basedOn w:val="88"/>
    <w:link w:val="39"/>
    <w:qFormat/>
    <w:uiPriority w:val="0"/>
    <w:rPr>
      <w:rFonts w:ascii="Times New Roman" w:hAnsi="Times New Roman" w:cs="Times New Roman"/>
      <w:lang w:val="en-GB" w:eastAsia="en-US"/>
    </w:rPr>
  </w:style>
  <w:style w:type="character" w:customStyle="1" w:styleId="310">
    <w:name w:val="签名 字符"/>
    <w:basedOn w:val="88"/>
    <w:link w:val="62"/>
    <w:qFormat/>
    <w:uiPriority w:val="0"/>
    <w:rPr>
      <w:rFonts w:ascii="Times New Roman" w:hAnsi="Times New Roman" w:cs="Times New Roman"/>
      <w:lang w:val="en-GB" w:eastAsia="en-US"/>
    </w:rPr>
  </w:style>
  <w:style w:type="paragraph" w:customStyle="1" w:styleId="311">
    <w:name w:val="Subtitle1"/>
    <w:basedOn w:val="1"/>
    <w:next w:val="1"/>
    <w:qFormat/>
    <w:uiPriority w:val="0"/>
    <w:pPr>
      <w:spacing w:after="160"/>
    </w:pPr>
    <w:rPr>
      <w:rFonts w:ascii="Calibri" w:hAnsi="Calibri" w:eastAsia="等线"/>
      <w:color w:val="5A5A5A"/>
      <w:spacing w:val="15"/>
      <w:sz w:val="22"/>
      <w:szCs w:val="22"/>
      <w:lang w:val="en-GB"/>
    </w:rPr>
  </w:style>
  <w:style w:type="character" w:customStyle="1" w:styleId="312">
    <w:name w:val="副标题 字符"/>
    <w:basedOn w:val="88"/>
    <w:link w:val="64"/>
    <w:qFormat/>
    <w:uiPriority w:val="0"/>
    <w:rPr>
      <w:rFonts w:ascii="Calibri" w:hAnsi="Calibri" w:eastAsia="等线" w:cs="Times New Roman"/>
      <w:color w:val="5A5A5A"/>
      <w:spacing w:val="15"/>
      <w:sz w:val="22"/>
      <w:szCs w:val="22"/>
      <w:lang w:eastAsia="en-US"/>
    </w:rPr>
  </w:style>
  <w:style w:type="paragraph" w:customStyle="1" w:styleId="313">
    <w:name w:val="TOA Heading1"/>
    <w:basedOn w:val="1"/>
    <w:next w:val="1"/>
    <w:qFormat/>
    <w:uiPriority w:val="0"/>
    <w:pPr>
      <w:spacing w:before="120" w:after="180"/>
    </w:pPr>
    <w:rPr>
      <w:rFonts w:ascii="Calibri Light" w:hAnsi="Calibri Light" w:eastAsia="等线 Light"/>
      <w:b/>
      <w:bCs/>
      <w:lang w:val="en-GB"/>
    </w:rPr>
  </w:style>
  <w:style w:type="paragraph" w:customStyle="1" w:styleId="314">
    <w:name w:val="TOC Heading1"/>
    <w:basedOn w:val="3"/>
    <w:next w:val="1"/>
    <w:semiHidden/>
    <w:unhideWhenUsed/>
    <w:qFormat/>
    <w:uiPriority w:val="39"/>
    <w:pPr>
      <w:widowControl/>
      <w:numPr>
        <w:numId w:val="0"/>
      </w:numPr>
      <w:pBdr>
        <w:top w:val="none" w:color="auto" w:sz="0" w:space="0"/>
      </w:pBdr>
      <w:overflowPunct/>
      <w:autoSpaceDE/>
      <w:autoSpaceDN/>
      <w:adjustRightInd/>
      <w:spacing w:after="0" w:line="240" w:lineRule="auto"/>
      <w:outlineLvl w:val="9"/>
    </w:pPr>
    <w:rPr>
      <w:rFonts w:ascii="Calibri Light" w:hAnsi="Calibri Light" w:eastAsia="等线 Light"/>
      <w:color w:val="2F5496"/>
      <w:sz w:val="32"/>
      <w:szCs w:val="32"/>
      <w:lang w:eastAsia="en-US"/>
    </w:rPr>
  </w:style>
  <w:style w:type="character" w:customStyle="1" w:styleId="315">
    <w:name w:val="信息标题 字符"/>
    <w:basedOn w:val="88"/>
    <w:link w:val="76"/>
    <w:semiHidden/>
    <w:qFormat/>
    <w:uiPriority w:val="99"/>
    <w:rPr>
      <w:rFonts w:asciiTheme="majorHAnsi" w:hAnsiTheme="majorHAnsi" w:eastAsiaTheme="majorEastAsia" w:cstheme="majorBidi"/>
      <w:sz w:val="24"/>
      <w:szCs w:val="24"/>
      <w:shd w:val="pct20" w:color="auto" w:fill="auto"/>
      <w:lang w:eastAsia="en-US"/>
    </w:rPr>
  </w:style>
  <w:style w:type="character" w:customStyle="1" w:styleId="316">
    <w:name w:val="Quote Char1"/>
    <w:basedOn w:val="88"/>
    <w:qFormat/>
    <w:uiPriority w:val="99"/>
    <w:rPr>
      <w:rFonts w:ascii="Times New Roman" w:hAnsi="Times New Roman" w:eastAsia="Times New Roman" w:cs="Times New Roman"/>
      <w:i/>
      <w:iCs/>
      <w:color w:val="404040" w:themeColor="text1" w:themeTint="BF"/>
      <w:sz w:val="24"/>
      <w:szCs w:val="24"/>
      <w:lang w:eastAsia="en-US"/>
      <w14:textFill>
        <w14:solidFill>
          <w14:schemeClr w14:val="tx1">
            <w14:lumMod w14:val="75000"/>
            <w14:lumOff w14:val="25000"/>
          </w14:schemeClr>
        </w14:solidFill>
      </w14:textFill>
    </w:rPr>
  </w:style>
  <w:style w:type="character" w:customStyle="1" w:styleId="317">
    <w:name w:val="Subtitle Char1"/>
    <w:basedOn w:val="88"/>
    <w:qFormat/>
    <w:uiPriority w:val="11"/>
    <w:rPr>
      <w:rFonts w:eastAsiaTheme="minorEastAsia"/>
      <w:color w:val="595959" w:themeColor="text1" w:themeTint="A6"/>
      <w:spacing w:val="15"/>
      <w:sz w:val="22"/>
      <w:szCs w:val="22"/>
      <w:lang w:eastAsia="en-US"/>
      <w14:textFill>
        <w14:solidFill>
          <w14:schemeClr w14:val="tx1">
            <w14:lumMod w14:val="65000"/>
            <w14:lumOff w14:val="35000"/>
          </w14:schemeClr>
        </w14:solidFill>
      </w14:textFill>
    </w:rPr>
  </w:style>
  <w:style w:type="paragraph" w:customStyle="1" w:styleId="318">
    <w:name w:val="Revision"/>
    <w:hidden/>
    <w:unhideWhenUsed/>
    <w:qFormat/>
    <w:uiPriority w:val="99"/>
    <w:rPr>
      <w:rFonts w:ascii="Times New Roman" w:hAnsi="Times New Roman" w:eastAsia="Times New Roman" w:cs="Times New Roman"/>
      <w:sz w:val="24"/>
      <w:szCs w:val="24"/>
      <w:lang w:val="en-US" w:eastAsia="en-US" w:bidi="ar-SA"/>
    </w:rPr>
  </w:style>
  <w:style w:type="character" w:customStyle="1" w:styleId="319">
    <w:name w:val="Mention"/>
    <w:basedOn w:val="88"/>
    <w:unhideWhenUsed/>
    <w:qFormat/>
    <w:uiPriority w:val="99"/>
    <w:rPr>
      <w:color w:val="2B579A"/>
      <w:shd w:val="clear" w:color="auto" w:fill="E1DFDD"/>
    </w:rPr>
  </w:style>
  <w:style w:type="paragraph" w:customStyle="1" w:styleId="320">
    <w:name w:val="Bibliography"/>
    <w:basedOn w:val="1"/>
    <w:next w:val="1"/>
    <w:unhideWhenUsed/>
    <w:uiPriority w:val="37"/>
  </w:style>
  <w:style w:type="character" w:customStyle="1" w:styleId="321">
    <w:name w:val="NO Zchn"/>
    <w:qFormat/>
    <w:locked/>
    <w:uiPriority w:val="0"/>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3.vsdx"/><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A6758551-620E-425C-AF57-1C4CDBC4E6DA}">
  <ds:schemaRefs/>
</ds:datastoreItem>
</file>

<file path=customXml/itemProps2.xml><?xml version="1.0" encoding="utf-8"?>
<ds:datastoreItem xmlns:ds="http://schemas.openxmlformats.org/officeDocument/2006/customXml" ds:itemID="{3B0C6110-CF7C-49B1-BE5A-84A409B72652}">
  <ds:schemaRefs/>
</ds:datastoreItem>
</file>

<file path=customXml/itemProps3.xml><?xml version="1.0" encoding="utf-8"?>
<ds:datastoreItem xmlns:ds="http://schemas.openxmlformats.org/officeDocument/2006/customXml" ds:itemID="{6D2A0422-B10F-4148-8608-A242AE9FC22C}">
  <ds:schemaRefs/>
</ds:datastoreItem>
</file>

<file path=customXml/itemProps4.xml><?xml version="1.0" encoding="utf-8"?>
<ds:datastoreItem xmlns:ds="http://schemas.openxmlformats.org/officeDocument/2006/customXml" ds:itemID="{0638DA51-DF07-4AD2-A4FE-CEDC67BBAC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2707</Words>
  <Characters>15430</Characters>
  <Lines>128</Lines>
  <Paragraphs>36</Paragraphs>
  <TotalTime>9</TotalTime>
  <ScaleCrop>false</ScaleCrop>
  <LinksUpToDate>false</LinksUpToDate>
  <CharactersWithSpaces>18101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2023-10-23T07:05:00Z</dcterms:created>
  <dc:creator>Intel-AA</dc:creator>
  <cp:lastModifiedBy>ZTE-Yu Pan</cp:lastModifiedBy>
  <dcterms:modified xsi:type="dcterms:W3CDTF">2023-10-24T11:08:49Z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813EFA3843854BC488948CBA4C5F2993</vt:lpwstr>
  </property>
  <property fmtid="{D5CDD505-2E9C-101B-9397-08002B2CF9AE}" pid="5"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6"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gg==</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