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of </w:t>
      </w:r>
      <w:r w:rsidR="00D325BB" w:rsidRPr="00D325BB">
        <w:rPr>
          <w:rFonts w:cs="Arial"/>
          <w:sz w:val="22"/>
        </w:rPr>
        <w:t> [Post123bis][304][IoT-NTN Enh]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 xml:space="preserve">[Post123bis][304][IoT-NTN Enh]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SimSun"/>
                <w:bCs/>
                <w:lang w:eastAsia="zh-CN"/>
              </w:rPr>
            </w:pPr>
            <w:r>
              <w:rPr>
                <w:rFonts w:eastAsia="SimSun"/>
                <w:bCs/>
                <w:lang w:eastAsia="zh-CN"/>
              </w:rPr>
              <w:t>Samsung</w:t>
            </w:r>
          </w:p>
        </w:tc>
        <w:tc>
          <w:tcPr>
            <w:tcW w:w="2682" w:type="dxa"/>
          </w:tcPr>
          <w:p w14:paraId="094365B7" w14:textId="35AED64E" w:rsidR="00D41F8C" w:rsidRPr="00D41F8C" w:rsidRDefault="000812C7"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SimSun"/>
                <w:bCs/>
                <w:lang w:eastAsia="zh-CN"/>
              </w:rPr>
            </w:pPr>
            <w:r>
              <w:rPr>
                <w:rFonts w:eastAsia="SimSun"/>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SimSun"/>
                <w:bCs/>
                <w:lang w:eastAsia="zh-CN"/>
              </w:rPr>
            </w:pPr>
            <w:r>
              <w:rPr>
                <w:rFonts w:eastAsia="SimSun"/>
                <w:bCs/>
                <w:lang w:eastAsia="zh-CN"/>
              </w:rPr>
              <w:t>Ericsson</w:t>
            </w:r>
          </w:p>
        </w:tc>
        <w:tc>
          <w:tcPr>
            <w:tcW w:w="2682" w:type="dxa"/>
          </w:tcPr>
          <w:p w14:paraId="02E556EB" w14:textId="4B6E1A5E" w:rsidR="005F45BA" w:rsidRPr="00D41F8C" w:rsidRDefault="004C62A2" w:rsidP="00D41F8C">
            <w:pPr>
              <w:spacing w:after="0"/>
              <w:jc w:val="center"/>
              <w:rPr>
                <w:rFonts w:eastAsia="SimSun"/>
                <w:bCs/>
                <w:lang w:eastAsia="zh-CN"/>
              </w:rPr>
            </w:pPr>
            <w:r>
              <w:rPr>
                <w:rFonts w:eastAsia="SimSun"/>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SimSun"/>
                <w:bCs/>
                <w:lang w:eastAsia="zh-CN"/>
              </w:rPr>
            </w:pPr>
            <w:r>
              <w:rPr>
                <w:rFonts w:eastAsia="SimSun"/>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Hence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modified UE behaviour for RSS-based measurements be removed ?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6E4CE4A9" w14:textId="072C6884" w:rsidR="001339C0" w:rsidRPr="00D41F8C" w:rsidRDefault="009B629B" w:rsidP="00347252">
            <w:pPr>
              <w:spacing w:after="0"/>
              <w:jc w:val="center"/>
              <w:rPr>
                <w:rFonts w:eastAsia="SimSun"/>
                <w:bCs/>
                <w:lang w:eastAsia="zh-CN"/>
              </w:rPr>
            </w:pPr>
            <w:r>
              <w:rPr>
                <w:rFonts w:eastAsia="SimSun"/>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SimSun"/>
                <w:bCs/>
                <w:lang w:eastAsia="zh-CN"/>
              </w:rPr>
            </w:pPr>
            <w:r>
              <w:rPr>
                <w:rFonts w:eastAsia="SimSun"/>
                <w:bCs/>
                <w:lang w:eastAsia="zh-CN"/>
              </w:rPr>
              <w:t xml:space="preserve">The principle in RAN2 is we do not explicitly exclude any combination between features. Thus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6A9C6D52" w14:textId="41EA7BAF" w:rsidR="00BE48F8" w:rsidRDefault="000B58F7" w:rsidP="00BE48F8">
            <w:pPr>
              <w:spacing w:after="0"/>
              <w:jc w:val="center"/>
              <w:rPr>
                <w:rFonts w:eastAsia="SimSun"/>
                <w:bCs/>
                <w:lang w:eastAsia="zh-CN"/>
              </w:rPr>
            </w:pPr>
            <w:r>
              <w:rPr>
                <w:rFonts w:eastAsia="SimSun"/>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SimSun"/>
                <w:bCs/>
                <w:lang w:eastAsia="zh-CN"/>
              </w:rPr>
            </w:pPr>
            <w:r>
              <w:rPr>
                <w:rFonts w:eastAsia="SimSun"/>
                <w:bCs/>
                <w:lang w:eastAsia="zh-CN"/>
              </w:rPr>
              <w:t>First of all, since we are specifica</w:t>
            </w:r>
            <w:r w:rsidR="00415CC5">
              <w:rPr>
                <w:rFonts w:eastAsia="SimSun"/>
                <w:bCs/>
                <w:lang w:eastAsia="zh-CN"/>
              </w:rPr>
              <w:t>lly introducing spec text to support it</w:t>
            </w:r>
            <w:r>
              <w:rPr>
                <w:rFonts w:eastAsia="SimSun"/>
                <w:bCs/>
                <w:lang w:eastAsia="zh-CN"/>
              </w:rPr>
              <w:t xml:space="preserve">, we think that it should be discussed whether RSS and location-based measurement initiation is useful or not. </w:t>
            </w:r>
            <w:r w:rsidR="00415CC5">
              <w:rPr>
                <w:rFonts w:eastAsia="SimSun"/>
                <w:bCs/>
                <w:lang w:eastAsia="zh-CN"/>
              </w:rPr>
              <w:t xml:space="preserve">We do not agree that it needs to explicitly be agreed to </w:t>
            </w:r>
            <w:r w:rsidR="00415CC5" w:rsidRPr="00415CC5">
              <w:rPr>
                <w:rFonts w:eastAsia="SimSun"/>
                <w:b/>
                <w:bCs/>
                <w:lang w:eastAsia="zh-CN"/>
              </w:rPr>
              <w:t>not</w:t>
            </w:r>
            <w:r w:rsidR="00415CC5">
              <w:rPr>
                <w:rFonts w:eastAsia="SimSun"/>
                <w:bCs/>
                <w:lang w:eastAsia="zh-CN"/>
              </w:rPr>
              <w:t xml:space="preserve"> support it in order to </w:t>
            </w:r>
            <w:r w:rsidR="00415CC5" w:rsidRPr="00415CC5">
              <w:rPr>
                <w:rFonts w:eastAsia="SimSun"/>
                <w:b/>
                <w:bCs/>
                <w:lang w:eastAsia="zh-CN"/>
              </w:rPr>
              <w:t>not</w:t>
            </w:r>
            <w:r w:rsidR="00415CC5">
              <w:rPr>
                <w:rFonts w:eastAsia="SimSun"/>
                <w:bCs/>
                <w:lang w:eastAsia="zh-CN"/>
              </w:rPr>
              <w:t xml:space="preserve"> introduce it. </w:t>
            </w:r>
          </w:p>
          <w:p w14:paraId="3F2B5A46" w14:textId="77777777" w:rsidR="00BE48F8" w:rsidRDefault="00BE48F8" w:rsidP="00BE48F8">
            <w:pPr>
              <w:spacing w:after="0"/>
              <w:rPr>
                <w:rFonts w:eastAsia="SimSun"/>
                <w:bCs/>
                <w:lang w:eastAsia="zh-CN"/>
              </w:rPr>
            </w:pPr>
            <w:r>
              <w:rPr>
                <w:rFonts w:eastAsia="SimSun"/>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SimSun"/>
                <w:bCs/>
                <w:lang w:eastAsia="zh-CN"/>
              </w:rPr>
            </w:pPr>
            <w:r>
              <w:rPr>
                <w:rFonts w:eastAsia="SimSun"/>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SimSun"/>
                <w:bCs/>
                <w:lang w:eastAsia="zh-CN"/>
              </w:rPr>
            </w:pPr>
            <w:r>
              <w:rPr>
                <w:rFonts w:eastAsia="SimSun"/>
                <w:bCs/>
                <w:lang w:eastAsia="zh-CN"/>
              </w:rPr>
              <w:t>Ericsson</w:t>
            </w:r>
          </w:p>
        </w:tc>
        <w:tc>
          <w:tcPr>
            <w:tcW w:w="2682" w:type="dxa"/>
          </w:tcPr>
          <w:p w14:paraId="7E6A9AE4" w14:textId="05850125" w:rsidR="003527EE" w:rsidRDefault="003527EE"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5AC52725" w14:textId="2AA3E3CA" w:rsidR="003527EE" w:rsidRDefault="003527EE" w:rsidP="00BE48F8">
            <w:pPr>
              <w:spacing w:after="0"/>
              <w:rPr>
                <w:rFonts w:eastAsia="SimSun"/>
                <w:bCs/>
                <w:lang w:eastAsia="zh-CN"/>
              </w:rPr>
            </w:pPr>
            <w:r>
              <w:rPr>
                <w:rFonts w:eastAsia="SimSun"/>
                <w:bCs/>
                <w:lang w:eastAsia="zh-CN"/>
              </w:rPr>
              <w:t>Agree with Apple. RSS has not been discussed in RAN2 scope but should be supported in NTN. If companies are unsure, we can discuss next meeting.</w:t>
            </w:r>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 xml:space="preserve">Q2: Do companies see impact to cell-reselection procedure in IDLE mode due to additional parameters of SIBXX ?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7BBECC11" w14:textId="43D23359" w:rsidR="006E48C3" w:rsidRPr="00D41F8C" w:rsidRDefault="009B629B" w:rsidP="00347252">
            <w:pPr>
              <w:spacing w:after="0"/>
              <w:jc w:val="center"/>
              <w:rPr>
                <w:rFonts w:eastAsia="SimSun"/>
                <w:bCs/>
                <w:lang w:eastAsia="zh-CN"/>
              </w:rPr>
            </w:pPr>
            <w:r>
              <w:rPr>
                <w:rFonts w:eastAsia="SimSun"/>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SimSun"/>
                <w:bCs/>
                <w:lang w:val="en-US" w:eastAsia="zh-CN"/>
              </w:rPr>
            </w:pPr>
            <w:r>
              <w:rPr>
                <w:rFonts w:eastAsia="SimSun"/>
                <w:bCs/>
                <w:lang w:eastAsia="zh-CN"/>
              </w:rPr>
              <w:t xml:space="preserve">I think at least some sentence should be added to mention that </w:t>
            </w:r>
            <w:r w:rsidRPr="009B629B">
              <w:rPr>
                <w:rFonts w:eastAsia="SimSun"/>
                <w:bCs/>
                <w:lang w:eastAsia="zh-CN"/>
              </w:rPr>
              <w:t>t-ServiceStart</w:t>
            </w:r>
            <w:r>
              <w:rPr>
                <w:rFonts w:eastAsia="SimSun"/>
                <w:bCs/>
                <w:lang w:eastAsia="zh-CN"/>
              </w:rPr>
              <w:t xml:space="preserve"> </w:t>
            </w:r>
            <w:r>
              <w:rPr>
                <w:rFonts w:eastAsia="SimSun" w:hint="eastAsia"/>
                <w:bCs/>
                <w:lang w:eastAsia="zh-CN"/>
              </w:rPr>
              <w:t>of</w:t>
            </w:r>
            <w:r>
              <w:rPr>
                <w:rFonts w:eastAsia="SimSun"/>
                <w:bCs/>
                <w:lang w:val="en-US" w:eastAsia="zh-CN"/>
              </w:rPr>
              <w:t xml:space="preserve"> neighbour satellite can be used for UE to initiate measurement. It could be captured in measurement procedure.</w:t>
            </w:r>
          </w:p>
          <w:p w14:paraId="61A7A5C1" w14:textId="21031F53" w:rsidR="009B629B" w:rsidRPr="009B629B" w:rsidRDefault="009B629B" w:rsidP="00347252">
            <w:pPr>
              <w:spacing w:after="0"/>
              <w:jc w:val="center"/>
              <w:rPr>
                <w:rFonts w:eastAsia="SimSun"/>
                <w:bCs/>
                <w:lang w:val="en-US" w:eastAsia="zh-CN"/>
              </w:rPr>
            </w:pPr>
            <w:r>
              <w:rPr>
                <w:rFonts w:eastAsia="SimSun"/>
                <w:bCs/>
                <w:lang w:val="en-US" w:eastAsia="zh-CN"/>
              </w:rPr>
              <w:t xml:space="preserve">As we commented in running CR, TS36.300 running CR already mentions </w:t>
            </w:r>
            <w:r w:rsidRPr="009B629B">
              <w:rPr>
                <w:rFonts w:eastAsia="SimSun"/>
                <w:bCs/>
                <w:lang w:val="en-US" w:eastAsia="zh-CN"/>
              </w:rPr>
              <w:t>t-ServiceStart</w:t>
            </w:r>
            <w:r>
              <w:rPr>
                <w:rFonts w:eastAsia="SimSun"/>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2F492778" w14:textId="577E3D35" w:rsidR="00BE48F8" w:rsidRDefault="00BE48F8"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SimSun"/>
                <w:bCs/>
                <w:lang w:eastAsia="zh-CN"/>
              </w:rPr>
            </w:pPr>
            <w:r>
              <w:rPr>
                <w:rFonts w:eastAsia="SimSun"/>
                <w:bCs/>
                <w:lang w:eastAsia="zh-CN"/>
              </w:rPr>
              <w:tab/>
            </w:r>
            <w:r w:rsidR="00BE48F8">
              <w:rPr>
                <w:rFonts w:eastAsia="SimSun"/>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SimSun"/>
                <w:bCs/>
                <w:lang w:eastAsia="zh-CN"/>
              </w:rPr>
            </w:pPr>
            <w:r>
              <w:rPr>
                <w:rFonts w:eastAsia="SimSun"/>
                <w:bCs/>
                <w:lang w:eastAsia="zh-CN"/>
              </w:rPr>
              <w:t>Ericsson</w:t>
            </w:r>
          </w:p>
        </w:tc>
        <w:tc>
          <w:tcPr>
            <w:tcW w:w="2682" w:type="dxa"/>
          </w:tcPr>
          <w:p w14:paraId="1869C00C" w14:textId="185B7203" w:rsidR="009E03DB" w:rsidRDefault="009E03DB"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SimSun"/>
                <w:bCs/>
                <w:lang w:eastAsia="zh-CN"/>
              </w:rPr>
            </w:pPr>
            <w:r>
              <w:rPr>
                <w:rFonts w:eastAsia="SimSun"/>
                <w:bCs/>
                <w:lang w:eastAsia="zh-CN"/>
              </w:rPr>
              <w:t xml:space="preserve">Assuming RAN4 requirements for neighbour </w:t>
            </w:r>
            <w:r w:rsidR="004C62A2">
              <w:rPr>
                <w:rFonts w:eastAsia="SimSun"/>
                <w:bCs/>
                <w:lang w:eastAsia="zh-CN"/>
              </w:rPr>
              <w:t xml:space="preserve">cell </w:t>
            </w:r>
            <w:r>
              <w:rPr>
                <w:rFonts w:eastAsia="SimSun"/>
                <w:bCs/>
                <w:lang w:eastAsia="zh-CN"/>
              </w:rPr>
              <w:t>measurements are similar to NR NTN, SIBXX is necessary to perform</w:t>
            </w:r>
            <w:r w:rsidR="004C62A2">
              <w:rPr>
                <w:rFonts w:eastAsia="SimSun"/>
                <w:bCs/>
                <w:lang w:eastAsia="zh-CN"/>
              </w:rPr>
              <w:t xml:space="preserve"> measurements and</w:t>
            </w:r>
            <w:r>
              <w:rPr>
                <w:rFonts w:eastAsia="SimSun"/>
                <w:bCs/>
                <w:lang w:eastAsia="zh-CN"/>
              </w:rPr>
              <w:t xml:space="preserve"> cell reselection</w:t>
            </w:r>
            <w:r w:rsidR="004C62A2">
              <w:rPr>
                <w:rFonts w:eastAsia="SimSun"/>
                <w:bCs/>
                <w:lang w:eastAsia="zh-CN"/>
              </w:rPr>
              <w:t xml:space="preserve"> within an NTN system. From TS 38.300, “</w:t>
            </w:r>
            <w:r w:rsidR="004C62A2" w:rsidRPr="004C62A2">
              <w:rPr>
                <w:rFonts w:eastAsia="SimSun"/>
                <w:bCs/>
                <w:lang w:eastAsia="zh-CN"/>
              </w:rPr>
              <w:t>For a UE in Idle/Inactive mode it's up to UE implementation whether to perform NTN neighbour cell measurements on a cell indicated in SIB4 but not included in SIB19.</w:t>
            </w:r>
            <w:r w:rsidR="004C62A2">
              <w:rPr>
                <w:rFonts w:eastAsia="SimSun"/>
                <w:bCs/>
                <w:lang w:eastAsia="zh-CN"/>
              </w:rPr>
              <w:t>”</w:t>
            </w:r>
          </w:p>
        </w:tc>
      </w:tr>
    </w:tbl>
    <w:p w14:paraId="65E86B64" w14:textId="77777777" w:rsidR="00121E88" w:rsidRDefault="00121E88"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Idle mode procedure impacts for discontinuous coverage enhancements: RAN2 has already sent LS to SA2 on the discontinuous coverage enhancement solution defined in SA2 and any additional impacts for idle mode procedures to be considered in AS. For this issue RAN2 can await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lastRenderedPageBreak/>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36.304 ?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9FAC8AC" w14:textId="0583ABDD" w:rsidR="00164AE0"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75A98908" w14:textId="05945BDC" w:rsidR="00BE48F8" w:rsidRDefault="00BE48F8" w:rsidP="00BE48F8">
            <w:pPr>
              <w:spacing w:after="0"/>
              <w:jc w:val="center"/>
              <w:rPr>
                <w:rFonts w:eastAsia="SimSun"/>
                <w:bCs/>
                <w:lang w:eastAsia="zh-CN"/>
              </w:rPr>
            </w:pPr>
            <w:r>
              <w:rPr>
                <w:rFonts w:eastAsia="SimSun"/>
                <w:bCs/>
                <w:lang w:eastAsia="zh-CN"/>
              </w:rPr>
              <w:t>Yes to wait for SA2, no to only Stage 2 impact on freq info in SIB32</w:t>
            </w:r>
          </w:p>
        </w:tc>
        <w:tc>
          <w:tcPr>
            <w:tcW w:w="4547" w:type="dxa"/>
            <w:shd w:val="clear" w:color="auto" w:fill="auto"/>
          </w:tcPr>
          <w:p w14:paraId="03FAF62A" w14:textId="2794C44A" w:rsidR="00BE48F8" w:rsidRPr="00D41F8C" w:rsidRDefault="00BE48F8" w:rsidP="00BE48F8">
            <w:pPr>
              <w:spacing w:after="0"/>
              <w:jc w:val="center"/>
              <w:rPr>
                <w:rFonts w:eastAsia="SimSun"/>
                <w:bCs/>
                <w:lang w:eastAsia="zh-CN"/>
              </w:rPr>
            </w:pPr>
            <w:r>
              <w:rPr>
                <w:rFonts w:eastAsia="SimSun"/>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SimSun"/>
                <w:bCs/>
                <w:lang w:eastAsia="zh-CN"/>
              </w:rPr>
            </w:pPr>
            <w:r>
              <w:rPr>
                <w:rFonts w:eastAsia="SimSun"/>
                <w:bCs/>
                <w:lang w:eastAsia="zh-CN"/>
              </w:rPr>
              <w:t>Ericsson</w:t>
            </w:r>
          </w:p>
        </w:tc>
        <w:tc>
          <w:tcPr>
            <w:tcW w:w="2682" w:type="dxa"/>
          </w:tcPr>
          <w:p w14:paraId="3CD4551A" w14:textId="77777777" w:rsidR="004C62A2" w:rsidRDefault="004C62A2" w:rsidP="004C62A2">
            <w:pPr>
              <w:spacing w:after="0"/>
              <w:rPr>
                <w:rFonts w:eastAsia="SimSun"/>
                <w:bCs/>
                <w:lang w:eastAsia="zh-CN"/>
              </w:rPr>
            </w:pPr>
            <w:r>
              <w:rPr>
                <w:rFonts w:eastAsia="SimSun"/>
                <w:bCs/>
                <w:lang w:eastAsia="zh-CN"/>
              </w:rPr>
              <w:t>1</w:t>
            </w:r>
            <w:r w:rsidRPr="004C62A2">
              <w:rPr>
                <w:rFonts w:eastAsia="SimSun"/>
                <w:bCs/>
                <w:vertAlign w:val="superscript"/>
                <w:lang w:eastAsia="zh-CN"/>
              </w:rPr>
              <w:t>st</w:t>
            </w:r>
            <w:r>
              <w:rPr>
                <w:rFonts w:eastAsia="SimSun"/>
                <w:bCs/>
                <w:lang w:eastAsia="zh-CN"/>
              </w:rPr>
              <w:t xml:space="preserve"> OK</w:t>
            </w:r>
          </w:p>
          <w:p w14:paraId="11C59A63" w14:textId="591C572C" w:rsidR="004C62A2" w:rsidRDefault="004C62A2" w:rsidP="004C62A2">
            <w:pPr>
              <w:spacing w:after="0"/>
              <w:rPr>
                <w:rFonts w:eastAsia="SimSun"/>
                <w:bCs/>
                <w:lang w:eastAsia="zh-CN"/>
              </w:rPr>
            </w:pPr>
            <w:r>
              <w:rPr>
                <w:rFonts w:eastAsia="SimSun"/>
                <w:bCs/>
                <w:lang w:eastAsia="zh-CN"/>
              </w:rPr>
              <w:t>2</w:t>
            </w:r>
            <w:r w:rsidRPr="004C62A2">
              <w:rPr>
                <w:rFonts w:eastAsia="SimSun"/>
                <w:bCs/>
                <w:vertAlign w:val="superscript"/>
                <w:lang w:eastAsia="zh-CN"/>
              </w:rPr>
              <w:t>nd</w:t>
            </w:r>
            <w:r>
              <w:rPr>
                <w:rFonts w:eastAsia="SimSun"/>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SimSun"/>
                <w:bCs/>
                <w:lang w:eastAsia="zh-CN"/>
              </w:rPr>
            </w:pPr>
            <w:r>
              <w:rPr>
                <w:rFonts w:eastAsia="SimSun"/>
                <w:bCs/>
                <w:lang w:eastAsia="zh-CN"/>
              </w:rPr>
              <w:t>We see impact in TS 36.304.</w:t>
            </w: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854265E" w14:textId="29D21A2E" w:rsidR="00B808F4"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bl>
    <w:p w14:paraId="488E728A" w14:textId="74820801"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CE96" w14:textId="77777777" w:rsidR="00F0793C" w:rsidRDefault="00F0793C">
      <w:r>
        <w:separator/>
      </w:r>
    </w:p>
  </w:endnote>
  <w:endnote w:type="continuationSeparator" w:id="0">
    <w:p w14:paraId="0AAB7039" w14:textId="77777777" w:rsidR="00F0793C" w:rsidRDefault="00F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9EEE" w14:textId="77777777" w:rsidR="00F0793C" w:rsidRDefault="00F0793C">
      <w:r>
        <w:separator/>
      </w:r>
    </w:p>
  </w:footnote>
  <w:footnote w:type="continuationSeparator" w:id="0">
    <w:p w14:paraId="10D7A314" w14:textId="77777777" w:rsidR="00F0793C" w:rsidRDefault="00F0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088416">
    <w:abstractNumId w:val="20"/>
  </w:num>
  <w:num w:numId="2" w16cid:durableId="1842040915">
    <w:abstractNumId w:val="22"/>
  </w:num>
  <w:num w:numId="3" w16cid:durableId="1930187491">
    <w:abstractNumId w:val="35"/>
  </w:num>
  <w:num w:numId="4" w16cid:durableId="700059568">
    <w:abstractNumId w:val="7"/>
  </w:num>
  <w:num w:numId="5" w16cid:durableId="562495980">
    <w:abstractNumId w:val="2"/>
  </w:num>
  <w:num w:numId="6" w16cid:durableId="1577938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882189">
    <w:abstractNumId w:val="13"/>
  </w:num>
  <w:num w:numId="8" w16cid:durableId="155151962">
    <w:abstractNumId w:val="33"/>
  </w:num>
  <w:num w:numId="9" w16cid:durableId="1188643522">
    <w:abstractNumId w:val="28"/>
  </w:num>
  <w:num w:numId="10" w16cid:durableId="632446720">
    <w:abstractNumId w:val="25"/>
  </w:num>
  <w:num w:numId="11" w16cid:durableId="1756435894">
    <w:abstractNumId w:val="12"/>
  </w:num>
  <w:num w:numId="12" w16cid:durableId="593784567">
    <w:abstractNumId w:val="32"/>
  </w:num>
  <w:num w:numId="13" w16cid:durableId="567106664">
    <w:abstractNumId w:val="36"/>
  </w:num>
  <w:num w:numId="14" w16cid:durableId="426005598">
    <w:abstractNumId w:val="23"/>
  </w:num>
  <w:num w:numId="15" w16cid:durableId="49159486">
    <w:abstractNumId w:val="21"/>
  </w:num>
  <w:num w:numId="16" w16cid:durableId="209806420">
    <w:abstractNumId w:val="23"/>
  </w:num>
  <w:num w:numId="17" w16cid:durableId="1093163163">
    <w:abstractNumId w:val="8"/>
  </w:num>
  <w:num w:numId="18" w16cid:durableId="181091973">
    <w:abstractNumId w:val="9"/>
  </w:num>
  <w:num w:numId="19" w16cid:durableId="1565873877">
    <w:abstractNumId w:val="18"/>
  </w:num>
  <w:num w:numId="20" w16cid:durableId="668872894">
    <w:abstractNumId w:val="0"/>
  </w:num>
  <w:num w:numId="21" w16cid:durableId="278219016">
    <w:abstractNumId w:val="26"/>
  </w:num>
  <w:num w:numId="22" w16cid:durableId="1636838618">
    <w:abstractNumId w:val="6"/>
  </w:num>
  <w:num w:numId="23" w16cid:durableId="1579905497">
    <w:abstractNumId w:val="19"/>
  </w:num>
  <w:num w:numId="24" w16cid:durableId="859127314">
    <w:abstractNumId w:val="37"/>
  </w:num>
  <w:num w:numId="25" w16cid:durableId="1989631135">
    <w:abstractNumId w:val="29"/>
  </w:num>
  <w:num w:numId="26" w16cid:durableId="2019044029">
    <w:abstractNumId w:val="16"/>
  </w:num>
  <w:num w:numId="27" w16cid:durableId="538468168">
    <w:abstractNumId w:val="5"/>
  </w:num>
  <w:num w:numId="28" w16cid:durableId="1565528935">
    <w:abstractNumId w:val="3"/>
  </w:num>
  <w:num w:numId="29" w16cid:durableId="741560414">
    <w:abstractNumId w:val="27"/>
  </w:num>
  <w:num w:numId="30" w16cid:durableId="184485339">
    <w:abstractNumId w:val="31"/>
  </w:num>
  <w:num w:numId="31" w16cid:durableId="1242791881">
    <w:abstractNumId w:val="30"/>
  </w:num>
  <w:num w:numId="32" w16cid:durableId="1051609393">
    <w:abstractNumId w:val="4"/>
  </w:num>
  <w:num w:numId="33" w16cid:durableId="859928129">
    <w:abstractNumId w:val="24"/>
  </w:num>
  <w:num w:numId="34" w16cid:durableId="63113734">
    <w:abstractNumId w:val="10"/>
  </w:num>
  <w:num w:numId="35" w16cid:durableId="331879459">
    <w:abstractNumId w:val="10"/>
  </w:num>
  <w:num w:numId="36" w16cid:durableId="2095932024">
    <w:abstractNumId w:val="14"/>
  </w:num>
  <w:num w:numId="37" w16cid:durableId="299386452">
    <w:abstractNumId w:val="1"/>
  </w:num>
  <w:num w:numId="38" w16cid:durableId="149443422">
    <w:abstractNumId w:val="11"/>
  </w:num>
  <w:num w:numId="39" w16cid:durableId="1358193150">
    <w:abstractNumId w:val="34"/>
  </w:num>
  <w:num w:numId="40" w16cid:durableId="430244561">
    <w:abstractNumId w:val="17"/>
  </w:num>
  <w:num w:numId="41" w16cid:durableId="319970044">
    <w:abstractNumId w:val="15"/>
  </w:num>
  <w:num w:numId="42" w16cid:durableId="5999013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1AD6-83A5-4065-B381-F1DD84E3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28</TotalTime>
  <Pages>3</Pages>
  <Words>917</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 - Ignacio</cp:lastModifiedBy>
  <cp:revision>7</cp:revision>
  <cp:lastPrinted>2010-01-06T08:23:00Z</cp:lastPrinted>
  <dcterms:created xsi:type="dcterms:W3CDTF">2023-10-24T17:10:00Z</dcterms:created>
  <dcterms:modified xsi:type="dcterms:W3CDTF">2023-10-25T13:07:00Z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