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012"/>
        <w:gridCol w:w="2642"/>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BodyText"/>
              <w:keepNext/>
              <w:rPr>
                <w:bCs/>
                <w:lang w:val="en-US"/>
              </w:rPr>
            </w:pPr>
            <w:r>
              <w:rPr>
                <w:bCs/>
                <w:lang w:val="en-US"/>
              </w:rPr>
              <w:t>Huawei</w:t>
            </w:r>
          </w:p>
        </w:tc>
        <w:tc>
          <w:tcPr>
            <w:tcW w:w="4394" w:type="dxa"/>
          </w:tcPr>
          <w:p w14:paraId="4A62F768" w14:textId="18AF3F2E" w:rsidR="001D0701" w:rsidRDefault="001D0701" w:rsidP="00D45311">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BodyText"/>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BodyText"/>
              <w:keepNext/>
              <w:rPr>
                <w:bCs/>
                <w:lang w:val="en-US"/>
              </w:rPr>
            </w:pPr>
            <w:r>
              <w:rPr>
                <w:bCs/>
                <w:lang w:val="en-US"/>
              </w:rPr>
              <w:t xml:space="preserve">OK. </w:t>
            </w:r>
          </w:p>
          <w:p w14:paraId="1405CB50" w14:textId="68D39B1F" w:rsidR="00D45311" w:rsidRPr="00D45311" w:rsidRDefault="00C0357E" w:rsidP="00D45311">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BodyText"/>
              <w:keepNext/>
              <w:rPr>
                <w:bCs/>
                <w:lang w:val="en-US"/>
              </w:rPr>
            </w:pPr>
            <w:r>
              <w:rPr>
                <w:bCs/>
                <w:lang w:val="en-US"/>
              </w:rPr>
              <w:t>Xiaomi</w:t>
            </w:r>
          </w:p>
        </w:tc>
        <w:tc>
          <w:tcPr>
            <w:tcW w:w="4394" w:type="dxa"/>
          </w:tcPr>
          <w:p w14:paraId="4139A1CD" w14:textId="77777777" w:rsidR="00D45311" w:rsidRDefault="00187F24" w:rsidP="00D45311">
            <w:pPr>
              <w:pStyle w:val="BodyText"/>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D45311">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w:t>
            </w:r>
            <w:proofErr w:type="spellStart"/>
            <w:r>
              <w:rPr>
                <w:rFonts w:ascii="Helvetica Neue" w:eastAsia="SimSun" w:hAnsi="Helvetica Neue" w:cs="Helvetica Neue"/>
                <w:color w:val="000000"/>
                <w:sz w:val="26"/>
                <w:szCs w:val="26"/>
                <w:lang w:val="en-US" w:eastAsia="en-US"/>
              </w:rPr>
              <w:t>neede</w:t>
            </w:r>
            <w:proofErr w:type="spellEnd"/>
            <w:r>
              <w:rPr>
                <w:rFonts w:ascii="Helvetica Neue" w:eastAsia="SimSun"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BodyText"/>
              <w:keepNext/>
              <w:rPr>
                <w:bCs/>
                <w:lang w:val="en-US"/>
              </w:rPr>
            </w:pPr>
          </w:p>
        </w:tc>
        <w:tc>
          <w:tcPr>
            <w:tcW w:w="4191" w:type="dxa"/>
          </w:tcPr>
          <w:p w14:paraId="4A547B02" w14:textId="77777777" w:rsidR="00745DC1" w:rsidRDefault="00745DC1" w:rsidP="00D45311">
            <w:pPr>
              <w:pStyle w:val="BodyText"/>
              <w:keepNext/>
              <w:rPr>
                <w:bCs/>
                <w:lang w:val="en-US"/>
              </w:rPr>
            </w:pPr>
            <w:r>
              <w:rPr>
                <w:bCs/>
                <w:lang w:val="en-US"/>
              </w:rPr>
              <w:t>OK.</w:t>
            </w:r>
          </w:p>
          <w:p w14:paraId="00538745" w14:textId="0614513D" w:rsidR="00D45311" w:rsidRPr="00D45311" w:rsidRDefault="00745DC1" w:rsidP="00D45311">
            <w:pPr>
              <w:pStyle w:val="BodyText"/>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BodyText"/>
              <w:keepNext/>
              <w:rPr>
                <w:bCs/>
                <w:lang w:val="en-US"/>
              </w:rPr>
            </w:pPr>
            <w:r>
              <w:rPr>
                <w:bCs/>
                <w:lang w:val="en-US"/>
              </w:rPr>
              <w:t>BT2</w:t>
            </w:r>
          </w:p>
        </w:tc>
        <w:tc>
          <w:tcPr>
            <w:tcW w:w="4394" w:type="dxa"/>
          </w:tcPr>
          <w:p w14:paraId="63E93705" w14:textId="58278307" w:rsidR="00D45311" w:rsidRPr="00D45311" w:rsidRDefault="00745DC1" w:rsidP="00D45311">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SimSun" w:hAnsi="Helvetica Neue" w:cs="Helvetica Neue"/>
                <w:i/>
                <w:iCs/>
                <w:color w:val="000000"/>
                <w:sz w:val="26"/>
                <w:szCs w:val="26"/>
                <w:lang w:val="en-US" w:eastAsia="en-US"/>
              </w:rPr>
              <w:t>cellBarredNES</w:t>
            </w:r>
            <w:proofErr w:type="spellEnd"/>
            <w:r>
              <w:rPr>
                <w:rFonts w:ascii="Helvetica Neue" w:eastAsia="SimSun" w:hAnsi="Helvetica Neue" w:cs="Helvetica Neue"/>
                <w:color w:val="000000"/>
                <w:sz w:val="26"/>
                <w:szCs w:val="26"/>
                <w:lang w:val="en-US" w:eastAsia="en-US"/>
              </w:rPr>
              <w:t xml:space="preserve"> is not present, NES-capable UEs will follow </w:t>
            </w:r>
            <w:proofErr w:type="spellStart"/>
            <w:r>
              <w:rPr>
                <w:rFonts w:ascii="Helvetica Neue" w:eastAsia="SimSun" w:hAnsi="Helvetica Neue" w:cs="Helvetica Neue"/>
                <w:i/>
                <w:iCs/>
                <w:color w:val="000000"/>
                <w:sz w:val="26"/>
                <w:szCs w:val="26"/>
                <w:lang w:val="en-US" w:eastAsia="en-US"/>
              </w:rPr>
              <w:t>cellBarred</w:t>
            </w:r>
            <w:proofErr w:type="spellEnd"/>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BodyText"/>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4394" w:type="dxa"/>
          </w:tcPr>
          <w:p w14:paraId="25E3B140" w14:textId="2D2404EA" w:rsidR="008E553A" w:rsidRDefault="008E553A" w:rsidP="00D45311">
            <w:pPr>
              <w:pStyle w:val="BodyText"/>
              <w:keepNext/>
              <w:rPr>
                <w:bCs/>
                <w:lang w:val="en-US"/>
              </w:rPr>
            </w:pPr>
            <w:r>
              <w:rPr>
                <w:bCs/>
                <w:lang w:val="en-US"/>
              </w:rPr>
              <w:t xml:space="preserve">We understand the co-existence with other cell bar indicator should also be considered. A NES-capable UE may also support other features, </w:t>
            </w:r>
            <w:proofErr w:type="spellStart"/>
            <w:r>
              <w:rPr>
                <w:bCs/>
                <w:lang w:val="en-US"/>
              </w:rPr>
              <w:t>e,g</w:t>
            </w:r>
            <w:proofErr w:type="spell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sidR="0032113F">
              <w:rPr>
                <w:rFonts w:eastAsia="DengXian"/>
                <w:bCs/>
                <w:lang w:val="en-US"/>
              </w:rPr>
              <w:t>RedCap</w:t>
            </w:r>
            <w:proofErr w:type="spellEnd"/>
            <w:r w:rsidR="0032113F">
              <w:rPr>
                <w:rFonts w:eastAsia="DengXian"/>
                <w:bCs/>
                <w:lang w:val="en-US"/>
              </w:rPr>
              <w:t xml:space="preserve"> </w:t>
            </w:r>
            <w:r>
              <w:rPr>
                <w:rFonts w:eastAsia="DengXian"/>
                <w:bCs/>
                <w:lang w:val="en-US"/>
              </w:rPr>
              <w:t xml:space="preserve">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 xml:space="preserve">And we understand the same principle also applies when the </w:t>
            </w:r>
            <w:proofErr w:type="spellStart"/>
            <w:r>
              <w:rPr>
                <w:rFonts w:eastAsia="DengXian"/>
                <w:bCs/>
                <w:lang w:val="en-US"/>
              </w:rPr>
              <w:t>cellBarredNES</w:t>
            </w:r>
            <w:proofErr w:type="spellEnd"/>
            <w:r>
              <w:rPr>
                <w:rFonts w:eastAsia="DengXian"/>
                <w:bCs/>
                <w:lang w:val="en-US"/>
              </w:rPr>
              <w:t xml:space="preserve"> is introduce</w:t>
            </w:r>
            <w:r w:rsidR="0032113F">
              <w:rPr>
                <w:rFonts w:eastAsia="DengXian"/>
                <w:bCs/>
                <w:lang w:val="en-US"/>
              </w:rPr>
              <w:t>d and the expected interpretation for the following setting would be as follows (this is a screenshot  while the table is copied at the end of this document) :</w:t>
            </w:r>
          </w:p>
          <w:p w14:paraId="21ADD19A" w14:textId="77777777" w:rsidR="0032113F" w:rsidRDefault="0032113F" w:rsidP="008E553A">
            <w:pPr>
              <w:pStyle w:val="BodyText"/>
              <w:keepNext/>
              <w:rPr>
                <w:rFonts w:eastAsia="DengXian"/>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4BF8EC8C" w14:textId="77777777" w:rsidR="0032113F" w:rsidRDefault="0032113F" w:rsidP="008E553A">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8E553A">
            <w:pPr>
              <w:pStyle w:val="BodyText"/>
              <w:keepNext/>
              <w:rPr>
                <w:rFonts w:eastAsia="DengXian"/>
                <w:bCs/>
                <w:lang w:val="en-US"/>
              </w:rPr>
            </w:pPr>
          </w:p>
        </w:tc>
        <w:tc>
          <w:tcPr>
            <w:tcW w:w="4191" w:type="dxa"/>
          </w:tcPr>
          <w:p w14:paraId="2C2539B9" w14:textId="77777777" w:rsidR="002512A2" w:rsidRDefault="002512A2" w:rsidP="002512A2">
            <w:pPr>
              <w:pStyle w:val="BodyText"/>
              <w:keepNext/>
              <w:rPr>
                <w:bCs/>
                <w:lang w:val="en-US"/>
              </w:rPr>
            </w:pPr>
            <w:r w:rsidRPr="00745DC1">
              <w:rPr>
                <w:bCs/>
                <w:lang w:val="en-US"/>
              </w:rPr>
              <w:t>Disagree</w:t>
            </w:r>
            <w:r>
              <w:rPr>
                <w:bCs/>
                <w:lang w:val="en-US"/>
              </w:rPr>
              <w:t>.</w:t>
            </w:r>
          </w:p>
          <w:p w14:paraId="6C465A2E" w14:textId="2AD8E2DD" w:rsidR="002512A2" w:rsidRDefault="002512A2" w:rsidP="00D45311">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2512A2">
            <w:pPr>
              <w:pStyle w:val="BodyText"/>
              <w:keepNext/>
              <w:numPr>
                <w:ilvl w:val="0"/>
                <w:numId w:val="19"/>
              </w:numPr>
              <w:rPr>
                <w:bCs/>
                <w:iCs/>
                <w:lang w:val="en-US"/>
              </w:rPr>
            </w:pPr>
            <w:r>
              <w:rPr>
                <w:bCs/>
                <w:iCs/>
                <w:lang w:val="en-US"/>
              </w:rPr>
              <w:t>Whether NES UE can also support Redcap (or other technique with barring bit, e.g. NTN) should be discussed in RAN2.</w:t>
            </w:r>
          </w:p>
          <w:p w14:paraId="00720B99" w14:textId="4B59FB81" w:rsidR="00D45311" w:rsidRDefault="002512A2" w:rsidP="002512A2">
            <w:pPr>
              <w:pStyle w:val="BodyText"/>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2512A2">
            <w:pPr>
              <w:pStyle w:val="BodyText"/>
              <w:keepNext/>
              <w:rPr>
                <w:bCs/>
                <w:iCs/>
                <w:lang w:val="en-US"/>
              </w:rPr>
            </w:pPr>
          </w:p>
          <w:p w14:paraId="0AE778D1" w14:textId="77777777" w:rsidR="002512A2" w:rsidRDefault="002512A2" w:rsidP="002512A2">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2512A2">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2512A2">
            <w:pPr>
              <w:pStyle w:val="BodyText"/>
              <w:keepNext/>
              <w:rPr>
                <w:i/>
                <w:iCs/>
              </w:rPr>
            </w:pPr>
          </w:p>
          <w:p w14:paraId="0CC2FCF1" w14:textId="241298BC" w:rsidR="002512A2" w:rsidRPr="002512A2" w:rsidRDefault="002512A2" w:rsidP="002512A2">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B84554">
        <w:trPr>
          <w:trHeight w:val="127"/>
        </w:trPr>
        <w:tc>
          <w:tcPr>
            <w:tcW w:w="1271" w:type="dxa"/>
            <w:shd w:val="clear" w:color="auto" w:fill="auto"/>
          </w:tcPr>
          <w:p w14:paraId="3B0A23A7" w14:textId="727E6904" w:rsidR="00D45311" w:rsidRPr="00D45311" w:rsidRDefault="0044158B" w:rsidP="00D45311">
            <w:pPr>
              <w:pStyle w:val="BodyText"/>
              <w:keepNext/>
              <w:rPr>
                <w:bCs/>
                <w:lang w:val="en-US"/>
              </w:rPr>
            </w:pPr>
            <w:r>
              <w:rPr>
                <w:bCs/>
                <w:lang w:val="en-US"/>
              </w:rPr>
              <w:lastRenderedPageBreak/>
              <w:t>Nokia</w:t>
            </w:r>
          </w:p>
        </w:tc>
        <w:tc>
          <w:tcPr>
            <w:tcW w:w="4394" w:type="dxa"/>
          </w:tcPr>
          <w:p w14:paraId="19B33F2D" w14:textId="77777777" w:rsidR="00D45311" w:rsidRDefault="0044158B" w:rsidP="00D45311">
            <w:pPr>
              <w:pStyle w:val="BodyText"/>
              <w:keepNext/>
              <w:rPr>
                <w:bCs/>
                <w:lang w:val="en-US"/>
              </w:rPr>
            </w:pPr>
            <w:r>
              <w:rPr>
                <w:bCs/>
                <w:lang w:val="en-US"/>
              </w:rPr>
              <w:t xml:space="preserve">Looks rather fine as is but probably it is best to capture “NES capable” as </w:t>
            </w:r>
            <w:proofErr w:type="spellStart"/>
            <w:r>
              <w:rPr>
                <w:bCs/>
                <w:lang w:val="en-US"/>
              </w:rPr>
              <w:t>Editors</w:t>
            </w:r>
            <w:proofErr w:type="spellEnd"/>
            <w:r>
              <w:rPr>
                <w:bCs/>
                <w:lang w:val="en-US"/>
              </w:rPr>
              <w:t xml:space="preserve"> Note FFS until we know details of what does that mean.</w:t>
            </w:r>
          </w:p>
          <w:p w14:paraId="600405A2" w14:textId="77777777" w:rsidR="0044158B" w:rsidRDefault="0044158B" w:rsidP="00D45311">
            <w:pPr>
              <w:pStyle w:val="BodyText"/>
              <w:keepNext/>
              <w:rPr>
                <w:bCs/>
                <w:lang w:val="en-US"/>
              </w:rPr>
            </w:pPr>
          </w:p>
          <w:p w14:paraId="5743CE7D" w14:textId="77AB8411" w:rsidR="002D0418" w:rsidRPr="002D0418" w:rsidRDefault="0044158B" w:rsidP="00D45311">
            <w:pPr>
              <w:pStyle w:val="BodyText"/>
              <w:keepNext/>
              <w:rPr>
                <w:bCs/>
                <w:u w:val="single"/>
                <w:lang w:val="en-US"/>
              </w:rPr>
            </w:pPr>
            <w:r>
              <w:rPr>
                <w:bCs/>
                <w:lang w:val="en-US"/>
              </w:rPr>
              <w:t xml:space="preserve">Regarding v4 details: </w:t>
            </w:r>
            <w:r w:rsidR="002D0418">
              <w:rPr>
                <w:bCs/>
                <w:lang w:val="en-US"/>
              </w:rPr>
              <w:t xml:space="preserve">Regarding the added bullet regarding “when </w:t>
            </w:r>
            <w:proofErr w:type="spellStart"/>
            <w:r w:rsidR="002D0418">
              <w:rPr>
                <w:bCs/>
                <w:i/>
                <w:iCs/>
                <w:lang w:val="en-US"/>
              </w:rPr>
              <w:t>cellBarreNES</w:t>
            </w:r>
            <w:proofErr w:type="spellEnd"/>
            <w:r w:rsidR="002D0418">
              <w:rPr>
                <w:bCs/>
                <w:i/>
                <w:iCs/>
                <w:lang w:val="en-US"/>
              </w:rPr>
              <w:t xml:space="preserve"> </w:t>
            </w:r>
            <w:r w:rsidR="002D0418">
              <w:rPr>
                <w:bCs/>
                <w:lang w:val="en-US"/>
              </w:rPr>
              <w:t xml:space="preserve">is not broadcast in the cell,” and sub-bullets is not clear. In fact now if one reads the specification NES capable UE will bar the cell always if MIB </w:t>
            </w:r>
            <w:proofErr w:type="spellStart"/>
            <w:r w:rsidR="002D0418">
              <w:rPr>
                <w:bCs/>
                <w:lang w:val="en-US"/>
              </w:rPr>
              <w:t>cellBarred</w:t>
            </w:r>
            <w:proofErr w:type="spellEnd"/>
            <w:r w:rsidR="002D0418">
              <w:rPr>
                <w:bCs/>
                <w:lang w:val="en-US"/>
              </w:rPr>
              <w:t xml:space="preserve"> is present. as that is the first bullet and there is nothing about UE ignoring legacy barring if NES barring is present. Thus in fact it would be better to remove those two bullets and add ignoring text in the </w:t>
            </w:r>
            <w:proofErr w:type="spellStart"/>
            <w:r w:rsidR="002D0418">
              <w:rPr>
                <w:bCs/>
                <w:i/>
                <w:iCs/>
                <w:lang w:val="en-US"/>
              </w:rPr>
              <w:t>cellBarred</w:t>
            </w:r>
            <w:proofErr w:type="spellEnd"/>
            <w:r w:rsidR="002D0418">
              <w:rPr>
                <w:bCs/>
                <w:i/>
                <w:iCs/>
                <w:lang w:val="en-US"/>
              </w:rPr>
              <w:t xml:space="preserve"> </w:t>
            </w:r>
            <w:r w:rsidR="002D0418">
              <w:rPr>
                <w:bCs/>
                <w:lang w:val="en-US"/>
              </w:rPr>
              <w:t>bullet e.g.(additions in yellow):</w:t>
            </w:r>
          </w:p>
          <w:p w14:paraId="577E7D1E" w14:textId="2ACAAA87" w:rsidR="0044158B" w:rsidRDefault="002D0418" w:rsidP="00D45311">
            <w:pPr>
              <w:pStyle w:val="BodyText"/>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is included in SIB1. </w:t>
            </w:r>
            <w:r w:rsidRPr="002D0418">
              <w:rPr>
                <w:highlight w:val="yellow"/>
              </w:rPr>
              <w:t xml:space="preserve">This field is ignored by </w:t>
            </w:r>
            <w:r>
              <w:rPr>
                <w:highlight w:val="yellow"/>
              </w:rPr>
              <w:t xml:space="preserve">NES capable </w:t>
            </w:r>
            <w:r w:rsidRPr="002D0418">
              <w:rPr>
                <w:highlight w:val="yellow"/>
              </w:rPr>
              <w:t xml:space="preserve">UEs while </w:t>
            </w:r>
            <w:proofErr w:type="spellStart"/>
            <w:r w:rsidRPr="002D0418">
              <w:rPr>
                <w:i/>
                <w:highlight w:val="yellow"/>
              </w:rPr>
              <w:t>cellBarredN</w:t>
            </w:r>
            <w:r>
              <w:rPr>
                <w:i/>
                <w:highlight w:val="yellow"/>
              </w:rPr>
              <w:t>ES</w:t>
            </w:r>
            <w:proofErr w:type="spellEnd"/>
            <w:r w:rsidRPr="002D0418">
              <w:rPr>
                <w:highlight w:val="yellow"/>
              </w:rPr>
              <w:t xml:space="preserve"> is included in SIB1</w:t>
            </w:r>
            <w:r w:rsidRPr="00426903">
              <w:t>.</w:t>
            </w:r>
          </w:p>
          <w:p w14:paraId="0F06824E" w14:textId="7B75F9C5" w:rsidR="0044158B" w:rsidRPr="00D45311" w:rsidRDefault="0044158B" w:rsidP="00D45311">
            <w:pPr>
              <w:pStyle w:val="BodyText"/>
              <w:keepNext/>
              <w:rPr>
                <w:bCs/>
                <w:lang w:val="en-US"/>
              </w:rPr>
            </w:pPr>
          </w:p>
        </w:tc>
        <w:tc>
          <w:tcPr>
            <w:tcW w:w="4191" w:type="dxa"/>
          </w:tcPr>
          <w:p w14:paraId="502B1F12" w14:textId="48965547" w:rsidR="0037114C" w:rsidRDefault="0037114C" w:rsidP="0037114C">
            <w:pPr>
              <w:pStyle w:val="BodyText"/>
              <w:keepNext/>
              <w:jc w:val="left"/>
              <w:rPr>
                <w:bCs/>
                <w:lang w:val="en-US"/>
              </w:rPr>
            </w:pPr>
            <w:r>
              <w:rPr>
                <w:bCs/>
                <w:lang w:val="en-US"/>
              </w:rPr>
              <w:t>1. In CR-v3, we have captured such EN at end of this section :)</w:t>
            </w:r>
          </w:p>
          <w:p w14:paraId="049D898E" w14:textId="77777777" w:rsidR="0037114C" w:rsidRPr="00426903" w:rsidRDefault="0037114C" w:rsidP="0037114C">
            <w:pPr>
              <w:pStyle w:val="NO"/>
            </w:pPr>
            <w:r>
              <w:rPr>
                <w:iCs/>
              </w:rPr>
              <w:t>Editor Note: FFS how to define "NES-capable UE".</w:t>
            </w:r>
          </w:p>
          <w:p w14:paraId="413116F6" w14:textId="18E0496E" w:rsidR="0037114C" w:rsidRDefault="0037114C" w:rsidP="00D45311">
            <w:pPr>
              <w:pStyle w:val="BodyText"/>
              <w:keepNext/>
              <w:rPr>
                <w:bCs/>
                <w:lang w:val="en-US"/>
              </w:rPr>
            </w:pPr>
            <w:r>
              <w:rPr>
                <w:bCs/>
                <w:lang w:val="en-US"/>
              </w:rPr>
              <w:t xml:space="preserve"> 2. The normal UE behavior should be: first read MIB for </w:t>
            </w:r>
            <w:proofErr w:type="spellStart"/>
            <w:r w:rsidRPr="0037114C">
              <w:rPr>
                <w:bCs/>
                <w:i/>
                <w:iCs/>
                <w:lang w:val="en-US"/>
              </w:rPr>
              <w:t>cellBarred</w:t>
            </w:r>
            <w:proofErr w:type="spellEnd"/>
            <w:r>
              <w:rPr>
                <w:bCs/>
                <w:i/>
                <w:iCs/>
                <w:lang w:val="en-US"/>
              </w:rPr>
              <w:t xml:space="preserve"> </w:t>
            </w:r>
            <w:r w:rsidRPr="0037114C">
              <w:rPr>
                <w:bCs/>
                <w:lang w:val="en-US"/>
              </w:rPr>
              <w:t>and then</w:t>
            </w:r>
            <w:r>
              <w:rPr>
                <w:bCs/>
                <w:i/>
                <w:iCs/>
                <w:lang w:val="en-US"/>
              </w:rPr>
              <w:t xml:space="preserve"> </w:t>
            </w:r>
            <w:r>
              <w:rPr>
                <w:bCs/>
                <w:lang w:val="en-US"/>
              </w:rPr>
              <w:t xml:space="preserve">read SIB1 for </w:t>
            </w:r>
            <w:proofErr w:type="spellStart"/>
            <w:r w:rsidRPr="0037114C">
              <w:rPr>
                <w:bCs/>
                <w:i/>
                <w:iCs/>
                <w:lang w:val="en-US"/>
              </w:rPr>
              <w:t>cell</w:t>
            </w:r>
            <w:r>
              <w:rPr>
                <w:bCs/>
                <w:i/>
                <w:iCs/>
                <w:lang w:val="en-US"/>
              </w:rPr>
              <w:t>Barred</w:t>
            </w:r>
            <w:r w:rsidRPr="0037114C">
              <w:rPr>
                <w:bCs/>
                <w:i/>
                <w:iCs/>
                <w:lang w:val="en-US"/>
              </w:rPr>
              <w:t>NES</w:t>
            </w:r>
            <w:proofErr w:type="spellEnd"/>
            <w:r>
              <w:rPr>
                <w:bCs/>
                <w:i/>
                <w:iCs/>
                <w:lang w:val="en-US"/>
              </w:rPr>
              <w:t>.</w:t>
            </w:r>
          </w:p>
          <w:p w14:paraId="31FCE43E" w14:textId="0E6707E5" w:rsidR="0037114C" w:rsidRDefault="0037114C" w:rsidP="0037114C">
            <w:pPr>
              <w:pStyle w:val="BodyText"/>
              <w:keepNext/>
              <w:jc w:val="left"/>
              <w:rPr>
                <w:bCs/>
                <w:lang w:val="en-US"/>
              </w:rPr>
            </w:pPr>
            <w:r>
              <w:rPr>
                <w:bCs/>
                <w:lang w:val="en-US"/>
              </w:rPr>
              <w:t>However, I think t</w:t>
            </w:r>
            <w:r>
              <w:rPr>
                <w:rFonts w:hint="eastAsia"/>
                <w:bCs/>
                <w:lang w:val="en-US"/>
              </w:rPr>
              <w:t>h</w:t>
            </w:r>
            <w:r>
              <w:rPr>
                <w:bCs/>
                <w:lang w:val="en-US"/>
              </w:rPr>
              <w:t>e suggested text seems to impl</w:t>
            </w:r>
            <w:r w:rsidR="00C1137F">
              <w:rPr>
                <w:bCs/>
                <w:lang w:val="en-US"/>
              </w:rPr>
              <w:t>y</w:t>
            </w:r>
            <w:r>
              <w:rPr>
                <w:bCs/>
                <w:lang w:val="en-US"/>
              </w:rPr>
              <w:t xml:space="preserve"> the UE behavior will be changed to: first </w:t>
            </w:r>
            <w:r>
              <w:rPr>
                <w:bCs/>
                <w:lang w:val="en-US"/>
              </w:rPr>
              <w:t xml:space="preserve">read SIB1 for </w:t>
            </w:r>
            <w:proofErr w:type="spellStart"/>
            <w:r w:rsidRPr="0037114C">
              <w:rPr>
                <w:bCs/>
                <w:i/>
                <w:iCs/>
                <w:lang w:val="en-US"/>
              </w:rPr>
              <w:t>cell</w:t>
            </w:r>
            <w:r>
              <w:rPr>
                <w:bCs/>
                <w:i/>
                <w:iCs/>
                <w:lang w:val="en-US"/>
              </w:rPr>
              <w:t>Barred</w:t>
            </w:r>
            <w:r w:rsidRPr="0037114C">
              <w:rPr>
                <w:bCs/>
                <w:i/>
                <w:iCs/>
                <w:lang w:val="en-US"/>
              </w:rPr>
              <w:t>NES</w:t>
            </w:r>
            <w:proofErr w:type="spellEnd"/>
            <w:r>
              <w:rPr>
                <w:bCs/>
                <w:i/>
                <w:iCs/>
                <w:lang w:val="en-US"/>
              </w:rPr>
              <w:t xml:space="preserve">, and then </w:t>
            </w:r>
            <w:r>
              <w:rPr>
                <w:bCs/>
                <w:lang w:val="en-US"/>
              </w:rPr>
              <w:t xml:space="preserve">read MIB for </w:t>
            </w:r>
            <w:proofErr w:type="spellStart"/>
            <w:r w:rsidRPr="0037114C">
              <w:rPr>
                <w:bCs/>
                <w:i/>
                <w:iCs/>
                <w:lang w:val="en-US"/>
              </w:rPr>
              <w:t>cellBarred</w:t>
            </w:r>
            <w:proofErr w:type="spellEnd"/>
            <w:r>
              <w:rPr>
                <w:bCs/>
                <w:i/>
                <w:iCs/>
                <w:lang w:val="en-US"/>
              </w:rPr>
              <w:t xml:space="preserve"> </w:t>
            </w:r>
          </w:p>
          <w:p w14:paraId="0EA0F996" w14:textId="4CCDF259" w:rsidR="0037114C" w:rsidRDefault="0037114C" w:rsidP="0037114C">
            <w:pPr>
              <w:pStyle w:val="BodyText"/>
              <w:keepNext/>
              <w:jc w:val="left"/>
              <w:rPr>
                <w:bCs/>
                <w:lang w:val="en-US"/>
              </w:rPr>
            </w:pPr>
            <w:r>
              <w:rPr>
                <w:bCs/>
                <w:lang w:val="en-US"/>
              </w:rPr>
              <w:t xml:space="preserve">or </w:t>
            </w:r>
            <w:r>
              <w:rPr>
                <w:bCs/>
                <w:lang w:val="en-US"/>
              </w:rPr>
              <w:t xml:space="preserve">first read MIB for </w:t>
            </w:r>
            <w:proofErr w:type="spellStart"/>
            <w:r w:rsidRPr="0037114C">
              <w:rPr>
                <w:bCs/>
                <w:i/>
                <w:iCs/>
                <w:lang w:val="en-US"/>
              </w:rPr>
              <w:t>cellBarred</w:t>
            </w:r>
            <w:proofErr w:type="spellEnd"/>
            <w:r>
              <w:rPr>
                <w:bCs/>
                <w:i/>
                <w:iCs/>
                <w:lang w:val="en-US"/>
              </w:rPr>
              <w:t xml:space="preserve"> </w:t>
            </w:r>
            <w:r w:rsidRPr="0037114C">
              <w:rPr>
                <w:bCs/>
                <w:lang w:val="en-US"/>
              </w:rPr>
              <w:t xml:space="preserve">but just store (not apply), then </w:t>
            </w:r>
            <w:r w:rsidRPr="0037114C">
              <w:rPr>
                <w:bCs/>
                <w:lang w:val="en-US"/>
              </w:rPr>
              <w:t xml:space="preserve">read SIB1 for </w:t>
            </w:r>
            <w:proofErr w:type="spellStart"/>
            <w:r w:rsidRPr="0037114C">
              <w:rPr>
                <w:bCs/>
                <w:i/>
                <w:iCs/>
                <w:lang w:val="en-US"/>
              </w:rPr>
              <w:t>cellBarredNES</w:t>
            </w:r>
            <w:proofErr w:type="spellEnd"/>
            <w:r w:rsidRPr="0037114C">
              <w:rPr>
                <w:bCs/>
                <w:lang w:val="en-US"/>
              </w:rPr>
              <w:t xml:space="preserve">, and finally decide whether to apply </w:t>
            </w:r>
            <w:proofErr w:type="spellStart"/>
            <w:r w:rsidRPr="0037114C">
              <w:rPr>
                <w:bCs/>
                <w:i/>
                <w:iCs/>
                <w:lang w:val="en-US"/>
              </w:rPr>
              <w:t>cellBarred</w:t>
            </w:r>
            <w:proofErr w:type="spellEnd"/>
            <w:r w:rsidRPr="0037114C">
              <w:rPr>
                <w:bCs/>
                <w:lang w:val="en-US"/>
              </w:rPr>
              <w:t xml:space="preserve"> or not</w:t>
            </w:r>
            <w:r>
              <w:rPr>
                <w:bCs/>
                <w:lang w:val="en-US"/>
              </w:rPr>
              <w:t>.</w:t>
            </w:r>
          </w:p>
          <w:p w14:paraId="5991C3D5" w14:textId="77777777" w:rsidR="0037114C" w:rsidRDefault="0037114C" w:rsidP="00D45311">
            <w:pPr>
              <w:pStyle w:val="BodyText"/>
              <w:keepNext/>
              <w:rPr>
                <w:bCs/>
                <w:lang w:val="en-US"/>
              </w:rPr>
            </w:pPr>
          </w:p>
          <w:p w14:paraId="07C1AC80" w14:textId="27AC8F40" w:rsidR="0037114C" w:rsidRPr="00D45311" w:rsidRDefault="00F67430" w:rsidP="00D45311">
            <w:pPr>
              <w:pStyle w:val="BodyText"/>
              <w:keepNext/>
              <w:rPr>
                <w:bCs/>
                <w:lang w:val="en-US"/>
              </w:rPr>
            </w:pPr>
            <w:r>
              <w:rPr>
                <w:bCs/>
                <w:lang w:val="en-US"/>
              </w:rPr>
              <w:t xml:space="preserve">So, </w:t>
            </w:r>
            <w:r w:rsidR="0037114C">
              <w:rPr>
                <w:bCs/>
                <w:lang w:val="en-US"/>
              </w:rPr>
              <w:t>Rapporteur would like to hear more company view.</w:t>
            </w:r>
          </w:p>
        </w:tc>
      </w:tr>
      <w:tr w:rsidR="0032113F" w:rsidRPr="00D45311" w14:paraId="3D2B083B" w14:textId="77777777" w:rsidTr="00B84554">
        <w:trPr>
          <w:trHeight w:val="127"/>
        </w:trPr>
        <w:tc>
          <w:tcPr>
            <w:tcW w:w="1271" w:type="dxa"/>
            <w:shd w:val="clear" w:color="auto" w:fill="auto"/>
          </w:tcPr>
          <w:p w14:paraId="1A7517C2" w14:textId="1C96A940" w:rsidR="00D45311" w:rsidRPr="00D45311" w:rsidRDefault="00714321" w:rsidP="00D45311">
            <w:pPr>
              <w:pStyle w:val="BodyText"/>
              <w:keepNext/>
              <w:rPr>
                <w:bCs/>
                <w:lang w:val="en-US"/>
              </w:rPr>
            </w:pPr>
            <w:r>
              <w:rPr>
                <w:bCs/>
                <w:lang w:val="en-US"/>
              </w:rPr>
              <w:t>Qualcomm</w:t>
            </w:r>
          </w:p>
        </w:tc>
        <w:tc>
          <w:tcPr>
            <w:tcW w:w="4394" w:type="dxa"/>
          </w:tcPr>
          <w:p w14:paraId="2D6D15B5" w14:textId="0030C23E" w:rsidR="00C968AD" w:rsidRDefault="00C968AD" w:rsidP="00D45311">
            <w:pPr>
              <w:pStyle w:val="BodyText"/>
              <w:keepNext/>
              <w:rPr>
                <w:bCs/>
                <w:lang w:val="en-US"/>
              </w:rPr>
            </w:pPr>
            <w:r>
              <w:rPr>
                <w:bCs/>
                <w:lang w:val="en-US"/>
              </w:rPr>
              <w:t xml:space="preserve">For the </w:t>
            </w:r>
            <w:proofErr w:type="spellStart"/>
            <w:r w:rsidRPr="00C968AD">
              <w:rPr>
                <w:rFonts w:ascii="Times New Roman" w:hAnsi="Times New Roman"/>
                <w:bCs/>
                <w:i/>
                <w:iCs/>
                <w:lang w:val="en-US"/>
              </w:rPr>
              <w:t>CellBarredNES</w:t>
            </w:r>
            <w:proofErr w:type="spellEnd"/>
            <w:r>
              <w:rPr>
                <w:bCs/>
                <w:lang w:val="en-US"/>
              </w:rPr>
              <w:t xml:space="preserve"> to be checked and the new behavior to apply, The MIB </w:t>
            </w:r>
            <w:proofErr w:type="spellStart"/>
            <w:r w:rsidRPr="00C968AD">
              <w:rPr>
                <w:rFonts w:ascii="Times New Roman" w:hAnsi="Times New Roman"/>
                <w:bCs/>
                <w:i/>
                <w:iCs/>
                <w:lang w:val="en-US"/>
              </w:rPr>
              <w:t>cellBarred</w:t>
            </w:r>
            <w:proofErr w:type="spellEnd"/>
            <w:r>
              <w:rPr>
                <w:bCs/>
                <w:lang w:val="en-US"/>
              </w:rPr>
              <w:t xml:space="preserve"> field has to be indicated as “barred”, otherwise checking the condition is not necessary for the </w:t>
            </w:r>
            <w:proofErr w:type="spellStart"/>
            <w:r>
              <w:rPr>
                <w:bCs/>
                <w:lang w:val="en-US"/>
              </w:rPr>
              <w:t>UEand</w:t>
            </w:r>
            <w:proofErr w:type="spellEnd"/>
            <w:r>
              <w:rPr>
                <w:bCs/>
                <w:lang w:val="en-US"/>
              </w:rPr>
              <w:t xml:space="preserve"> there is a possible error case, so we think the condition should be:</w:t>
            </w:r>
          </w:p>
          <w:p w14:paraId="18F88CE9" w14:textId="77777777" w:rsidR="00C968AD" w:rsidRPr="00C968AD" w:rsidRDefault="00C968AD" w:rsidP="00C968AD">
            <w:pPr>
              <w:pStyle w:val="BodyText"/>
              <w:keepNext/>
              <w:numPr>
                <w:ilvl w:val="0"/>
                <w:numId w:val="20"/>
              </w:numPr>
              <w:rPr>
                <w:rFonts w:ascii="Times New Roman" w:hAnsi="Times New Roman"/>
                <w:bCs/>
                <w:lang w:val="en-US"/>
              </w:rPr>
            </w:pPr>
            <w:proofErr w:type="spellStart"/>
            <w:r w:rsidRPr="00C968AD">
              <w:rPr>
                <w:rFonts w:ascii="Times New Roman" w:hAnsi="Times New Roman"/>
                <w:bCs/>
                <w:i/>
              </w:rPr>
              <w:t>cellBarredNES</w:t>
            </w:r>
            <w:proofErr w:type="spellEnd"/>
            <w:r w:rsidRPr="00C968AD">
              <w:rPr>
                <w:rFonts w:ascii="Times New Roman" w:hAnsi="Times New Roman"/>
              </w:rPr>
              <w:t xml:space="preserve"> (IE type: "barred" or "not barred")</w:t>
            </w:r>
            <w:r w:rsidRPr="00C968AD">
              <w:rPr>
                <w:rFonts w:ascii="Times New Roman" w:hAnsi="Times New Roman"/>
              </w:rPr>
              <w:br/>
              <w:t xml:space="preserve">Indicated in </w:t>
            </w:r>
            <w:r w:rsidRPr="00C968AD">
              <w:rPr>
                <w:rFonts w:ascii="Times New Roman" w:hAnsi="Times New Roman"/>
                <w:i/>
              </w:rPr>
              <w:t>SIB1</w:t>
            </w:r>
            <w:r w:rsidRPr="00C968AD">
              <w:rPr>
                <w:rFonts w:ascii="Times New Roman" w:hAnsi="Times New Roman"/>
              </w:rPr>
              <w:t xml:space="preserve"> message. In case of multiple PLMNs or NPNs indicated in </w:t>
            </w:r>
            <w:r w:rsidRPr="00C968AD">
              <w:rPr>
                <w:rFonts w:ascii="Times New Roman" w:hAnsi="Times New Roman"/>
                <w:i/>
              </w:rPr>
              <w:t>SIB1</w:t>
            </w:r>
            <w:r w:rsidRPr="00C968AD">
              <w:rPr>
                <w:rFonts w:ascii="Times New Roman" w:hAnsi="Times New Roman"/>
              </w:rPr>
              <w:t>, this field is common for all PLMNs and NPNs. This field is only applicable to NES-capable UEs.</w:t>
            </w:r>
            <w:r>
              <w:rPr>
                <w:rFonts w:ascii="Times New Roman" w:hAnsi="Times New Roman"/>
              </w:rPr>
              <w:t xml:space="preserve"> </w:t>
            </w:r>
            <w:r w:rsidRPr="00C968AD">
              <w:rPr>
                <w:rFonts w:ascii="Times New Roman" w:hAnsi="Times New Roman"/>
                <w:color w:val="00B0F0"/>
                <w:u w:val="single"/>
              </w:rPr>
              <w:t xml:space="preserve">This field is ignored if </w:t>
            </w:r>
            <w:r>
              <w:rPr>
                <w:rFonts w:ascii="Times New Roman" w:hAnsi="Times New Roman"/>
                <w:color w:val="00B0F0"/>
                <w:u w:val="single"/>
              </w:rPr>
              <w:t>c</w:t>
            </w:r>
            <w:r w:rsidRPr="00C968AD">
              <w:rPr>
                <w:rFonts w:ascii="Times New Roman" w:hAnsi="Times New Roman"/>
                <w:i/>
                <w:iCs/>
                <w:color w:val="00B0F0"/>
                <w:u w:val="single"/>
              </w:rPr>
              <w:t>ellBarred</w:t>
            </w:r>
            <w:r w:rsidRPr="00C968AD">
              <w:rPr>
                <w:rFonts w:ascii="Times New Roman" w:hAnsi="Times New Roman"/>
                <w:color w:val="00B0F0"/>
                <w:u w:val="single"/>
              </w:rPr>
              <w:t xml:space="preserve"> is indicated as ‘not barred’</w:t>
            </w:r>
            <w:r>
              <w:rPr>
                <w:rFonts w:ascii="Times New Roman" w:hAnsi="Times New Roman"/>
              </w:rPr>
              <w:t>.</w:t>
            </w:r>
          </w:p>
          <w:p w14:paraId="191D3868" w14:textId="6828350F" w:rsidR="00D45311" w:rsidRPr="00C968AD" w:rsidRDefault="00C968AD" w:rsidP="00C968AD">
            <w:pPr>
              <w:pStyle w:val="BodyText"/>
              <w:keepNext/>
              <w:rPr>
                <w:rFonts w:ascii="Times New Roman" w:hAnsi="Times New Roman"/>
                <w:bCs/>
                <w:lang w:val="en-US"/>
              </w:rPr>
            </w:pPr>
            <w:r>
              <w:rPr>
                <w:rFonts w:cs="Arial"/>
                <w:bCs/>
                <w:iCs/>
              </w:rPr>
              <w:t xml:space="preserve">This also helps with simplifying camping rules for NES-capable UEs as </w:t>
            </w:r>
            <w:r w:rsidR="00510E9E">
              <w:rPr>
                <w:rFonts w:cs="Arial"/>
                <w:bCs/>
                <w:iCs/>
              </w:rPr>
              <w:t xml:space="preserve">a cell that is not barred in MIB does not need further rules checking. </w:t>
            </w:r>
            <w:r w:rsidRPr="00C968AD">
              <w:rPr>
                <w:rFonts w:ascii="Times New Roman" w:hAnsi="Times New Roman"/>
              </w:rPr>
              <w:t xml:space="preserve"> </w:t>
            </w:r>
          </w:p>
        </w:tc>
        <w:tc>
          <w:tcPr>
            <w:tcW w:w="4191" w:type="dxa"/>
          </w:tcPr>
          <w:p w14:paraId="70F922DC" w14:textId="77777777" w:rsidR="00D45311" w:rsidRDefault="001D7D3A" w:rsidP="00D45311">
            <w:pPr>
              <w:pStyle w:val="BodyText"/>
              <w:keepNext/>
              <w:rPr>
                <w:bCs/>
                <w:lang w:val="en-US"/>
              </w:rPr>
            </w:pPr>
            <w:r>
              <w:rPr>
                <w:bCs/>
                <w:lang w:val="en-US"/>
              </w:rPr>
              <w:t>Disagree</w:t>
            </w:r>
          </w:p>
          <w:p w14:paraId="1136D185" w14:textId="6FFA58AB" w:rsidR="00DE08F0" w:rsidRDefault="001D7D3A" w:rsidP="001D7D3A">
            <w:pPr>
              <w:pStyle w:val="BodyText"/>
              <w:keepNext/>
              <w:jc w:val="left"/>
              <w:rPr>
                <w:bCs/>
                <w:lang w:val="en-US"/>
              </w:rPr>
            </w:pPr>
            <w:r>
              <w:rPr>
                <w:bCs/>
                <w:lang w:val="en-US"/>
              </w:rPr>
              <w:t xml:space="preserve">I agree it can simplify rules, but </w:t>
            </w:r>
            <w:r w:rsidR="007056D0">
              <w:rPr>
                <w:bCs/>
                <w:lang w:val="en-US"/>
              </w:rPr>
              <w:t>this</w:t>
            </w:r>
            <w:r>
              <w:rPr>
                <w:bCs/>
                <w:lang w:val="en-US"/>
              </w:rPr>
              <w:t xml:space="preserve"> proposal is exactly OPPO's proposal 3 (</w:t>
            </w:r>
            <w:hyperlink r:id="rId15" w:history="1">
              <w:r w:rsidRPr="00331D41">
                <w:rPr>
                  <w:rStyle w:val="Hyperlink"/>
                </w:rPr>
                <w:t>R2-2308181</w:t>
              </w:r>
            </w:hyperlink>
            <w:r>
              <w:rPr>
                <w:bCs/>
                <w:lang w:val="en-US"/>
              </w:rPr>
              <w:t xml:space="preserve">) treated </w:t>
            </w:r>
            <w:r w:rsidR="00022D81">
              <w:rPr>
                <w:bCs/>
                <w:lang w:val="en-US"/>
              </w:rPr>
              <w:t>onlin</w:t>
            </w:r>
            <w:r w:rsidR="00382BBD">
              <w:rPr>
                <w:bCs/>
                <w:lang w:val="en-US"/>
              </w:rPr>
              <w:t>e</w:t>
            </w:r>
            <w:r w:rsidR="00022D81">
              <w:rPr>
                <w:bCs/>
                <w:lang w:val="en-US"/>
              </w:rPr>
              <w:t xml:space="preserve"> </w:t>
            </w:r>
            <w:r>
              <w:rPr>
                <w:bCs/>
                <w:lang w:val="en-US"/>
              </w:rPr>
              <w:t xml:space="preserve">in RAN2#123. It was not agreed because some companies had different view on UE behavior. </w:t>
            </w:r>
          </w:p>
          <w:p w14:paraId="1109B9D6" w14:textId="69C1C977" w:rsidR="001D7D3A" w:rsidRPr="00D45311" w:rsidRDefault="00760058" w:rsidP="001D7D3A">
            <w:pPr>
              <w:pStyle w:val="BodyText"/>
              <w:keepNext/>
              <w:jc w:val="left"/>
              <w:rPr>
                <w:bCs/>
                <w:lang w:val="en-US"/>
              </w:rPr>
            </w:pPr>
            <w:r>
              <w:rPr>
                <w:bCs/>
                <w:lang w:val="en-US"/>
              </w:rPr>
              <w:t>You can bring this proposal to upcoming RAN2#123b</w:t>
            </w:r>
            <w:r w:rsidR="00102487">
              <w:rPr>
                <w:bCs/>
                <w:lang w:val="en-US"/>
              </w:rPr>
              <w:t xml:space="preserve"> and try whether it can be agreed</w:t>
            </w:r>
            <w:r>
              <w:rPr>
                <w:bCs/>
                <w:lang w:val="en-US"/>
              </w:rPr>
              <w:t>.</w:t>
            </w:r>
          </w:p>
        </w:tc>
      </w:tr>
      <w:tr w:rsidR="0032113F" w:rsidRPr="00D45311" w14:paraId="5594707E" w14:textId="77777777" w:rsidTr="00B84554">
        <w:trPr>
          <w:trHeight w:val="127"/>
        </w:trPr>
        <w:tc>
          <w:tcPr>
            <w:tcW w:w="1271" w:type="dxa"/>
            <w:shd w:val="clear" w:color="auto" w:fill="auto"/>
          </w:tcPr>
          <w:p w14:paraId="36E78FD5" w14:textId="63C0C80A" w:rsidR="00D45311" w:rsidRPr="00B72844" w:rsidRDefault="00B72844" w:rsidP="00D45311">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4394" w:type="dxa"/>
          </w:tcPr>
          <w:p w14:paraId="4500BEAC" w14:textId="5AB209C7" w:rsidR="00274BF9" w:rsidRDefault="002F08F4" w:rsidP="00D45311">
            <w:pPr>
              <w:pStyle w:val="BodyText"/>
              <w:keepNext/>
            </w:pPr>
            <w:bookmarkStart w:id="2" w:name="OLE_LINK1"/>
            <w:r>
              <w:rPr>
                <w:rFonts w:eastAsia="DengXian"/>
                <w:lang w:val="en-US"/>
              </w:rPr>
              <w:t xml:space="preserve">Not quite sure </w:t>
            </w:r>
            <w:r w:rsidR="00274BF9">
              <w:rPr>
                <w:rFonts w:eastAsia="DengXian"/>
                <w:lang w:val="en-US"/>
              </w:rPr>
              <w:t>if the change below fully matches the</w:t>
            </w:r>
            <w:r w:rsidR="00274BF9">
              <w:rPr>
                <w:rFonts w:eastAsia="DengXian" w:hint="eastAsia"/>
                <w:lang w:val="en-US"/>
              </w:rPr>
              <w:t xml:space="preserve"> </w:t>
            </w:r>
            <w:r w:rsidR="00274BF9">
              <w:t xml:space="preserve">agreement of “The NES UE always follows the NES bit used for barring, if present.  If not present the UE shall follow </w:t>
            </w:r>
            <w:r w:rsidR="00274BF9" w:rsidRPr="00274BF9">
              <w:rPr>
                <w:highlight w:val="yellow"/>
              </w:rPr>
              <w:t>legacy barring.</w:t>
            </w:r>
            <w:r w:rsidR="00274BF9">
              <w:t xml:space="preserve">“, since it implies legacy barring equals </w:t>
            </w:r>
            <w:proofErr w:type="spellStart"/>
            <w:r w:rsidR="00274BF9">
              <w:t>cellBarred</w:t>
            </w:r>
            <w:proofErr w:type="spellEnd"/>
            <w:r w:rsidR="00274BF9">
              <w:t xml:space="preserve"> in MIB, without mentioning reserved bit.</w:t>
            </w:r>
          </w:p>
          <w:p w14:paraId="0DECEA47" w14:textId="2BB0E0B9" w:rsidR="00B72844" w:rsidRDefault="00274BF9" w:rsidP="00D45311">
            <w:pPr>
              <w:pStyle w:val="BodyText"/>
              <w:keepNext/>
              <w:rPr>
                <w:rFonts w:eastAsia="DengXian"/>
                <w:lang w:val="en-US"/>
              </w:rPr>
            </w:pPr>
            <w:r>
              <w:rPr>
                <w:noProof/>
              </w:rPr>
              <w:drawing>
                <wp:inline distT="0" distB="0" distL="0" distR="0" wp14:anchorId="5322D1B7" wp14:editId="4B76DD9B">
                  <wp:extent cx="3680495" cy="2691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3397" cy="272331"/>
                          </a:xfrm>
                          <a:prstGeom prst="rect">
                            <a:avLst/>
                          </a:prstGeom>
                        </pic:spPr>
                      </pic:pic>
                    </a:graphicData>
                  </a:graphic>
                </wp:inline>
              </w:drawing>
            </w:r>
            <w:r>
              <w:rPr>
                <w:rFonts w:eastAsia="DengXian" w:hint="eastAsia"/>
                <w:lang w:val="en-US"/>
              </w:rPr>
              <w:t xml:space="preserve"> </w:t>
            </w:r>
          </w:p>
          <w:p w14:paraId="0222E1EE" w14:textId="77777777" w:rsidR="00274BF9" w:rsidRDefault="00274BF9" w:rsidP="00D45311">
            <w:pPr>
              <w:pStyle w:val="BodyText"/>
              <w:keepNext/>
              <w:rPr>
                <w:rFonts w:eastAsia="DengXian"/>
                <w:lang w:val="en-US"/>
              </w:rPr>
            </w:pPr>
          </w:p>
          <w:p w14:paraId="138CA7C3" w14:textId="53ADCE16" w:rsidR="00B72844" w:rsidRDefault="00B72844" w:rsidP="00D45311">
            <w:pPr>
              <w:pStyle w:val="BodyText"/>
              <w:keepNext/>
            </w:pPr>
            <w:r>
              <w:rPr>
                <w:rFonts w:eastAsia="DengXian"/>
                <w:lang w:val="en-US"/>
              </w:rPr>
              <w:t>On Nokia’s comments, I am not quite sure I got the point, since</w:t>
            </w:r>
            <w:r w:rsidR="00396767">
              <w:rPr>
                <w:rFonts w:eastAsia="DengXian"/>
                <w:lang w:val="en-US"/>
              </w:rPr>
              <w:t>,</w:t>
            </w:r>
            <w:r>
              <w:rPr>
                <w:rFonts w:eastAsia="DengXian"/>
                <w:lang w:val="en-US"/>
              </w:rPr>
              <w:t xml:space="preserve"> based on logic</w:t>
            </w:r>
            <w:r w:rsidR="00396767">
              <w:rPr>
                <w:rFonts w:eastAsia="DengXian"/>
                <w:lang w:val="en-US"/>
              </w:rPr>
              <w:t xml:space="preserve"> in 38. 304</w:t>
            </w:r>
            <w:r>
              <w:rPr>
                <w:rFonts w:eastAsia="DengXian"/>
                <w:lang w:val="en-US"/>
              </w:rPr>
              <w:t xml:space="preserve">, the case </w:t>
            </w:r>
            <w:r w:rsidR="00396767">
              <w:rPr>
                <w:rFonts w:eastAsia="DengXian"/>
                <w:lang w:val="en-US"/>
              </w:rPr>
              <w:t>in</w:t>
            </w:r>
            <w:r>
              <w:rPr>
                <w:rFonts w:eastAsia="DengXian"/>
                <w:lang w:val="en-US"/>
              </w:rPr>
              <w:t xml:space="preserve"> the first bullet </w:t>
            </w:r>
            <w:r w:rsidR="00396767">
              <w:rPr>
                <w:rFonts w:eastAsia="DengXian"/>
                <w:lang w:val="en-US"/>
              </w:rPr>
              <w:t>points to</w:t>
            </w:r>
            <w:r>
              <w:rPr>
                <w:rFonts w:eastAsia="DengXian"/>
                <w:lang w:val="en-US"/>
              </w:rPr>
              <w:t xml:space="preserve"> </w:t>
            </w:r>
            <w:r w:rsidR="00396767">
              <w:rPr>
                <w:rFonts w:eastAsia="DengXian"/>
                <w:lang w:val="en-US"/>
              </w:rPr>
              <w:t xml:space="preserve">the </w:t>
            </w:r>
            <w:r>
              <w:rPr>
                <w:rFonts w:eastAsia="DengXian"/>
                <w:lang w:val="en-US"/>
              </w:rPr>
              <w:t xml:space="preserve">“not barred” </w:t>
            </w:r>
            <w:r w:rsidR="00396767">
              <w:rPr>
                <w:rFonts w:eastAsia="DengXian"/>
                <w:lang w:val="en-US"/>
              </w:rPr>
              <w:t xml:space="preserve">case. </w:t>
            </w:r>
            <w:r>
              <w:rPr>
                <w:rFonts w:eastAsia="DengXian"/>
                <w:lang w:val="en-US"/>
              </w:rPr>
              <w:t xml:space="preserve">The </w:t>
            </w:r>
            <w:r w:rsidR="00396767">
              <w:rPr>
                <w:rFonts w:eastAsia="DengXian"/>
                <w:lang w:val="en-US"/>
              </w:rPr>
              <w:t xml:space="preserve">cell </w:t>
            </w:r>
            <w:r w:rsidR="00396767" w:rsidRPr="00426903">
              <w:t>"barred"</w:t>
            </w:r>
            <w:r w:rsidR="00396767">
              <w:t xml:space="preserve"> </w:t>
            </w:r>
            <w:r>
              <w:rPr>
                <w:rFonts w:eastAsia="DengXian"/>
                <w:lang w:val="en-US"/>
              </w:rPr>
              <w:t>case</w:t>
            </w:r>
            <w:r w:rsidR="00396767">
              <w:rPr>
                <w:rFonts w:eastAsia="DengXian"/>
                <w:lang w:val="en-US"/>
              </w:rPr>
              <w:t xml:space="preserve"> is</w:t>
            </w:r>
            <w:r w:rsidRPr="00426903">
              <w:t xml:space="preserve"> </w:t>
            </w:r>
            <w:r w:rsidR="00396767">
              <w:t xml:space="preserve">located </w:t>
            </w:r>
            <w:r>
              <w:t>after the change for NES.</w:t>
            </w:r>
          </w:p>
          <w:p w14:paraId="6C85B465" w14:textId="487C666F" w:rsidR="00D45311" w:rsidRPr="00B72844" w:rsidRDefault="00B72844" w:rsidP="00D45311">
            <w:pPr>
              <w:pStyle w:val="BodyText"/>
              <w:keepNext/>
              <w:rPr>
                <w:rFonts w:eastAsia="DengXian"/>
                <w:lang w:val="en-US"/>
              </w:rPr>
            </w:pPr>
            <w:r>
              <w:t xml:space="preserve">On Qualcomm’s comments, to be honest, I also feel weird about the case that the legacy UE can access the NES cell but the NES-capable UE </w:t>
            </w:r>
            <w:r w:rsidR="00A33EBA">
              <w:t>cannot</w:t>
            </w:r>
            <w:r>
              <w:t xml:space="preserve">. </w:t>
            </w:r>
            <w:r w:rsidR="00A33EBA">
              <w:t>T</w:t>
            </w:r>
            <w:r>
              <w:t xml:space="preserve">hus, it makes sense that </w:t>
            </w:r>
            <w:r w:rsidR="003C5D13">
              <w:t xml:space="preserve">the </w:t>
            </w:r>
            <w:r w:rsidR="00A33EBA">
              <w:t xml:space="preserve">NES-capable </w:t>
            </w:r>
            <w:r w:rsidR="003C5D13">
              <w:t xml:space="preserve">UE does not need to check </w:t>
            </w:r>
            <w:proofErr w:type="spellStart"/>
            <w:r w:rsidR="003C5D13">
              <w:t>cellBarredNES</w:t>
            </w:r>
            <w:proofErr w:type="spellEnd"/>
            <w:r w:rsidR="003C5D13">
              <w:t xml:space="preserve"> if </w:t>
            </w:r>
            <w:proofErr w:type="spellStart"/>
            <w:r w:rsidR="003C5D13">
              <w:t>cellBarred</w:t>
            </w:r>
            <w:proofErr w:type="spellEnd"/>
            <w:r w:rsidR="003C5D13">
              <w:t xml:space="preserve"> is </w:t>
            </w:r>
            <w:r w:rsidR="00A33EBA">
              <w:t>indicated</w:t>
            </w:r>
            <w:r w:rsidR="003C5D13">
              <w:t xml:space="preserve"> as “not barred”</w:t>
            </w:r>
            <w:r w:rsidR="00A33EBA">
              <w:t xml:space="preserve">, otherwise, such UE needs to </w:t>
            </w:r>
            <w:r w:rsidR="003C5D13">
              <w:t xml:space="preserve">further check </w:t>
            </w:r>
            <w:proofErr w:type="spellStart"/>
            <w:r w:rsidR="003C5D13" w:rsidRPr="003C5D13">
              <w:t>cellBarredNES</w:t>
            </w:r>
            <w:proofErr w:type="spellEnd"/>
            <w:r w:rsidR="003C5D13">
              <w:t xml:space="preserve">. </w:t>
            </w:r>
            <w:r w:rsidR="00A33EBA">
              <w:t>While</w:t>
            </w:r>
            <w:r w:rsidR="003C5D13">
              <w:t xml:space="preserve"> I also understand companies have different views, so we are fine with the current 304 update.</w:t>
            </w:r>
            <w:bookmarkEnd w:id="2"/>
          </w:p>
        </w:tc>
        <w:tc>
          <w:tcPr>
            <w:tcW w:w="4191" w:type="dxa"/>
          </w:tcPr>
          <w:p w14:paraId="07CB2A5D" w14:textId="10E7AEFE" w:rsidR="00002738" w:rsidRDefault="00002738" w:rsidP="00002738">
            <w:pPr>
              <w:pStyle w:val="BodyText"/>
              <w:keepNext/>
              <w:jc w:val="left"/>
              <w:rPr>
                <w:bCs/>
                <w:iCs/>
                <w:lang w:val="en-US"/>
              </w:rPr>
            </w:pPr>
            <w:r>
              <w:rPr>
                <w:bCs/>
                <w:iCs/>
                <w:lang w:val="en-US"/>
              </w:rPr>
              <w:t>Tend to disagree:</w:t>
            </w:r>
          </w:p>
          <w:p w14:paraId="0DB409D0" w14:textId="12F6A851" w:rsidR="00D45311" w:rsidRDefault="00114027" w:rsidP="00002738">
            <w:pPr>
              <w:pStyle w:val="BodyText"/>
              <w:keepNext/>
              <w:jc w:val="left"/>
              <w:rPr>
                <w:bCs/>
                <w:i/>
                <w:lang w:val="en-US"/>
              </w:rPr>
            </w:pPr>
            <w:r>
              <w:rPr>
                <w:bCs/>
                <w:iCs/>
                <w:lang w:val="en-US"/>
              </w:rPr>
              <w:t>Rapporteur's understanding is</w:t>
            </w:r>
            <w:r w:rsidR="00002738">
              <w:rPr>
                <w:bCs/>
                <w:iCs/>
                <w:lang w:val="en-US"/>
              </w:rPr>
              <w:t xml:space="preserve"> "legacy barring"</w:t>
            </w:r>
            <w:r>
              <w:rPr>
                <w:bCs/>
                <w:iCs/>
                <w:lang w:val="en-US"/>
              </w:rPr>
              <w:t xml:space="preserve"> </w:t>
            </w:r>
            <w:r w:rsidR="00002738">
              <w:rPr>
                <w:bCs/>
                <w:iCs/>
                <w:lang w:val="en-US"/>
              </w:rPr>
              <w:t xml:space="preserve">in RAN2#123 agreement  is </w:t>
            </w:r>
            <w:proofErr w:type="spellStart"/>
            <w:r w:rsidR="00002738" w:rsidRPr="00002738">
              <w:rPr>
                <w:bCs/>
                <w:i/>
                <w:lang w:val="en-US"/>
              </w:rPr>
              <w:t>CellBarred</w:t>
            </w:r>
            <w:proofErr w:type="spellEnd"/>
            <w:r w:rsidR="00002738">
              <w:rPr>
                <w:bCs/>
                <w:i/>
                <w:lang w:val="en-US"/>
              </w:rPr>
              <w:t xml:space="preserve"> in MIB.</w:t>
            </w:r>
            <w:r w:rsidR="00002738" w:rsidRPr="00002738">
              <w:rPr>
                <w:bCs/>
                <w:iCs/>
                <w:lang w:val="en-US"/>
              </w:rPr>
              <w:t xml:space="preserve"> </w:t>
            </w:r>
            <w:r w:rsidR="00002738">
              <w:rPr>
                <w:bCs/>
                <w:iCs/>
                <w:lang w:val="en-US"/>
              </w:rPr>
              <w:t>I think "reserved bit" means bits on NPN, right? Similar to response to ZTE, we can further discuss whether NES can co-exist with other feature (e.g. Redcap, NPN) in future RAN2 meeting. For now, Rapporteur tend to only capture RAN2 agreement</w:t>
            </w:r>
            <w:r w:rsidR="00576C43">
              <w:rPr>
                <w:bCs/>
                <w:iCs/>
                <w:lang w:val="en-US"/>
              </w:rPr>
              <w:t>s</w:t>
            </w:r>
            <w:r w:rsidR="00002738">
              <w:rPr>
                <w:bCs/>
                <w:iCs/>
                <w:lang w:val="en-US"/>
              </w:rPr>
              <w:t xml:space="preserve"> made so far. </w:t>
            </w:r>
            <w:r w:rsidR="00002738">
              <w:rPr>
                <w:bCs/>
                <w:i/>
                <w:lang w:val="en-US"/>
              </w:rPr>
              <w:t xml:space="preserve"> </w:t>
            </w:r>
          </w:p>
          <w:p w14:paraId="5F83178A" w14:textId="77777777" w:rsidR="00003E85" w:rsidRDefault="00003E85" w:rsidP="00002738">
            <w:pPr>
              <w:pStyle w:val="BodyText"/>
              <w:keepNext/>
              <w:jc w:val="left"/>
              <w:rPr>
                <w:bCs/>
                <w:iCs/>
                <w:lang w:val="en-US"/>
              </w:rPr>
            </w:pPr>
          </w:p>
          <w:p w14:paraId="6066749C" w14:textId="605E1A70" w:rsidR="00003E85" w:rsidRPr="00114027" w:rsidRDefault="00003E85" w:rsidP="00002738">
            <w:pPr>
              <w:pStyle w:val="BodyText"/>
              <w:keepNext/>
              <w:jc w:val="left"/>
              <w:rPr>
                <w:bCs/>
                <w:iCs/>
                <w:lang w:val="en-US"/>
              </w:rPr>
            </w:pPr>
            <w:r>
              <w:rPr>
                <w:bCs/>
                <w:iCs/>
                <w:lang w:val="en-US"/>
              </w:rPr>
              <w:t xml:space="preserve">Other company's view </w:t>
            </w:r>
            <w:r w:rsidR="00576C43">
              <w:rPr>
                <w:bCs/>
                <w:iCs/>
                <w:lang w:val="en-US"/>
              </w:rPr>
              <w:t xml:space="preserve">on this issue </w:t>
            </w:r>
            <w:r>
              <w:rPr>
                <w:bCs/>
                <w:iCs/>
                <w:lang w:val="en-US"/>
              </w:rPr>
              <w:t>is appreciated.</w:t>
            </w: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 xml:space="preserve">ell barred for </w:t>
            </w:r>
            <w:proofErr w:type="spellStart"/>
            <w:r w:rsidRPr="0026368E">
              <w:rPr>
                <w:rFonts w:ascii="Microsoft YaHei" w:eastAsia="Microsoft YaHei" w:hAnsi="Microsoft YaHei"/>
              </w:rPr>
              <w:t>RedCap</w:t>
            </w:r>
            <w:proofErr w:type="spellEnd"/>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 xml:space="preserve">xcept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 )</w:t>
            </w:r>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proofErr w:type="spellStart"/>
            <w:r w:rsidRPr="0026368E">
              <w:rPr>
                <w:rFonts w:ascii="Microsoft YaHei" w:eastAsia="Microsoft YaHei" w:hAnsi="Microsoft YaHei" w:hint="eastAsia"/>
              </w:rPr>
              <w:t>R</w:t>
            </w:r>
            <w:r w:rsidRPr="0026368E">
              <w:rPr>
                <w:rFonts w:ascii="Microsoft YaHei" w:eastAsia="Microsoft YaHei" w:hAnsi="Microsoft YaHei"/>
              </w:rPr>
              <w:t>edCap</w:t>
            </w:r>
            <w:proofErr w:type="spellEnd"/>
            <w:r w:rsidRPr="0026368E">
              <w:rPr>
                <w:rFonts w:ascii="Microsoft YaHei" w:eastAsia="Microsoft YaHei" w:hAnsi="Microsoft YaHei"/>
              </w:rPr>
              <w:t xml:space="preserve">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 xml:space="preserve">ES +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A070D0" w:rsidRPr="00C147C3"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1D10" w14:textId="77777777" w:rsidR="003E1739" w:rsidRDefault="003E1739">
      <w:pPr>
        <w:spacing w:after="0"/>
      </w:pPr>
      <w:r>
        <w:separator/>
      </w:r>
    </w:p>
  </w:endnote>
  <w:endnote w:type="continuationSeparator" w:id="0">
    <w:p w14:paraId="271F816F" w14:textId="77777777" w:rsidR="003E1739" w:rsidRDefault="003E1739">
      <w:pPr>
        <w:spacing w:after="0"/>
      </w:pPr>
      <w:r>
        <w:continuationSeparator/>
      </w:r>
    </w:p>
  </w:endnote>
  <w:endnote w:type="continuationNotice" w:id="1">
    <w:p w14:paraId="0A3C5F33" w14:textId="77777777" w:rsidR="003E1739" w:rsidRDefault="003E1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8257" w14:textId="77777777" w:rsidR="003E1739" w:rsidRDefault="003E1739">
      <w:pPr>
        <w:spacing w:after="0"/>
      </w:pPr>
      <w:r>
        <w:separator/>
      </w:r>
    </w:p>
  </w:footnote>
  <w:footnote w:type="continuationSeparator" w:id="0">
    <w:p w14:paraId="1A1AAC0A" w14:textId="77777777" w:rsidR="003E1739" w:rsidRDefault="003E1739">
      <w:pPr>
        <w:spacing w:after="0"/>
      </w:pPr>
      <w:r>
        <w:continuationSeparator/>
      </w:r>
    </w:p>
  </w:footnote>
  <w:footnote w:type="continuationNotice" w:id="1">
    <w:p w14:paraId="10D21EAA" w14:textId="77777777" w:rsidR="003E1739" w:rsidRDefault="003E1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8580488">
    <w:abstractNumId w:val="11"/>
  </w:num>
  <w:num w:numId="2" w16cid:durableId="1633248209">
    <w:abstractNumId w:val="8"/>
  </w:num>
  <w:num w:numId="3" w16cid:durableId="1000348450">
    <w:abstractNumId w:val="12"/>
  </w:num>
  <w:num w:numId="4" w16cid:durableId="679550771">
    <w:abstractNumId w:val="18"/>
  </w:num>
  <w:num w:numId="5" w16cid:durableId="1758136548">
    <w:abstractNumId w:val="13"/>
  </w:num>
  <w:num w:numId="6" w16cid:durableId="97068422">
    <w:abstractNumId w:val="2"/>
  </w:num>
  <w:num w:numId="7" w16cid:durableId="649749408">
    <w:abstractNumId w:val="16"/>
  </w:num>
  <w:num w:numId="8" w16cid:durableId="1710109944">
    <w:abstractNumId w:val="17"/>
  </w:num>
  <w:num w:numId="9" w16cid:durableId="1900748079">
    <w:abstractNumId w:val="3"/>
  </w:num>
  <w:num w:numId="10" w16cid:durableId="1223907754">
    <w:abstractNumId w:val="9"/>
  </w:num>
  <w:num w:numId="11" w16cid:durableId="1917979720">
    <w:abstractNumId w:val="5"/>
  </w:num>
  <w:num w:numId="12" w16cid:durableId="1353070908">
    <w:abstractNumId w:val="0"/>
  </w:num>
  <w:num w:numId="13" w16cid:durableId="1006058233">
    <w:abstractNumId w:val="19"/>
  </w:num>
  <w:num w:numId="14" w16cid:durableId="971447089">
    <w:abstractNumId w:val="15"/>
  </w:num>
  <w:num w:numId="15" w16cid:durableId="808595620">
    <w:abstractNumId w:val="6"/>
  </w:num>
  <w:num w:numId="16" w16cid:durableId="1906799892">
    <w:abstractNumId w:val="10"/>
  </w:num>
  <w:num w:numId="17" w16cid:durableId="1488597337">
    <w:abstractNumId w:val="7"/>
  </w:num>
  <w:num w:numId="18" w16cid:durableId="229847125">
    <w:abstractNumId w:val="14"/>
  </w:num>
  <w:num w:numId="19" w16cid:durableId="1615359686">
    <w:abstractNumId w:val="1"/>
  </w:num>
  <w:num w:numId="20" w16cid:durableId="489055759">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807"/>
    <w:rsid w:val="00003E85"/>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97D3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3\Docs\R2-2308181.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6</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19</cp:revision>
  <dcterms:created xsi:type="dcterms:W3CDTF">2023-09-19T07:17:00Z</dcterms:created>
  <dcterms:modified xsi:type="dcterms:W3CDTF">2023-09-20T12:23:00Z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