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E2D0E" w14:textId="56CEC247" w:rsidR="00843991" w:rsidRPr="006E3B72" w:rsidRDefault="006E4DFA">
      <w:pPr>
        <w:pStyle w:val="3GPPHeader"/>
        <w:spacing w:after="60"/>
        <w:rPr>
          <w:sz w:val="32"/>
          <w:szCs w:val="32"/>
          <w:highlight w:val="yellow"/>
          <w:lang w:val="en-US"/>
        </w:rPr>
      </w:pPr>
      <w:r w:rsidRPr="006E3B72">
        <w:rPr>
          <w:lang w:val="en-US"/>
        </w:rPr>
        <w:t>3GPP TSG-RAN WG2 Meeting #123</w:t>
      </w:r>
      <w:r w:rsidRPr="006E3B72">
        <w:rPr>
          <w:lang w:val="en-US"/>
        </w:rPr>
        <w:tab/>
      </w:r>
      <w:r w:rsidR="00941A56" w:rsidRPr="006E3B72">
        <w:rPr>
          <w:sz w:val="32"/>
          <w:szCs w:val="32"/>
          <w:lang w:val="en-US"/>
        </w:rPr>
        <w:t>DocNumber</w:t>
      </w:r>
    </w:p>
    <w:p w14:paraId="63B338E4" w14:textId="77777777" w:rsidR="00843991" w:rsidRPr="006E3B72" w:rsidRDefault="006E4DFA">
      <w:pPr>
        <w:pStyle w:val="3GPPHeader"/>
        <w:rPr>
          <w:lang w:val="en-US"/>
        </w:rPr>
      </w:pPr>
      <w:r w:rsidRPr="006E3B72">
        <w:rPr>
          <w:lang w:val="en-US"/>
        </w:rPr>
        <w:t>Toulouse, France, August 21</w:t>
      </w:r>
      <w:r w:rsidRPr="006E3B72">
        <w:rPr>
          <w:vertAlign w:val="superscript"/>
          <w:lang w:val="en-US"/>
        </w:rPr>
        <w:t>st</w:t>
      </w:r>
      <w:r w:rsidRPr="006E3B72">
        <w:rPr>
          <w:lang w:val="en-US"/>
        </w:rPr>
        <w:t xml:space="preserve"> - 25</w:t>
      </w:r>
      <w:r w:rsidRPr="006E3B72">
        <w:rPr>
          <w:vertAlign w:val="superscript"/>
          <w:lang w:val="en-US"/>
        </w:rPr>
        <w:t>th</w:t>
      </w:r>
      <w:r w:rsidRPr="006E3B72">
        <w:rPr>
          <w:lang w:val="en-US"/>
        </w:rPr>
        <w:t>, 2023</w:t>
      </w:r>
    </w:p>
    <w:p w14:paraId="6D9A759E" w14:textId="77777777" w:rsidR="00843991" w:rsidRPr="006E3B72" w:rsidRDefault="00843991">
      <w:pPr>
        <w:pStyle w:val="3GPPHeader"/>
        <w:rPr>
          <w:lang w:val="en-US"/>
        </w:rPr>
      </w:pPr>
    </w:p>
    <w:p w14:paraId="599F12BA" w14:textId="77777777" w:rsidR="00843991" w:rsidRDefault="006E4DFA">
      <w:pPr>
        <w:pStyle w:val="3GPPHeader"/>
        <w:rPr>
          <w:sz w:val="22"/>
          <w:lang w:val="sv-FI"/>
        </w:rPr>
      </w:pPr>
      <w:r w:rsidRPr="006E3B72">
        <w:rPr>
          <w:lang w:val="en-US"/>
        </w:rPr>
        <w:t>Agenda:</w:t>
      </w:r>
      <w:r w:rsidRPr="006E3B72">
        <w:rPr>
          <w:lang w:val="en-US"/>
        </w:rPr>
        <w:tab/>
      </w:r>
      <w:r w:rsidRPr="006E3B72">
        <w:rPr>
          <w:sz w:val="22"/>
          <w:lang w:val="en-US"/>
        </w:rPr>
        <w:t>7.25.4</w:t>
      </w:r>
    </w:p>
    <w:p w14:paraId="469E4BCD" w14:textId="77777777" w:rsidR="00843991" w:rsidRPr="006E3B72" w:rsidRDefault="006E4DFA">
      <w:pPr>
        <w:pStyle w:val="3GPPHeader"/>
        <w:rPr>
          <w:sz w:val="22"/>
          <w:lang w:val="en-US"/>
        </w:rPr>
      </w:pPr>
      <w:r w:rsidRPr="006E3B72">
        <w:rPr>
          <w:sz w:val="22"/>
          <w:lang w:val="en-US"/>
        </w:rPr>
        <w:t>Source:</w:t>
      </w:r>
      <w:r w:rsidRPr="006E3B72">
        <w:rPr>
          <w:sz w:val="22"/>
          <w:lang w:val="en-US"/>
        </w:rPr>
        <w:tab/>
        <w:t>Ericsson</w:t>
      </w:r>
    </w:p>
    <w:p w14:paraId="41CED655" w14:textId="50BFF2D3" w:rsidR="00843991" w:rsidRPr="006E3B72" w:rsidRDefault="006E4DFA">
      <w:pPr>
        <w:pStyle w:val="3GPPHeader"/>
        <w:rPr>
          <w:sz w:val="20"/>
          <w:szCs w:val="20"/>
          <w:lang w:val="en-US"/>
        </w:rPr>
      </w:pPr>
      <w:r w:rsidRPr="006E3B72">
        <w:rPr>
          <w:sz w:val="22"/>
          <w:szCs w:val="20"/>
          <w:lang w:val="en-US"/>
        </w:rPr>
        <w:t>Title</w:t>
      </w:r>
      <w:r w:rsidRPr="006E3B72">
        <w:rPr>
          <w:lang w:val="en-US"/>
        </w:rPr>
        <w:t>:</w:t>
      </w:r>
      <w:r w:rsidRPr="006E3B72">
        <w:rPr>
          <w:lang w:val="en-US"/>
        </w:rPr>
        <w:tab/>
      </w:r>
      <w:r w:rsidR="00FE3B48" w:rsidRPr="006E3B72">
        <w:rPr>
          <w:sz w:val="22"/>
          <w:szCs w:val="20"/>
          <w:lang w:val="en-US"/>
        </w:rPr>
        <w:t xml:space="preserve">Report of </w:t>
      </w:r>
      <w:r w:rsidR="00FE12F1" w:rsidRPr="006E3B72">
        <w:rPr>
          <w:sz w:val="22"/>
          <w:szCs w:val="20"/>
          <w:lang w:val="en-US"/>
        </w:rPr>
        <w:t>[Post123][102]NTN Self Ev] CPUP latency (Ericsson)</w:t>
      </w:r>
    </w:p>
    <w:p w14:paraId="37015312" w14:textId="26045B3D" w:rsidR="00843991" w:rsidRPr="006E3B72" w:rsidRDefault="006E4DFA">
      <w:pPr>
        <w:pStyle w:val="3GPPHeader"/>
        <w:rPr>
          <w:sz w:val="22"/>
          <w:lang w:val="en-US"/>
        </w:rPr>
      </w:pPr>
      <w:r w:rsidRPr="006E3B72">
        <w:rPr>
          <w:sz w:val="22"/>
          <w:lang w:val="en-US"/>
        </w:rPr>
        <w:t>Document for:</w:t>
      </w:r>
      <w:r w:rsidRPr="006E3B72">
        <w:rPr>
          <w:sz w:val="22"/>
          <w:lang w:val="en-US"/>
        </w:rPr>
        <w:tab/>
      </w:r>
      <w:r w:rsidR="00941A56" w:rsidRPr="006E3B72">
        <w:rPr>
          <w:sz w:val="22"/>
          <w:lang w:val="en-US"/>
        </w:rPr>
        <w:t>Discussion, decision</w:t>
      </w:r>
    </w:p>
    <w:p w14:paraId="48DCAB5C" w14:textId="77777777" w:rsidR="00843991" w:rsidRPr="006E3B72" w:rsidRDefault="00843991">
      <w:pPr>
        <w:rPr>
          <w:lang w:val="en-US"/>
        </w:rPr>
      </w:pPr>
    </w:p>
    <w:p w14:paraId="54A6CFBF" w14:textId="77777777" w:rsidR="00843991" w:rsidRDefault="006E4DFA">
      <w:pPr>
        <w:pStyle w:val="Heading1"/>
      </w:pPr>
      <w:r>
        <w:t>1</w:t>
      </w:r>
      <w:r>
        <w:tab/>
        <w:t>Introduction</w:t>
      </w:r>
    </w:p>
    <w:p w14:paraId="1E7CBEBC" w14:textId="1D5865B6" w:rsidR="00843991" w:rsidRPr="006E3B72" w:rsidRDefault="006E4DFA">
      <w:pPr>
        <w:rPr>
          <w:rFonts w:cs="Arial"/>
          <w:lang w:val="en-US"/>
        </w:rPr>
      </w:pPr>
      <w:r w:rsidRPr="006E3B72">
        <w:rPr>
          <w:rFonts w:cs="Arial"/>
          <w:lang w:val="en-US"/>
        </w:rPr>
        <w:t>ITU-R has defined requirements for the satellite component of IMT-2020 [1]. The set of requirements and the corresponding evaluation guidelines are based on the terrestrial procedure, to which 3GPP has submitted TR 37.910 [2]. Similar to the terrestrial case, the requirements include a CP and UP latency targets which have been set to 40 ms and 10 ms, respectively [1], to take into account the longer propagation delay inherent to satellite communications.</w:t>
      </w:r>
    </w:p>
    <w:p w14:paraId="70F893E0" w14:textId="7E0EA226" w:rsidR="00583EF2" w:rsidRPr="006E3B72" w:rsidRDefault="00583EF2">
      <w:pPr>
        <w:rPr>
          <w:rFonts w:cs="Arial"/>
          <w:lang w:val="en-US"/>
        </w:rPr>
      </w:pPr>
      <w:r w:rsidRPr="006E3B72">
        <w:rPr>
          <w:rFonts w:cs="Arial"/>
          <w:lang w:val="en-US"/>
        </w:rPr>
        <w:t>The purpose of this email discussion is</w:t>
      </w:r>
      <w:r w:rsidR="00EF76A6" w:rsidRPr="006E3B72">
        <w:rPr>
          <w:rFonts w:cs="Arial"/>
          <w:lang w:val="en-US"/>
        </w:rPr>
        <w:t xml:space="preserve"> </w:t>
      </w:r>
      <w:r w:rsidRPr="006E3B72">
        <w:rPr>
          <w:rFonts w:cs="Arial"/>
          <w:lang w:val="en-US"/>
        </w:rPr>
        <w:t xml:space="preserve">to align the views on parameters </w:t>
      </w:r>
      <w:r w:rsidR="00CD04DB" w:rsidRPr="006E3B72">
        <w:rPr>
          <w:rFonts w:cs="Arial"/>
          <w:lang w:val="en-US"/>
        </w:rPr>
        <w:t xml:space="preserve">for </w:t>
      </w:r>
      <w:r w:rsidRPr="006E3B72">
        <w:rPr>
          <w:rFonts w:cs="Arial"/>
          <w:lang w:val="en-US"/>
        </w:rPr>
        <w:t xml:space="preserve">evaluating user plane and control plane latency in order to prepare the evaluation report that </w:t>
      </w:r>
      <w:r w:rsidR="00EF76A6" w:rsidRPr="006E3B72">
        <w:rPr>
          <w:rFonts w:cs="Arial"/>
          <w:lang w:val="en-US"/>
        </w:rPr>
        <w:t>will</w:t>
      </w:r>
      <w:r w:rsidRPr="006E3B72">
        <w:rPr>
          <w:rFonts w:cs="Arial"/>
          <w:lang w:val="en-US"/>
        </w:rPr>
        <w:t xml:space="preserve"> be captured in TR</w:t>
      </w:r>
      <w:r w:rsidR="00EF76A6" w:rsidRPr="006E3B72">
        <w:rPr>
          <w:rFonts w:cs="Arial"/>
          <w:lang w:val="en-US"/>
        </w:rPr>
        <w:t xml:space="preserve"> </w:t>
      </w:r>
      <w:r w:rsidRPr="006E3B72">
        <w:rPr>
          <w:rFonts w:cs="Arial"/>
          <w:lang w:val="en-US"/>
        </w:rPr>
        <w:t>37.91</w:t>
      </w:r>
      <w:r w:rsidR="00EF76A6" w:rsidRPr="006E3B72">
        <w:rPr>
          <w:rFonts w:cs="Arial"/>
          <w:lang w:val="en-US"/>
        </w:rPr>
        <w:t>1 [3]</w:t>
      </w:r>
      <w:r w:rsidRPr="006E3B72">
        <w:rPr>
          <w:rFonts w:cs="Arial"/>
          <w:lang w:val="en-US"/>
        </w:rPr>
        <w:t>.</w:t>
      </w:r>
      <w:r w:rsidR="00C62DF0" w:rsidRPr="006E3B72">
        <w:rPr>
          <w:rFonts w:cs="Arial"/>
          <w:lang w:val="en-US"/>
        </w:rPr>
        <w:t xml:space="preserve"> </w:t>
      </w:r>
      <w:r w:rsidR="00EF76A6" w:rsidRPr="006E3B72">
        <w:rPr>
          <w:rFonts w:cs="Arial"/>
          <w:lang w:val="en-US"/>
        </w:rPr>
        <w:t xml:space="preserve">In addition, a text proposal to TR 37.911 [3] is provided as an attachment to capture the agreements taken so far by RAN2 regarding the mobility interruption evaluation. </w:t>
      </w:r>
      <w:r w:rsidR="00C62DF0" w:rsidRPr="006E3B72">
        <w:rPr>
          <w:rFonts w:cs="Arial"/>
          <w:lang w:val="en-US"/>
        </w:rPr>
        <w:t>The study aims to have a final submission package ready by RAN#102, that is before ITU-R WP4B submission deadline (end of December 2023) [</w:t>
      </w:r>
      <w:r w:rsidR="00EF76A6" w:rsidRPr="006E3B72">
        <w:rPr>
          <w:rFonts w:cs="Arial"/>
          <w:lang w:val="en-US"/>
        </w:rPr>
        <w:t>4</w:t>
      </w:r>
      <w:r w:rsidR="00C62DF0" w:rsidRPr="006E3B72">
        <w:rPr>
          <w:rFonts w:cs="Arial"/>
          <w:lang w:val="en-US"/>
        </w:rPr>
        <w:t>]</w:t>
      </w:r>
      <w:r w:rsidR="00EF76A6" w:rsidRPr="006E3B72">
        <w:rPr>
          <w:rFonts w:cs="Arial"/>
          <w:lang w:val="en-US"/>
        </w:rPr>
        <w:t>.</w:t>
      </w:r>
    </w:p>
    <w:p w14:paraId="64B2AD43" w14:textId="117BFA4C" w:rsidR="00EF76A6" w:rsidRPr="006E3B72" w:rsidRDefault="00EF76A6" w:rsidP="00EF76A6">
      <w:pPr>
        <w:pStyle w:val="EmailDiscussion"/>
        <w:tabs>
          <w:tab w:val="num" w:pos="1619"/>
        </w:tabs>
        <w:spacing w:after="0" w:line="240" w:lineRule="auto"/>
        <w:rPr>
          <w:lang w:val="en-US" w:eastAsia="en-US"/>
        </w:rPr>
      </w:pPr>
      <w:r w:rsidRPr="006E3B72">
        <w:rPr>
          <w:lang w:val="en-US"/>
        </w:rPr>
        <w:t>[Post123][102]</w:t>
      </w:r>
      <w:r w:rsidRPr="006E3B72">
        <w:rPr>
          <w:lang w:val="en-US" w:eastAsia="en-US"/>
        </w:rPr>
        <w:t>NTN Self Ev] CP/UP latency (Ericsson)</w:t>
      </w:r>
    </w:p>
    <w:p w14:paraId="35ADE2DE" w14:textId="77777777" w:rsidR="00EF76A6" w:rsidRDefault="00EF76A6" w:rsidP="00EF76A6">
      <w:pPr>
        <w:pStyle w:val="EmailDiscussion2"/>
      </w:pPr>
      <w:r>
        <w:tab/>
        <w:t>Scope: discuss the actual numbers for CP/UP latency and potentially draft a corresponding TP</w:t>
      </w:r>
    </w:p>
    <w:p w14:paraId="6AE53E54" w14:textId="77777777" w:rsidR="00EF76A6" w:rsidRDefault="00EF76A6" w:rsidP="00EF76A6">
      <w:pPr>
        <w:pStyle w:val="EmailDiscussion2"/>
      </w:pPr>
      <w:r>
        <w:tab/>
        <w:t xml:space="preserve">Intended outcome: email discussion summary </w:t>
      </w:r>
    </w:p>
    <w:p w14:paraId="77951AFE" w14:textId="77777777" w:rsidR="00EF76A6" w:rsidRDefault="00EF76A6" w:rsidP="00EF76A6">
      <w:pPr>
        <w:pStyle w:val="EmailDiscussion2"/>
      </w:pPr>
      <w:r>
        <w:tab/>
        <w:t>Deadline: Long</w:t>
      </w:r>
    </w:p>
    <w:p w14:paraId="09678DAC" w14:textId="43EE1158" w:rsidR="004A3073" w:rsidRPr="006E3B72" w:rsidRDefault="004A3073">
      <w:pPr>
        <w:spacing w:after="0" w:line="240" w:lineRule="auto"/>
        <w:rPr>
          <w:rFonts w:cs="Arial"/>
          <w:lang w:val="en-US"/>
        </w:rPr>
      </w:pPr>
    </w:p>
    <w:p w14:paraId="32ADFECD" w14:textId="3E2A9DE9" w:rsidR="00843991" w:rsidRDefault="006E4DFA">
      <w:pPr>
        <w:pStyle w:val="Heading1"/>
      </w:pPr>
      <w:bookmarkStart w:id="0" w:name="_Ref178064866"/>
      <w:r>
        <w:t>2</w:t>
      </w:r>
      <w:r>
        <w:tab/>
      </w:r>
      <w:bookmarkEnd w:id="0"/>
      <w:r w:rsidR="00B07221">
        <w:t>Remaining issues</w:t>
      </w:r>
    </w:p>
    <w:p w14:paraId="7243E679" w14:textId="5E399A51" w:rsidR="00521506" w:rsidRDefault="00521506" w:rsidP="00521506">
      <w:pPr>
        <w:rPr>
          <w:lang w:val="en-GB" w:eastAsia="ja-JP"/>
        </w:rPr>
      </w:pPr>
      <w:r>
        <w:rPr>
          <w:lang w:val="en-GB" w:eastAsia="ja-JP"/>
        </w:rPr>
        <w:t>During RAN2#123, the following relevant agreements were taken:</w:t>
      </w:r>
    </w:p>
    <w:p w14:paraId="49E793F4" w14:textId="77777777" w:rsidR="00521506" w:rsidRDefault="00521506" w:rsidP="00521506">
      <w:pPr>
        <w:pStyle w:val="ListParagraph"/>
        <w:numPr>
          <w:ilvl w:val="0"/>
          <w:numId w:val="16"/>
        </w:numPr>
        <w:overflowPunct w:val="0"/>
        <w:autoSpaceDE w:val="0"/>
        <w:autoSpaceDN w:val="0"/>
        <w:adjustRightInd w:val="0"/>
        <w:spacing w:after="180"/>
        <w:textAlignment w:val="baseline"/>
      </w:pPr>
      <w:r w:rsidRPr="006E3B72">
        <w:rPr>
          <w:lang w:val="en-US"/>
        </w:rPr>
        <w:t xml:space="preserve">At the moment, RAN2 assumes the best-case scenario even though RAN2 understands that it might not be a common scenario in some cases. </w:t>
      </w:r>
      <w:r>
        <w:t>Additional scenarios can be considered during the self evaluation work</w:t>
      </w:r>
    </w:p>
    <w:p w14:paraId="5423CA5C" w14:textId="77777777" w:rsidR="00521506" w:rsidRPr="006E3B72" w:rsidRDefault="00521506" w:rsidP="00521506">
      <w:pPr>
        <w:pStyle w:val="ListParagraph"/>
        <w:numPr>
          <w:ilvl w:val="0"/>
          <w:numId w:val="16"/>
        </w:numPr>
        <w:overflowPunct w:val="0"/>
        <w:autoSpaceDE w:val="0"/>
        <w:autoSpaceDN w:val="0"/>
        <w:adjustRightInd w:val="0"/>
        <w:spacing w:after="180"/>
        <w:textAlignment w:val="baseline"/>
        <w:rPr>
          <w:lang w:val="en-US"/>
        </w:rPr>
      </w:pPr>
      <w:r w:rsidRPr="006E3B72">
        <w:rPr>
          <w:lang w:val="en-US"/>
        </w:rPr>
        <w:t>RAN2 assumes that both UE and gNB are located at the satellite’s nadir, i.e., elevation angles are 90 degrees, for the calculation of round trip delay (RTD).</w:t>
      </w:r>
    </w:p>
    <w:p w14:paraId="7C1719A3" w14:textId="77777777" w:rsidR="00521506" w:rsidRPr="006E3B72" w:rsidRDefault="00521506" w:rsidP="00521506">
      <w:pPr>
        <w:pStyle w:val="ListParagraph"/>
        <w:numPr>
          <w:ilvl w:val="0"/>
          <w:numId w:val="16"/>
        </w:numPr>
        <w:overflowPunct w:val="0"/>
        <w:autoSpaceDE w:val="0"/>
        <w:autoSpaceDN w:val="0"/>
        <w:adjustRightInd w:val="0"/>
        <w:spacing w:after="180"/>
        <w:textAlignment w:val="baseline"/>
        <w:rPr>
          <w:lang w:val="en-US"/>
        </w:rPr>
      </w:pPr>
      <w:r w:rsidRPr="006E3B72">
        <w:rPr>
          <w:lang w:val="en-US"/>
        </w:rPr>
        <w:t>Given the assumptions of Proposal 1, feeder and service link delays are included in the propagation delay computation (RTD).</w:t>
      </w:r>
    </w:p>
    <w:p w14:paraId="1D3F89D6" w14:textId="77777777" w:rsidR="00521506" w:rsidRPr="006E3B72" w:rsidRDefault="00521506" w:rsidP="00521506">
      <w:pPr>
        <w:pStyle w:val="ListParagraph"/>
        <w:numPr>
          <w:ilvl w:val="0"/>
          <w:numId w:val="16"/>
        </w:numPr>
        <w:overflowPunct w:val="0"/>
        <w:autoSpaceDE w:val="0"/>
        <w:autoSpaceDN w:val="0"/>
        <w:adjustRightInd w:val="0"/>
        <w:spacing w:after="180"/>
        <w:textAlignment w:val="baseline"/>
        <w:rPr>
          <w:lang w:val="en-US"/>
        </w:rPr>
      </w:pPr>
      <w:r w:rsidRPr="006E3B72">
        <w:rPr>
          <w:lang w:val="en-US"/>
        </w:rPr>
        <w:t>For the mobility interruption evaluation, RAN2 assumes that for now it is sufficient to consider beam-based mobility in NTN.</w:t>
      </w:r>
    </w:p>
    <w:p w14:paraId="2997A7E4" w14:textId="77777777" w:rsidR="00521506" w:rsidRPr="006E3B72" w:rsidRDefault="00521506" w:rsidP="00521506">
      <w:pPr>
        <w:pStyle w:val="ListParagraph"/>
        <w:numPr>
          <w:ilvl w:val="0"/>
          <w:numId w:val="16"/>
        </w:numPr>
        <w:overflowPunct w:val="0"/>
        <w:autoSpaceDE w:val="0"/>
        <w:autoSpaceDN w:val="0"/>
        <w:adjustRightInd w:val="0"/>
        <w:spacing w:after="180"/>
        <w:textAlignment w:val="baseline"/>
        <w:rPr>
          <w:lang w:val="en-US"/>
        </w:rPr>
      </w:pPr>
      <w:r w:rsidRPr="006E3B72">
        <w:rPr>
          <w:lang w:val="en-US"/>
        </w:rPr>
        <w:t>From RAN2 perspective, satellite on-board delay can be considered negligible.</w:t>
      </w:r>
    </w:p>
    <w:p w14:paraId="3A10A4CE" w14:textId="77777777" w:rsidR="00521506" w:rsidRPr="006E3B72" w:rsidRDefault="00521506" w:rsidP="00521506">
      <w:pPr>
        <w:pStyle w:val="ListParagraph"/>
        <w:numPr>
          <w:ilvl w:val="0"/>
          <w:numId w:val="16"/>
        </w:numPr>
        <w:overflowPunct w:val="0"/>
        <w:autoSpaceDE w:val="0"/>
        <w:autoSpaceDN w:val="0"/>
        <w:adjustRightInd w:val="0"/>
        <w:spacing w:after="180"/>
        <w:textAlignment w:val="baseline"/>
        <w:rPr>
          <w:lang w:val="en-US"/>
        </w:rPr>
      </w:pPr>
      <w:r w:rsidRPr="006E3B72">
        <w:rPr>
          <w:lang w:val="en-US"/>
        </w:rPr>
        <w:lastRenderedPageBreak/>
        <w:t>RAN2 assumes the CP procedure defined in Figure 1 as the baseline for the CP evaluation.</w:t>
      </w:r>
    </w:p>
    <w:p w14:paraId="2B8F378C" w14:textId="77777777" w:rsidR="00521506" w:rsidRPr="006E3B72" w:rsidRDefault="00521506" w:rsidP="00521506">
      <w:pPr>
        <w:pStyle w:val="ListParagraph"/>
        <w:numPr>
          <w:ilvl w:val="0"/>
          <w:numId w:val="16"/>
        </w:numPr>
        <w:overflowPunct w:val="0"/>
        <w:autoSpaceDE w:val="0"/>
        <w:autoSpaceDN w:val="0"/>
        <w:adjustRightInd w:val="0"/>
        <w:spacing w:after="180"/>
        <w:textAlignment w:val="baseline"/>
        <w:rPr>
          <w:lang w:val="en-US"/>
        </w:rPr>
      </w:pPr>
      <w:r w:rsidRPr="006E3B72">
        <w:rPr>
          <w:lang w:val="en-US"/>
        </w:rPr>
        <w:t>For the best-case scenario, RAN2 assumes a lossless scenario (p=0) for the User plane evaluation / RAN2 will not consider retransmissions.</w:t>
      </w:r>
    </w:p>
    <w:p w14:paraId="3052BEFE" w14:textId="77777777" w:rsidR="00521506" w:rsidRPr="006E3B72" w:rsidRDefault="00521506" w:rsidP="00521506">
      <w:pPr>
        <w:pStyle w:val="ListParagraph"/>
        <w:numPr>
          <w:ilvl w:val="0"/>
          <w:numId w:val="16"/>
        </w:numPr>
        <w:overflowPunct w:val="0"/>
        <w:autoSpaceDE w:val="0"/>
        <w:autoSpaceDN w:val="0"/>
        <w:adjustRightInd w:val="0"/>
        <w:spacing w:after="180"/>
        <w:textAlignment w:val="baseline"/>
        <w:rPr>
          <w:lang w:val="en-US"/>
        </w:rPr>
      </w:pPr>
      <w:r w:rsidRPr="006E3B72">
        <w:rPr>
          <w:lang w:val="en-US"/>
        </w:rPr>
        <w:t>RAN2 assumes the following for the evaluation of CP and UP latency:</w:t>
      </w:r>
    </w:p>
    <w:p w14:paraId="7175D489" w14:textId="77777777" w:rsidR="00521506" w:rsidRDefault="00521506" w:rsidP="00521506">
      <w:pPr>
        <w:pStyle w:val="ListParagraph"/>
        <w:numPr>
          <w:ilvl w:val="1"/>
          <w:numId w:val="31"/>
        </w:numPr>
        <w:overflowPunct w:val="0"/>
        <w:autoSpaceDE w:val="0"/>
        <w:autoSpaceDN w:val="0"/>
        <w:adjustRightInd w:val="0"/>
        <w:spacing w:after="180"/>
        <w:textAlignment w:val="baseline"/>
      </w:pPr>
      <w:r>
        <w:t>NR FDD</w:t>
      </w:r>
    </w:p>
    <w:p w14:paraId="506789CC" w14:textId="77777777" w:rsidR="00521506" w:rsidRPr="006E3B72" w:rsidRDefault="00521506" w:rsidP="00521506">
      <w:pPr>
        <w:pStyle w:val="ListParagraph"/>
        <w:numPr>
          <w:ilvl w:val="1"/>
          <w:numId w:val="31"/>
        </w:numPr>
        <w:overflowPunct w:val="0"/>
        <w:autoSpaceDE w:val="0"/>
        <w:autoSpaceDN w:val="0"/>
        <w:adjustRightInd w:val="0"/>
        <w:spacing w:after="180"/>
        <w:textAlignment w:val="baseline"/>
        <w:rPr>
          <w:lang w:val="en-US"/>
        </w:rPr>
      </w:pPr>
      <w:r w:rsidRPr="006E3B72">
        <w:rPr>
          <w:lang w:val="en-US"/>
        </w:rPr>
        <w:t>Only NTN bands are considered (n255, n256).</w:t>
      </w:r>
    </w:p>
    <w:p w14:paraId="2F1E4508" w14:textId="77777777" w:rsidR="00521506" w:rsidRDefault="00521506" w:rsidP="00521506">
      <w:pPr>
        <w:pStyle w:val="ListParagraph"/>
        <w:numPr>
          <w:ilvl w:val="1"/>
          <w:numId w:val="31"/>
        </w:numPr>
        <w:overflowPunct w:val="0"/>
        <w:autoSpaceDE w:val="0"/>
        <w:autoSpaceDN w:val="0"/>
        <w:adjustRightInd w:val="0"/>
        <w:spacing w:after="180"/>
        <w:textAlignment w:val="baseline"/>
      </w:pPr>
      <w:r>
        <w:t>UE capabilities 1 &amp; 2</w:t>
      </w:r>
    </w:p>
    <w:p w14:paraId="374B094A" w14:textId="77777777" w:rsidR="00521506" w:rsidRDefault="00521506" w:rsidP="00521506">
      <w:pPr>
        <w:pStyle w:val="ListParagraph"/>
        <w:numPr>
          <w:ilvl w:val="1"/>
          <w:numId w:val="31"/>
        </w:numPr>
        <w:overflowPunct w:val="0"/>
        <w:autoSpaceDE w:val="0"/>
        <w:autoSpaceDN w:val="0"/>
        <w:adjustRightInd w:val="0"/>
        <w:spacing w:after="180"/>
        <w:textAlignment w:val="baseline"/>
      </w:pPr>
      <w:r>
        <w:t>Resource type mapping A &amp;B</w:t>
      </w:r>
    </w:p>
    <w:p w14:paraId="54B03D5D" w14:textId="77777777" w:rsidR="00521506" w:rsidRPr="006E3B72" w:rsidRDefault="00521506" w:rsidP="00521506">
      <w:pPr>
        <w:pStyle w:val="ListParagraph"/>
        <w:numPr>
          <w:ilvl w:val="1"/>
          <w:numId w:val="31"/>
        </w:numPr>
        <w:overflowPunct w:val="0"/>
        <w:autoSpaceDE w:val="0"/>
        <w:autoSpaceDN w:val="0"/>
        <w:adjustRightInd w:val="0"/>
        <w:spacing w:after="180"/>
        <w:textAlignment w:val="baseline"/>
        <w:rPr>
          <w:lang w:val="en-US"/>
        </w:rPr>
      </w:pPr>
      <w:r w:rsidRPr="006E3B72">
        <w:rPr>
          <w:lang w:val="en-US"/>
        </w:rPr>
        <w:t>SCS 15 kHz for the baseline scenario. FFS other supported scenarios (e.g., 30 kHz).</w:t>
      </w:r>
    </w:p>
    <w:p w14:paraId="10C753D4" w14:textId="77777777" w:rsidR="00521506" w:rsidRPr="00521506" w:rsidRDefault="00521506" w:rsidP="00521506">
      <w:pPr>
        <w:rPr>
          <w:lang w:val="en-GB" w:eastAsia="ja-JP"/>
        </w:rPr>
      </w:pPr>
    </w:p>
    <w:p w14:paraId="776A6B79" w14:textId="3A5A2C2D" w:rsidR="00B07221" w:rsidRDefault="00174AF3" w:rsidP="00B07221">
      <w:pPr>
        <w:pStyle w:val="Heading2"/>
      </w:pPr>
      <w:r>
        <w:t>2</w:t>
      </w:r>
      <w:r w:rsidR="00B07221">
        <w:t>.1</w:t>
      </w:r>
      <w:r w:rsidR="00B07221">
        <w:tab/>
        <w:t>CP latency</w:t>
      </w:r>
    </w:p>
    <w:p w14:paraId="05A6037E" w14:textId="3D2D2C74" w:rsidR="00F83359" w:rsidRPr="00F83359" w:rsidRDefault="00521506" w:rsidP="00F83359">
      <w:pPr>
        <w:rPr>
          <w:lang w:val="en-GB" w:eastAsia="ja-JP"/>
        </w:rPr>
      </w:pPr>
      <w:r>
        <w:rPr>
          <w:lang w:val="en-GB" w:eastAsia="ja-JP"/>
        </w:rPr>
        <w:t>As agreed in RAN2#123, the following c</w:t>
      </w:r>
      <w:r w:rsidR="0030350E">
        <w:rPr>
          <w:lang w:val="en-GB" w:eastAsia="ja-JP"/>
        </w:rPr>
        <w:t xml:space="preserve">ontrol plane procedure </w:t>
      </w:r>
      <w:r>
        <w:rPr>
          <w:lang w:val="en-GB" w:eastAsia="ja-JP"/>
        </w:rPr>
        <w:t xml:space="preserve">is the </w:t>
      </w:r>
      <w:r w:rsidR="00762BE8">
        <w:rPr>
          <w:lang w:val="en-GB" w:eastAsia="ja-JP"/>
        </w:rPr>
        <w:t xml:space="preserve">baseline </w:t>
      </w:r>
      <w:r w:rsidR="0030350E">
        <w:rPr>
          <w:lang w:val="en-GB" w:eastAsia="ja-JP"/>
        </w:rPr>
        <w:t xml:space="preserve">for the </w:t>
      </w:r>
      <w:r w:rsidR="00762BE8">
        <w:rPr>
          <w:lang w:val="en-GB" w:eastAsia="ja-JP"/>
        </w:rPr>
        <w:t>evaluation of IMT-2020 requirements.</w:t>
      </w:r>
    </w:p>
    <w:p w14:paraId="5377B018" w14:textId="31AB5CB7" w:rsidR="00101CED" w:rsidRDefault="00101CED" w:rsidP="00101CED">
      <w:pPr>
        <w:jc w:val="center"/>
        <w:rPr>
          <w:lang w:val="en-GB" w:eastAsia="ja-JP"/>
        </w:rPr>
      </w:pPr>
      <w:r>
        <w:rPr>
          <w:rFonts w:cs="Arial"/>
          <w:noProof/>
        </w:rPr>
        <w:drawing>
          <wp:inline distT="0" distB="0" distL="0" distR="0" wp14:anchorId="1610A3B6" wp14:editId="2731B28B">
            <wp:extent cx="3801110" cy="3207224"/>
            <wp:effectExtent l="0" t="0" r="8890" b="0"/>
            <wp:docPr id="2" name="Picture 2" descr="A diagram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omputer program&#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37759" cy="3238147"/>
                    </a:xfrm>
                    <a:prstGeom prst="rect">
                      <a:avLst/>
                    </a:prstGeom>
                  </pic:spPr>
                </pic:pic>
              </a:graphicData>
            </a:graphic>
          </wp:inline>
        </w:drawing>
      </w:r>
    </w:p>
    <w:p w14:paraId="480B8D0C" w14:textId="2803086F" w:rsidR="00521506" w:rsidRDefault="00521506">
      <w:pPr>
        <w:spacing w:after="0" w:line="240" w:lineRule="auto"/>
        <w:rPr>
          <w:lang w:val="en-GB" w:eastAsia="ja-JP"/>
        </w:rPr>
      </w:pPr>
      <w:r>
        <w:rPr>
          <w:lang w:val="en-GB" w:eastAsia="ja-JP"/>
        </w:rPr>
        <w:br w:type="page"/>
      </w:r>
    </w:p>
    <w:p w14:paraId="649A9733" w14:textId="504308A6" w:rsidR="00C645ED" w:rsidRDefault="00C645ED" w:rsidP="00C645ED">
      <w:pPr>
        <w:rPr>
          <w:b/>
          <w:bCs/>
          <w:lang w:val="en-GB" w:eastAsia="ja-JP"/>
        </w:rPr>
      </w:pPr>
      <w:r w:rsidRPr="00F83359">
        <w:rPr>
          <w:b/>
          <w:bCs/>
          <w:lang w:val="en-GB" w:eastAsia="ja-JP"/>
        </w:rPr>
        <w:t>Q</w:t>
      </w:r>
      <w:r w:rsidR="003253F8">
        <w:rPr>
          <w:b/>
          <w:bCs/>
          <w:lang w:val="en-GB" w:eastAsia="ja-JP"/>
        </w:rPr>
        <w:t>1</w:t>
      </w:r>
      <w:r w:rsidRPr="00F83359">
        <w:rPr>
          <w:b/>
          <w:bCs/>
          <w:lang w:val="en-GB" w:eastAsia="ja-JP"/>
        </w:rPr>
        <w:t xml:space="preserve">. Which delay assumptions are applicable to NR NTN? </w:t>
      </w:r>
      <w:r w:rsidR="00F83359">
        <w:rPr>
          <w:b/>
          <w:bCs/>
          <w:lang w:val="en-GB" w:eastAsia="ja-JP"/>
        </w:rPr>
        <w:t>Please fill in the last column “company comments” with suggestions and the respective justification.</w:t>
      </w: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3"/>
        <w:gridCol w:w="3294"/>
        <w:gridCol w:w="2696"/>
        <w:gridCol w:w="2694"/>
      </w:tblGrid>
      <w:tr w:rsidR="00B07221" w14:paraId="4E8D48B7" w14:textId="77777777" w:rsidTr="00372071">
        <w:trPr>
          <w:trHeight w:val="108"/>
          <w:jc w:val="center"/>
        </w:trPr>
        <w:tc>
          <w:tcPr>
            <w:tcW w:w="394" w:type="pct"/>
            <w:shd w:val="clear" w:color="auto" w:fill="D9D9D9" w:themeFill="background1" w:themeFillShade="D9"/>
            <w:tcMar>
              <w:top w:w="15" w:type="dxa"/>
              <w:left w:w="108" w:type="dxa"/>
              <w:bottom w:w="0" w:type="dxa"/>
              <w:right w:w="108" w:type="dxa"/>
            </w:tcMar>
            <w:vAlign w:val="center"/>
          </w:tcPr>
          <w:p w14:paraId="48A9F6AB" w14:textId="77777777" w:rsidR="00B07221" w:rsidRPr="00630C34" w:rsidRDefault="00B07221" w:rsidP="00630C34">
            <w:pPr>
              <w:pStyle w:val="TAH"/>
              <w:spacing w:after="0" w:line="240" w:lineRule="auto"/>
              <w:rPr>
                <w:rFonts w:ascii="Arial" w:hAnsi="Arial" w:cs="Times New Roman"/>
                <w:szCs w:val="20"/>
                <w:lang w:val="sv-SE" w:eastAsia="sv-SE"/>
              </w:rPr>
            </w:pPr>
            <w:r w:rsidRPr="00630C34">
              <w:rPr>
                <w:rFonts w:ascii="Arial" w:hAnsi="Arial" w:cs="Times New Roman"/>
                <w:szCs w:val="20"/>
                <w:lang w:val="sv-SE" w:eastAsia="sv-SE"/>
              </w:rPr>
              <w:t>Step</w:t>
            </w:r>
          </w:p>
        </w:tc>
        <w:tc>
          <w:tcPr>
            <w:tcW w:w="1747" w:type="pct"/>
            <w:shd w:val="clear" w:color="auto" w:fill="D9D9D9" w:themeFill="background1" w:themeFillShade="D9"/>
            <w:tcMar>
              <w:top w:w="15" w:type="dxa"/>
              <w:left w:w="108" w:type="dxa"/>
              <w:bottom w:w="0" w:type="dxa"/>
              <w:right w:w="108" w:type="dxa"/>
            </w:tcMar>
            <w:vAlign w:val="center"/>
          </w:tcPr>
          <w:p w14:paraId="3B68E5BF" w14:textId="77777777" w:rsidR="00B07221" w:rsidRPr="00630C34" w:rsidRDefault="00B07221" w:rsidP="00630C34">
            <w:pPr>
              <w:pStyle w:val="TAH"/>
              <w:spacing w:after="0" w:line="240" w:lineRule="auto"/>
              <w:rPr>
                <w:rFonts w:ascii="Arial" w:hAnsi="Arial" w:cs="Times New Roman"/>
                <w:szCs w:val="20"/>
                <w:lang w:val="sv-SE" w:eastAsia="sv-SE"/>
              </w:rPr>
            </w:pPr>
            <w:r w:rsidRPr="00630C34">
              <w:rPr>
                <w:rFonts w:ascii="Arial" w:hAnsi="Arial" w:cs="Times New Roman"/>
                <w:szCs w:val="20"/>
                <w:lang w:val="sv-SE" w:eastAsia="sv-SE"/>
              </w:rPr>
              <w:t>Description</w:t>
            </w:r>
          </w:p>
        </w:tc>
        <w:tc>
          <w:tcPr>
            <w:tcW w:w="1430" w:type="pct"/>
            <w:shd w:val="clear" w:color="auto" w:fill="D9D9D9" w:themeFill="background1" w:themeFillShade="D9"/>
            <w:tcMar>
              <w:top w:w="15" w:type="dxa"/>
              <w:left w:w="108" w:type="dxa"/>
              <w:bottom w:w="0" w:type="dxa"/>
              <w:right w:w="108" w:type="dxa"/>
            </w:tcMar>
            <w:vAlign w:val="bottom"/>
          </w:tcPr>
          <w:p w14:paraId="4242B23E" w14:textId="77777777" w:rsidR="00B07221" w:rsidRPr="00B163CA" w:rsidRDefault="00B07221" w:rsidP="00630C34">
            <w:pPr>
              <w:pStyle w:val="TAH"/>
              <w:spacing w:after="0" w:line="240" w:lineRule="auto"/>
              <w:rPr>
                <w:rFonts w:ascii="Arial" w:hAnsi="Arial" w:cs="Times New Roman"/>
                <w:szCs w:val="20"/>
                <w:lang w:val="en-US" w:eastAsia="sv-SE"/>
              </w:rPr>
            </w:pPr>
            <w:r w:rsidRPr="00B163CA">
              <w:rPr>
                <w:rFonts w:ascii="Arial" w:hAnsi="Arial" w:cs="Times New Roman"/>
                <w:szCs w:val="20"/>
                <w:lang w:val="en-US" w:eastAsia="sv-SE"/>
              </w:rPr>
              <w:t xml:space="preserve">CP latency for UL data transfer </w:t>
            </w:r>
          </w:p>
        </w:tc>
        <w:tc>
          <w:tcPr>
            <w:tcW w:w="1429" w:type="pct"/>
            <w:shd w:val="clear" w:color="auto" w:fill="D9D9D9" w:themeFill="background1" w:themeFillShade="D9"/>
          </w:tcPr>
          <w:p w14:paraId="13BCD6E8" w14:textId="77777777" w:rsidR="00B07221" w:rsidRPr="00630C34" w:rsidRDefault="00B07221" w:rsidP="00630C34">
            <w:pPr>
              <w:pStyle w:val="TAH"/>
              <w:spacing w:after="0" w:line="240" w:lineRule="auto"/>
              <w:rPr>
                <w:rFonts w:ascii="Arial" w:hAnsi="Arial" w:cs="Times New Roman"/>
                <w:szCs w:val="20"/>
                <w:lang w:val="sv-SE" w:eastAsia="sv-SE"/>
              </w:rPr>
            </w:pPr>
            <w:r w:rsidRPr="00630C34">
              <w:rPr>
                <w:rFonts w:ascii="Arial" w:hAnsi="Arial" w:cs="Times New Roman"/>
                <w:szCs w:val="20"/>
                <w:lang w:val="sv-SE" w:eastAsia="sv-SE"/>
              </w:rPr>
              <w:t>Company comments</w:t>
            </w:r>
          </w:p>
        </w:tc>
      </w:tr>
      <w:tr w:rsidR="00B07221" w14:paraId="227D50F0" w14:textId="77777777" w:rsidTr="00372071">
        <w:trPr>
          <w:trHeight w:val="255"/>
          <w:jc w:val="center"/>
        </w:trPr>
        <w:tc>
          <w:tcPr>
            <w:tcW w:w="394" w:type="pct"/>
            <w:shd w:val="clear" w:color="auto" w:fill="auto"/>
            <w:tcMar>
              <w:top w:w="15" w:type="dxa"/>
              <w:left w:w="108" w:type="dxa"/>
              <w:bottom w:w="0" w:type="dxa"/>
              <w:right w:w="108" w:type="dxa"/>
            </w:tcMar>
          </w:tcPr>
          <w:p w14:paraId="1D2B646E"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1</w:t>
            </w:r>
          </w:p>
        </w:tc>
        <w:tc>
          <w:tcPr>
            <w:tcW w:w="1747" w:type="pct"/>
            <w:shd w:val="clear" w:color="auto" w:fill="auto"/>
            <w:tcMar>
              <w:top w:w="15" w:type="dxa"/>
              <w:left w:w="108" w:type="dxa"/>
              <w:bottom w:w="0" w:type="dxa"/>
              <w:right w:w="108" w:type="dxa"/>
            </w:tcMar>
          </w:tcPr>
          <w:p w14:paraId="24B8A289" w14:textId="77777777" w:rsidR="00B07221" w:rsidRPr="00B163CA" w:rsidRDefault="00B07221" w:rsidP="0034204E">
            <w:pPr>
              <w:pStyle w:val="TAL"/>
              <w:spacing w:after="0" w:line="240" w:lineRule="auto"/>
              <w:rPr>
                <w:rFonts w:ascii="Arial" w:hAnsi="Arial" w:cs="Times New Roman"/>
                <w:szCs w:val="20"/>
                <w:lang w:val="en-US" w:eastAsia="sv-SE"/>
              </w:rPr>
            </w:pPr>
            <w:r w:rsidRPr="00B163CA">
              <w:rPr>
                <w:rFonts w:ascii="Arial" w:hAnsi="Arial" w:cs="Times New Roman"/>
                <w:szCs w:val="20"/>
                <w:lang w:val="en-US" w:eastAsia="sv-SE"/>
              </w:rPr>
              <w:t>Delay due to RACH scheduling period (1TTI)</w:t>
            </w:r>
          </w:p>
        </w:tc>
        <w:tc>
          <w:tcPr>
            <w:tcW w:w="1430" w:type="pct"/>
            <w:shd w:val="clear" w:color="auto" w:fill="auto"/>
            <w:tcMar>
              <w:top w:w="15" w:type="dxa"/>
              <w:left w:w="108" w:type="dxa"/>
              <w:bottom w:w="0" w:type="dxa"/>
              <w:right w:w="108" w:type="dxa"/>
            </w:tcMar>
          </w:tcPr>
          <w:p w14:paraId="5A401BB0"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0</w:t>
            </w:r>
          </w:p>
        </w:tc>
        <w:tc>
          <w:tcPr>
            <w:tcW w:w="1429" w:type="pct"/>
          </w:tcPr>
          <w:p w14:paraId="6873186F" w14:textId="77777777" w:rsidR="00B07221" w:rsidRPr="00630C34" w:rsidRDefault="00B07221" w:rsidP="0034204E">
            <w:pPr>
              <w:pStyle w:val="TAL"/>
              <w:spacing w:after="0" w:line="240" w:lineRule="auto"/>
              <w:rPr>
                <w:rFonts w:ascii="Arial" w:hAnsi="Arial" w:cs="Times New Roman"/>
                <w:szCs w:val="20"/>
                <w:lang w:val="sv-SE" w:eastAsia="sv-SE"/>
              </w:rPr>
            </w:pPr>
          </w:p>
        </w:tc>
      </w:tr>
      <w:tr w:rsidR="00B07221" w14:paraId="75847F6C" w14:textId="77777777" w:rsidTr="00372071">
        <w:trPr>
          <w:trHeight w:val="255"/>
          <w:jc w:val="center"/>
        </w:trPr>
        <w:tc>
          <w:tcPr>
            <w:tcW w:w="394" w:type="pct"/>
            <w:shd w:val="clear" w:color="auto" w:fill="auto"/>
            <w:tcMar>
              <w:top w:w="15" w:type="dxa"/>
              <w:left w:w="108" w:type="dxa"/>
              <w:bottom w:w="0" w:type="dxa"/>
              <w:right w:w="108" w:type="dxa"/>
            </w:tcMar>
          </w:tcPr>
          <w:p w14:paraId="3C96CF45" w14:textId="6FC9C6D8"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2.1</w:t>
            </w:r>
          </w:p>
        </w:tc>
        <w:tc>
          <w:tcPr>
            <w:tcW w:w="1747" w:type="pct"/>
            <w:shd w:val="clear" w:color="auto" w:fill="auto"/>
            <w:tcMar>
              <w:top w:w="15" w:type="dxa"/>
              <w:left w:w="108" w:type="dxa"/>
              <w:bottom w:w="0" w:type="dxa"/>
              <w:right w:w="108" w:type="dxa"/>
            </w:tcMar>
          </w:tcPr>
          <w:p w14:paraId="009A59DF"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Transmission of MsgA</w:t>
            </w:r>
          </w:p>
        </w:tc>
        <w:tc>
          <w:tcPr>
            <w:tcW w:w="1430" w:type="pct"/>
            <w:shd w:val="clear" w:color="auto" w:fill="auto"/>
            <w:tcMar>
              <w:top w:w="15" w:type="dxa"/>
              <w:left w:w="108" w:type="dxa"/>
              <w:bottom w:w="0" w:type="dxa"/>
              <w:right w:w="108" w:type="dxa"/>
            </w:tcMar>
          </w:tcPr>
          <w:p w14:paraId="3C765E49" w14:textId="77777777" w:rsidR="00B07221" w:rsidRPr="00630C34" w:rsidRDefault="00B07221" w:rsidP="0034204E">
            <w:pPr>
              <w:pStyle w:val="TAL"/>
              <w:spacing w:after="0" w:line="240" w:lineRule="auto"/>
              <w:rPr>
                <w:rFonts w:ascii="Arial" w:hAnsi="Arial" w:cs="Times New Roman"/>
                <w:szCs w:val="20"/>
                <w:lang w:val="sv-SE" w:eastAsia="sv-SE"/>
              </w:rPr>
            </w:pPr>
          </w:p>
        </w:tc>
        <w:tc>
          <w:tcPr>
            <w:tcW w:w="1429" w:type="pct"/>
          </w:tcPr>
          <w:p w14:paraId="240BD8AF" w14:textId="77777777" w:rsidR="00B07221" w:rsidRPr="00630C34" w:rsidRDefault="00B07221" w:rsidP="0034204E">
            <w:pPr>
              <w:pStyle w:val="TAL"/>
              <w:spacing w:after="0" w:line="240" w:lineRule="auto"/>
              <w:rPr>
                <w:rFonts w:ascii="Arial" w:hAnsi="Arial" w:cs="Times New Roman"/>
                <w:szCs w:val="20"/>
                <w:lang w:val="sv-SE" w:eastAsia="sv-SE"/>
              </w:rPr>
            </w:pPr>
          </w:p>
        </w:tc>
      </w:tr>
      <w:tr w:rsidR="00B07221" w:rsidRPr="006E3B72" w14:paraId="6074178D" w14:textId="77777777" w:rsidTr="00372071">
        <w:trPr>
          <w:trHeight w:val="255"/>
          <w:jc w:val="center"/>
        </w:trPr>
        <w:tc>
          <w:tcPr>
            <w:tcW w:w="394" w:type="pct"/>
            <w:shd w:val="clear" w:color="auto" w:fill="auto"/>
            <w:tcMar>
              <w:top w:w="15" w:type="dxa"/>
              <w:left w:w="108" w:type="dxa"/>
              <w:bottom w:w="0" w:type="dxa"/>
              <w:right w:w="108" w:type="dxa"/>
            </w:tcMar>
          </w:tcPr>
          <w:p w14:paraId="771947DE"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2.1.1</w:t>
            </w:r>
          </w:p>
        </w:tc>
        <w:tc>
          <w:tcPr>
            <w:tcW w:w="1747" w:type="pct"/>
            <w:shd w:val="clear" w:color="auto" w:fill="auto"/>
            <w:tcMar>
              <w:top w:w="15" w:type="dxa"/>
              <w:left w:w="108" w:type="dxa"/>
              <w:bottom w:w="0" w:type="dxa"/>
              <w:right w:w="108" w:type="dxa"/>
            </w:tcMar>
          </w:tcPr>
          <w:p w14:paraId="1FE716BF"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Transmission of RACH Preamble</w:t>
            </w:r>
          </w:p>
        </w:tc>
        <w:tc>
          <w:tcPr>
            <w:tcW w:w="1430" w:type="pct"/>
            <w:shd w:val="clear" w:color="auto" w:fill="auto"/>
            <w:tcMar>
              <w:top w:w="15" w:type="dxa"/>
              <w:left w:w="108" w:type="dxa"/>
              <w:bottom w:w="0" w:type="dxa"/>
              <w:right w:w="108" w:type="dxa"/>
            </w:tcMar>
          </w:tcPr>
          <w:p w14:paraId="7F60640A" w14:textId="7FF138B7" w:rsidR="00B07221" w:rsidRPr="00B163CA" w:rsidRDefault="00B07221" w:rsidP="0034204E">
            <w:pPr>
              <w:pStyle w:val="TAL"/>
              <w:spacing w:after="0" w:line="240" w:lineRule="auto"/>
              <w:rPr>
                <w:rFonts w:ascii="Arial" w:hAnsi="Arial" w:cs="Times New Roman"/>
                <w:szCs w:val="20"/>
                <w:lang w:val="en-US" w:eastAsia="sv-SE"/>
              </w:rPr>
            </w:pPr>
            <w:r w:rsidRPr="00B163CA">
              <w:rPr>
                <w:rFonts w:ascii="Arial" w:hAnsi="Arial" w:cs="Times New Roman"/>
                <w:szCs w:val="20"/>
                <w:lang w:val="en-US" w:eastAsia="sv-SE"/>
              </w:rPr>
              <w:t>Length of the preamble according to the PRACH format</w:t>
            </w:r>
          </w:p>
        </w:tc>
        <w:tc>
          <w:tcPr>
            <w:tcW w:w="1429" w:type="pct"/>
          </w:tcPr>
          <w:p w14:paraId="2FEADEDA" w14:textId="77777777" w:rsidR="00B07221" w:rsidRPr="00B163CA" w:rsidRDefault="00B07221" w:rsidP="0034204E">
            <w:pPr>
              <w:pStyle w:val="TAL"/>
              <w:spacing w:after="0" w:line="240" w:lineRule="auto"/>
              <w:rPr>
                <w:rFonts w:ascii="Arial" w:hAnsi="Arial" w:cs="Times New Roman"/>
                <w:szCs w:val="20"/>
                <w:lang w:val="en-US" w:eastAsia="sv-SE"/>
              </w:rPr>
            </w:pPr>
          </w:p>
        </w:tc>
      </w:tr>
      <w:tr w:rsidR="00B07221" w:rsidRPr="006E3B72" w14:paraId="00BC63F8" w14:textId="77777777" w:rsidTr="00372071">
        <w:trPr>
          <w:trHeight w:val="255"/>
          <w:jc w:val="center"/>
        </w:trPr>
        <w:tc>
          <w:tcPr>
            <w:tcW w:w="394" w:type="pct"/>
            <w:shd w:val="clear" w:color="auto" w:fill="auto"/>
            <w:tcMar>
              <w:top w:w="15" w:type="dxa"/>
              <w:left w:w="108" w:type="dxa"/>
              <w:bottom w:w="0" w:type="dxa"/>
              <w:right w:w="108" w:type="dxa"/>
            </w:tcMar>
          </w:tcPr>
          <w:p w14:paraId="60B86B90"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2.1.2</w:t>
            </w:r>
          </w:p>
        </w:tc>
        <w:tc>
          <w:tcPr>
            <w:tcW w:w="1747" w:type="pct"/>
            <w:shd w:val="clear" w:color="auto" w:fill="auto"/>
            <w:tcMar>
              <w:top w:w="15" w:type="dxa"/>
              <w:left w:w="108" w:type="dxa"/>
              <w:bottom w:w="0" w:type="dxa"/>
              <w:right w:w="108" w:type="dxa"/>
            </w:tcMar>
          </w:tcPr>
          <w:p w14:paraId="1E03705F"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Transmission interval</w:t>
            </w:r>
          </w:p>
        </w:tc>
        <w:tc>
          <w:tcPr>
            <w:tcW w:w="1430" w:type="pct"/>
            <w:shd w:val="clear" w:color="auto" w:fill="auto"/>
            <w:tcMar>
              <w:top w:w="15" w:type="dxa"/>
              <w:left w:w="108" w:type="dxa"/>
              <w:bottom w:w="0" w:type="dxa"/>
              <w:right w:w="108" w:type="dxa"/>
            </w:tcMar>
          </w:tcPr>
          <w:p w14:paraId="04FAA610" w14:textId="1F1DD075"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1 ms</w:t>
            </w:r>
          </w:p>
        </w:tc>
        <w:tc>
          <w:tcPr>
            <w:tcW w:w="1429" w:type="pct"/>
          </w:tcPr>
          <w:p w14:paraId="79C474A9" w14:textId="70BD7E56" w:rsidR="00B07221" w:rsidRPr="00630C34" w:rsidRDefault="006E3B72" w:rsidP="0034204E">
            <w:pPr>
              <w:pStyle w:val="TAL"/>
              <w:spacing w:after="0" w:line="240" w:lineRule="auto"/>
              <w:rPr>
                <w:rFonts w:ascii="Arial" w:hAnsi="Arial" w:cs="Times New Roman"/>
                <w:szCs w:val="20"/>
                <w:lang w:val="sv-SE" w:eastAsia="sv-SE"/>
              </w:rPr>
            </w:pPr>
            <w:r>
              <w:rPr>
                <w:rFonts w:ascii="Arial" w:hAnsi="Arial" w:cs="Times New Roman"/>
                <w:szCs w:val="20"/>
                <w:lang w:val="sv-SE" w:eastAsia="sv-SE"/>
              </w:rPr>
              <w:t xml:space="preserve"> THALES : Need to precise what is heard by ”Transmission interval” of MsgA</w:t>
            </w:r>
            <w:r w:rsidR="008F57AE">
              <w:rPr>
                <w:rFonts w:ascii="Arial" w:hAnsi="Arial" w:cs="Times New Roman"/>
                <w:szCs w:val="20"/>
                <w:lang w:val="sv-SE" w:eastAsia="sv-SE"/>
              </w:rPr>
              <w:t xml:space="preserve"> in a Note</w:t>
            </w:r>
            <w:bookmarkStart w:id="1" w:name="_GoBack"/>
            <w:bookmarkEnd w:id="1"/>
            <w:r>
              <w:rPr>
                <w:rFonts w:ascii="Arial" w:hAnsi="Arial" w:cs="Times New Roman"/>
                <w:szCs w:val="20"/>
                <w:lang w:val="sv-SE" w:eastAsia="sv-SE"/>
              </w:rPr>
              <w:t>. Should it depend to the SCS selected ?</w:t>
            </w:r>
          </w:p>
        </w:tc>
      </w:tr>
      <w:tr w:rsidR="00B07221" w:rsidRPr="006E3B72" w14:paraId="6CB6B0CD" w14:textId="77777777" w:rsidTr="00372071">
        <w:trPr>
          <w:trHeight w:val="255"/>
          <w:jc w:val="center"/>
        </w:trPr>
        <w:tc>
          <w:tcPr>
            <w:tcW w:w="394" w:type="pct"/>
            <w:shd w:val="clear" w:color="auto" w:fill="auto"/>
            <w:tcMar>
              <w:top w:w="15" w:type="dxa"/>
              <w:left w:w="108" w:type="dxa"/>
              <w:bottom w:w="0" w:type="dxa"/>
              <w:right w:w="108" w:type="dxa"/>
            </w:tcMar>
          </w:tcPr>
          <w:p w14:paraId="5653DC36"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2.1.3</w:t>
            </w:r>
          </w:p>
        </w:tc>
        <w:tc>
          <w:tcPr>
            <w:tcW w:w="1747" w:type="pct"/>
            <w:shd w:val="clear" w:color="auto" w:fill="auto"/>
            <w:tcMar>
              <w:top w:w="15" w:type="dxa"/>
              <w:left w:w="108" w:type="dxa"/>
              <w:bottom w:w="0" w:type="dxa"/>
              <w:right w:w="108" w:type="dxa"/>
            </w:tcMar>
          </w:tcPr>
          <w:p w14:paraId="6A33E985" w14:textId="77777777" w:rsidR="00B07221" w:rsidRPr="00B163CA" w:rsidRDefault="00B07221" w:rsidP="0034204E">
            <w:pPr>
              <w:pStyle w:val="TAL"/>
              <w:spacing w:after="0" w:line="240" w:lineRule="auto"/>
              <w:rPr>
                <w:rFonts w:ascii="Arial" w:hAnsi="Arial" w:cs="Times New Roman"/>
                <w:szCs w:val="20"/>
                <w:lang w:val="en-US" w:eastAsia="sv-SE"/>
              </w:rPr>
            </w:pPr>
            <w:r w:rsidRPr="00B163CA">
              <w:rPr>
                <w:rFonts w:ascii="Arial" w:hAnsi="Arial" w:cs="Times New Roman"/>
                <w:szCs w:val="20"/>
                <w:lang w:val="en-US" w:eastAsia="sv-SE"/>
              </w:rPr>
              <w:t>Transmission of PUSCH payload (RRCResumeRequest)</w:t>
            </w:r>
          </w:p>
        </w:tc>
        <w:tc>
          <w:tcPr>
            <w:tcW w:w="1430" w:type="pct"/>
            <w:shd w:val="clear" w:color="auto" w:fill="auto"/>
            <w:tcMar>
              <w:top w:w="15" w:type="dxa"/>
              <w:left w:w="108" w:type="dxa"/>
              <w:bottom w:w="0" w:type="dxa"/>
              <w:right w:w="108" w:type="dxa"/>
            </w:tcMar>
          </w:tcPr>
          <w:p w14:paraId="649279D1" w14:textId="77777777" w:rsidR="00B07221" w:rsidRPr="00B163CA" w:rsidRDefault="00B07221" w:rsidP="0034204E">
            <w:pPr>
              <w:pStyle w:val="TAL"/>
              <w:spacing w:after="0" w:line="240" w:lineRule="auto"/>
              <w:rPr>
                <w:rFonts w:ascii="Arial" w:hAnsi="Arial" w:cs="Times New Roman"/>
                <w:szCs w:val="20"/>
                <w:lang w:val="en-US" w:eastAsia="sv-SE"/>
              </w:rPr>
            </w:pPr>
            <w:r w:rsidRPr="00B163CA">
              <w:rPr>
                <w:rFonts w:ascii="Arial" w:hAnsi="Arial" w:cs="Times New Roman"/>
                <w:szCs w:val="20"/>
                <w:lang w:val="en-US" w:eastAsia="sv-SE"/>
              </w:rPr>
              <w:t>Ts (the length of 1 slot / non-slot)</w:t>
            </w:r>
          </w:p>
        </w:tc>
        <w:tc>
          <w:tcPr>
            <w:tcW w:w="1429" w:type="pct"/>
          </w:tcPr>
          <w:p w14:paraId="62583358" w14:textId="77777777" w:rsidR="00B07221" w:rsidRPr="00B163CA" w:rsidRDefault="00B07221" w:rsidP="0034204E">
            <w:pPr>
              <w:pStyle w:val="TAL"/>
              <w:spacing w:after="0" w:line="240" w:lineRule="auto"/>
              <w:rPr>
                <w:rFonts w:ascii="Arial" w:hAnsi="Arial" w:cs="Times New Roman"/>
                <w:szCs w:val="20"/>
                <w:lang w:val="en-US" w:eastAsia="sv-SE"/>
              </w:rPr>
            </w:pPr>
          </w:p>
        </w:tc>
      </w:tr>
      <w:tr w:rsidR="00B07221" w14:paraId="5647F1E5" w14:textId="77777777" w:rsidTr="00372071">
        <w:trPr>
          <w:trHeight w:val="255"/>
          <w:jc w:val="center"/>
        </w:trPr>
        <w:tc>
          <w:tcPr>
            <w:tcW w:w="394" w:type="pct"/>
            <w:shd w:val="clear" w:color="auto" w:fill="auto"/>
            <w:tcMar>
              <w:top w:w="15" w:type="dxa"/>
              <w:left w:w="108" w:type="dxa"/>
              <w:bottom w:w="0" w:type="dxa"/>
              <w:right w:w="108" w:type="dxa"/>
            </w:tcMar>
          </w:tcPr>
          <w:p w14:paraId="37A98FA6"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2.2</w:t>
            </w:r>
          </w:p>
        </w:tc>
        <w:tc>
          <w:tcPr>
            <w:tcW w:w="1747" w:type="pct"/>
            <w:shd w:val="clear" w:color="auto" w:fill="auto"/>
            <w:tcMar>
              <w:top w:w="15" w:type="dxa"/>
              <w:left w:w="108" w:type="dxa"/>
              <w:bottom w:w="0" w:type="dxa"/>
              <w:right w:w="108" w:type="dxa"/>
            </w:tcMar>
          </w:tcPr>
          <w:p w14:paraId="7EF8B1C9"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Propagation delay UE -&gt; BS</w:t>
            </w:r>
          </w:p>
        </w:tc>
        <w:tc>
          <w:tcPr>
            <w:tcW w:w="1430" w:type="pct"/>
            <w:shd w:val="clear" w:color="auto" w:fill="auto"/>
            <w:tcMar>
              <w:top w:w="15" w:type="dxa"/>
              <w:left w:w="108" w:type="dxa"/>
              <w:bottom w:w="0" w:type="dxa"/>
              <w:right w:w="108" w:type="dxa"/>
            </w:tcMar>
          </w:tcPr>
          <w:p w14:paraId="25C96E19"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RTD/2</w:t>
            </w:r>
          </w:p>
        </w:tc>
        <w:tc>
          <w:tcPr>
            <w:tcW w:w="1429" w:type="pct"/>
          </w:tcPr>
          <w:p w14:paraId="3B917525" w14:textId="77777777" w:rsidR="00B07221" w:rsidRPr="00630C34" w:rsidRDefault="00B07221" w:rsidP="0034204E">
            <w:pPr>
              <w:pStyle w:val="TAL"/>
              <w:spacing w:after="0" w:line="240" w:lineRule="auto"/>
              <w:rPr>
                <w:rFonts w:ascii="Arial" w:hAnsi="Arial" w:cs="Times New Roman"/>
                <w:szCs w:val="20"/>
                <w:lang w:val="sv-SE" w:eastAsia="sv-SE"/>
              </w:rPr>
            </w:pPr>
          </w:p>
        </w:tc>
      </w:tr>
      <w:tr w:rsidR="00B07221" w:rsidRPr="006E3B72" w14:paraId="0CEB5D39" w14:textId="77777777" w:rsidTr="00372071">
        <w:trPr>
          <w:trHeight w:val="249"/>
          <w:jc w:val="center"/>
        </w:trPr>
        <w:tc>
          <w:tcPr>
            <w:tcW w:w="394" w:type="pct"/>
            <w:shd w:val="clear" w:color="auto" w:fill="auto"/>
            <w:tcMar>
              <w:top w:w="15" w:type="dxa"/>
              <w:left w:w="108" w:type="dxa"/>
              <w:bottom w:w="0" w:type="dxa"/>
              <w:right w:w="108" w:type="dxa"/>
            </w:tcMar>
          </w:tcPr>
          <w:p w14:paraId="2117B5C9"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3</w:t>
            </w:r>
          </w:p>
        </w:tc>
        <w:tc>
          <w:tcPr>
            <w:tcW w:w="1747" w:type="pct"/>
            <w:shd w:val="clear" w:color="auto" w:fill="auto"/>
            <w:tcMar>
              <w:top w:w="15" w:type="dxa"/>
              <w:left w:w="108" w:type="dxa"/>
              <w:bottom w:w="0" w:type="dxa"/>
              <w:right w:w="108" w:type="dxa"/>
            </w:tcMar>
          </w:tcPr>
          <w:p w14:paraId="25A5A076" w14:textId="77777777" w:rsidR="00B07221" w:rsidRPr="00B163CA" w:rsidRDefault="00B07221" w:rsidP="0034204E">
            <w:pPr>
              <w:pStyle w:val="TAL"/>
              <w:spacing w:after="0" w:line="240" w:lineRule="auto"/>
              <w:rPr>
                <w:rFonts w:ascii="Arial" w:hAnsi="Arial" w:cs="Times New Roman"/>
                <w:szCs w:val="20"/>
                <w:lang w:val="en-US" w:eastAsia="sv-SE"/>
              </w:rPr>
            </w:pPr>
            <w:r w:rsidRPr="00B163CA">
              <w:rPr>
                <w:rFonts w:ascii="Arial" w:hAnsi="Arial" w:cs="Times New Roman"/>
                <w:szCs w:val="20"/>
                <w:lang w:val="en-US" w:eastAsia="sv-SE"/>
              </w:rPr>
              <w:t>MsgA detection and processing delay in gNB (preamble, L2, RRC)</w:t>
            </w:r>
          </w:p>
        </w:tc>
        <w:tc>
          <w:tcPr>
            <w:tcW w:w="1430" w:type="pct"/>
            <w:shd w:val="clear" w:color="auto" w:fill="auto"/>
            <w:tcMar>
              <w:top w:w="15" w:type="dxa"/>
              <w:left w:w="108" w:type="dxa"/>
              <w:bottom w:w="0" w:type="dxa"/>
              <w:right w:w="108" w:type="dxa"/>
            </w:tcMar>
          </w:tcPr>
          <w:p w14:paraId="2F10ADAD" w14:textId="43FDE9F9"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3 ms</w:t>
            </w:r>
          </w:p>
        </w:tc>
        <w:tc>
          <w:tcPr>
            <w:tcW w:w="1429" w:type="pct"/>
          </w:tcPr>
          <w:p w14:paraId="572F07E1" w14:textId="77777777" w:rsidR="00B07221" w:rsidRPr="00B163CA" w:rsidRDefault="00A8680D" w:rsidP="0034204E">
            <w:pPr>
              <w:pStyle w:val="TAL"/>
              <w:spacing w:after="0" w:line="240" w:lineRule="auto"/>
              <w:rPr>
                <w:rFonts w:ascii="Arial" w:hAnsi="Arial" w:cs="Times New Roman"/>
                <w:szCs w:val="20"/>
                <w:lang w:val="en-US" w:eastAsia="sv-SE"/>
              </w:rPr>
            </w:pPr>
            <w:r w:rsidRPr="00B163CA">
              <w:rPr>
                <w:rFonts w:ascii="Arial" w:hAnsi="Arial" w:cs="Times New Roman"/>
                <w:szCs w:val="20"/>
                <w:lang w:val="en-US" w:eastAsia="sv-SE"/>
              </w:rPr>
              <w:t>[Rapp] Same as for reception of Msg3 in NR TN</w:t>
            </w:r>
          </w:p>
          <w:p w14:paraId="2DE38829" w14:textId="512A19DD" w:rsidR="00A8680D" w:rsidRPr="00B163CA" w:rsidRDefault="00A8680D" w:rsidP="0034204E">
            <w:pPr>
              <w:pStyle w:val="TAL"/>
              <w:spacing w:after="0" w:line="240" w:lineRule="auto"/>
              <w:rPr>
                <w:rFonts w:ascii="Arial" w:hAnsi="Arial" w:cs="Times New Roman"/>
                <w:szCs w:val="20"/>
                <w:lang w:val="en-US" w:eastAsia="sv-SE"/>
              </w:rPr>
            </w:pPr>
          </w:p>
        </w:tc>
      </w:tr>
      <w:tr w:rsidR="00B07221" w14:paraId="57C8EFEF" w14:textId="77777777" w:rsidTr="00372071">
        <w:trPr>
          <w:trHeight w:val="255"/>
          <w:jc w:val="center"/>
        </w:trPr>
        <w:tc>
          <w:tcPr>
            <w:tcW w:w="394" w:type="pct"/>
            <w:shd w:val="clear" w:color="auto" w:fill="auto"/>
            <w:tcMar>
              <w:top w:w="15" w:type="dxa"/>
              <w:left w:w="108" w:type="dxa"/>
              <w:bottom w:w="0" w:type="dxa"/>
              <w:right w:w="108" w:type="dxa"/>
            </w:tcMar>
          </w:tcPr>
          <w:p w14:paraId="3C63FC65"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4</w:t>
            </w:r>
          </w:p>
        </w:tc>
        <w:tc>
          <w:tcPr>
            <w:tcW w:w="1747" w:type="pct"/>
            <w:shd w:val="clear" w:color="auto" w:fill="auto"/>
            <w:tcMar>
              <w:top w:w="15" w:type="dxa"/>
              <w:left w:w="108" w:type="dxa"/>
              <w:bottom w:w="0" w:type="dxa"/>
              <w:right w:w="108" w:type="dxa"/>
            </w:tcMar>
          </w:tcPr>
          <w:p w14:paraId="62D67A5E"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Transmission of MsgB</w:t>
            </w:r>
          </w:p>
        </w:tc>
        <w:tc>
          <w:tcPr>
            <w:tcW w:w="1430" w:type="pct"/>
            <w:shd w:val="clear" w:color="auto" w:fill="auto"/>
            <w:tcMar>
              <w:top w:w="15" w:type="dxa"/>
              <w:left w:w="108" w:type="dxa"/>
              <w:bottom w:w="0" w:type="dxa"/>
              <w:right w:w="108" w:type="dxa"/>
            </w:tcMar>
          </w:tcPr>
          <w:p w14:paraId="59215385" w14:textId="77777777" w:rsidR="00B07221" w:rsidRPr="00630C34" w:rsidRDefault="00B07221" w:rsidP="0034204E">
            <w:pPr>
              <w:pStyle w:val="TAL"/>
              <w:spacing w:after="0" w:line="240" w:lineRule="auto"/>
              <w:rPr>
                <w:rFonts w:ascii="Arial" w:hAnsi="Arial" w:cs="Times New Roman"/>
                <w:szCs w:val="20"/>
                <w:lang w:val="sv-SE" w:eastAsia="sv-SE"/>
              </w:rPr>
            </w:pPr>
          </w:p>
        </w:tc>
        <w:tc>
          <w:tcPr>
            <w:tcW w:w="1429" w:type="pct"/>
          </w:tcPr>
          <w:p w14:paraId="6E8DFA51" w14:textId="77777777" w:rsidR="00B07221" w:rsidRPr="00630C34" w:rsidRDefault="00B07221" w:rsidP="0034204E">
            <w:pPr>
              <w:pStyle w:val="TAL"/>
              <w:spacing w:after="0" w:line="240" w:lineRule="auto"/>
              <w:rPr>
                <w:rFonts w:ascii="Arial" w:hAnsi="Arial" w:cs="Times New Roman"/>
                <w:szCs w:val="20"/>
                <w:lang w:val="sv-SE" w:eastAsia="sv-SE"/>
              </w:rPr>
            </w:pPr>
          </w:p>
        </w:tc>
      </w:tr>
      <w:tr w:rsidR="00B07221" w:rsidRPr="006E3B72" w14:paraId="137C918A" w14:textId="77777777" w:rsidTr="00372071">
        <w:trPr>
          <w:trHeight w:val="255"/>
          <w:jc w:val="center"/>
        </w:trPr>
        <w:tc>
          <w:tcPr>
            <w:tcW w:w="394" w:type="pct"/>
            <w:shd w:val="clear" w:color="auto" w:fill="auto"/>
            <w:tcMar>
              <w:top w:w="15" w:type="dxa"/>
              <w:left w:w="108" w:type="dxa"/>
              <w:bottom w:w="0" w:type="dxa"/>
              <w:right w:w="108" w:type="dxa"/>
            </w:tcMar>
          </w:tcPr>
          <w:p w14:paraId="52A97D10"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4.1</w:t>
            </w:r>
          </w:p>
        </w:tc>
        <w:tc>
          <w:tcPr>
            <w:tcW w:w="1747" w:type="pct"/>
            <w:shd w:val="clear" w:color="auto" w:fill="auto"/>
            <w:tcMar>
              <w:top w:w="15" w:type="dxa"/>
              <w:left w:w="108" w:type="dxa"/>
              <w:bottom w:w="0" w:type="dxa"/>
              <w:right w:w="108" w:type="dxa"/>
            </w:tcMar>
          </w:tcPr>
          <w:p w14:paraId="4B2FB577" w14:textId="77777777" w:rsidR="00B07221" w:rsidRPr="00B163CA" w:rsidRDefault="00B07221" w:rsidP="0034204E">
            <w:pPr>
              <w:pStyle w:val="TAL"/>
              <w:spacing w:after="0" w:line="240" w:lineRule="auto"/>
              <w:rPr>
                <w:rFonts w:ascii="Arial" w:hAnsi="Arial" w:cs="Times New Roman"/>
                <w:szCs w:val="20"/>
                <w:lang w:val="en-US" w:eastAsia="sv-SE"/>
              </w:rPr>
            </w:pPr>
            <w:r w:rsidRPr="00B163CA">
              <w:rPr>
                <w:rFonts w:ascii="Arial" w:hAnsi="Arial" w:cs="Times New Roman"/>
                <w:szCs w:val="20"/>
                <w:lang w:val="en-US" w:eastAsia="sv-SE"/>
              </w:rPr>
              <w:t>Transmission of MsgB (RA response and RRCResume)</w:t>
            </w:r>
          </w:p>
        </w:tc>
        <w:tc>
          <w:tcPr>
            <w:tcW w:w="1430" w:type="pct"/>
            <w:shd w:val="clear" w:color="auto" w:fill="auto"/>
            <w:tcMar>
              <w:top w:w="15" w:type="dxa"/>
              <w:left w:w="108" w:type="dxa"/>
              <w:bottom w:w="0" w:type="dxa"/>
              <w:right w:w="108" w:type="dxa"/>
            </w:tcMar>
          </w:tcPr>
          <w:p w14:paraId="00516A3B" w14:textId="77777777" w:rsidR="00B07221" w:rsidRPr="00B163CA" w:rsidRDefault="00B07221" w:rsidP="0034204E">
            <w:pPr>
              <w:pStyle w:val="TAL"/>
              <w:spacing w:after="0" w:line="240" w:lineRule="auto"/>
              <w:rPr>
                <w:rFonts w:ascii="Arial" w:hAnsi="Arial" w:cs="Times New Roman"/>
                <w:szCs w:val="20"/>
                <w:lang w:val="en-US" w:eastAsia="sv-SE"/>
              </w:rPr>
            </w:pPr>
            <w:r w:rsidRPr="00B163CA">
              <w:rPr>
                <w:rFonts w:ascii="Arial" w:hAnsi="Arial" w:cs="Times New Roman"/>
                <w:szCs w:val="20"/>
                <w:lang w:val="en-US" w:eastAsia="sv-SE"/>
              </w:rPr>
              <w:t>Ts (the length of 1 slot / non-slot)</w:t>
            </w:r>
          </w:p>
        </w:tc>
        <w:tc>
          <w:tcPr>
            <w:tcW w:w="1429" w:type="pct"/>
          </w:tcPr>
          <w:p w14:paraId="4E64FE4C" w14:textId="77777777" w:rsidR="00B07221" w:rsidRPr="00B163CA" w:rsidRDefault="00B07221" w:rsidP="0034204E">
            <w:pPr>
              <w:pStyle w:val="TAL"/>
              <w:spacing w:after="0" w:line="240" w:lineRule="auto"/>
              <w:rPr>
                <w:rFonts w:ascii="Arial" w:hAnsi="Arial" w:cs="Times New Roman"/>
                <w:szCs w:val="20"/>
                <w:lang w:val="en-US" w:eastAsia="sv-SE"/>
              </w:rPr>
            </w:pPr>
          </w:p>
        </w:tc>
      </w:tr>
      <w:tr w:rsidR="00B07221" w14:paraId="070EC3BB" w14:textId="77777777" w:rsidTr="00372071">
        <w:trPr>
          <w:trHeight w:val="255"/>
          <w:jc w:val="center"/>
        </w:trPr>
        <w:tc>
          <w:tcPr>
            <w:tcW w:w="394" w:type="pct"/>
            <w:shd w:val="clear" w:color="auto" w:fill="auto"/>
            <w:tcMar>
              <w:top w:w="15" w:type="dxa"/>
              <w:left w:w="108" w:type="dxa"/>
              <w:bottom w:w="0" w:type="dxa"/>
              <w:right w:w="108" w:type="dxa"/>
            </w:tcMar>
          </w:tcPr>
          <w:p w14:paraId="2CE81A86"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4.2</w:t>
            </w:r>
          </w:p>
        </w:tc>
        <w:tc>
          <w:tcPr>
            <w:tcW w:w="1747" w:type="pct"/>
            <w:shd w:val="clear" w:color="auto" w:fill="auto"/>
            <w:tcMar>
              <w:top w:w="15" w:type="dxa"/>
              <w:left w:w="108" w:type="dxa"/>
              <w:bottom w:w="0" w:type="dxa"/>
              <w:right w:w="108" w:type="dxa"/>
            </w:tcMar>
          </w:tcPr>
          <w:p w14:paraId="5F4E53C8"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Propagation delay BS -&gt; UE</w:t>
            </w:r>
          </w:p>
        </w:tc>
        <w:tc>
          <w:tcPr>
            <w:tcW w:w="1430" w:type="pct"/>
            <w:shd w:val="clear" w:color="auto" w:fill="auto"/>
            <w:tcMar>
              <w:top w:w="15" w:type="dxa"/>
              <w:left w:w="108" w:type="dxa"/>
              <w:bottom w:w="0" w:type="dxa"/>
              <w:right w:w="108" w:type="dxa"/>
            </w:tcMar>
          </w:tcPr>
          <w:p w14:paraId="5AF0F5F9"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RTD/2</w:t>
            </w:r>
          </w:p>
        </w:tc>
        <w:tc>
          <w:tcPr>
            <w:tcW w:w="1429" w:type="pct"/>
          </w:tcPr>
          <w:p w14:paraId="691934E2" w14:textId="77777777" w:rsidR="00B07221" w:rsidRPr="00630C34" w:rsidRDefault="00B07221" w:rsidP="0034204E">
            <w:pPr>
              <w:pStyle w:val="TAL"/>
              <w:spacing w:after="0" w:line="240" w:lineRule="auto"/>
              <w:rPr>
                <w:rFonts w:ascii="Arial" w:hAnsi="Arial" w:cs="Times New Roman"/>
                <w:szCs w:val="20"/>
                <w:lang w:val="sv-SE" w:eastAsia="sv-SE"/>
              </w:rPr>
            </w:pPr>
          </w:p>
        </w:tc>
      </w:tr>
      <w:tr w:rsidR="00B07221" w:rsidRPr="006E3B72" w14:paraId="3692559F" w14:textId="77777777" w:rsidTr="00372071">
        <w:trPr>
          <w:trHeight w:val="258"/>
          <w:jc w:val="center"/>
        </w:trPr>
        <w:tc>
          <w:tcPr>
            <w:tcW w:w="394" w:type="pct"/>
            <w:shd w:val="clear" w:color="auto" w:fill="auto"/>
            <w:tcMar>
              <w:top w:w="15" w:type="dxa"/>
              <w:left w:w="108" w:type="dxa"/>
              <w:bottom w:w="0" w:type="dxa"/>
              <w:right w:w="108" w:type="dxa"/>
            </w:tcMar>
          </w:tcPr>
          <w:p w14:paraId="5C77998D"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5</w:t>
            </w:r>
          </w:p>
        </w:tc>
        <w:tc>
          <w:tcPr>
            <w:tcW w:w="1747" w:type="pct"/>
            <w:shd w:val="clear" w:color="auto" w:fill="auto"/>
            <w:tcMar>
              <w:top w:w="15" w:type="dxa"/>
              <w:left w:w="108" w:type="dxa"/>
              <w:bottom w:w="0" w:type="dxa"/>
              <w:right w:w="108" w:type="dxa"/>
            </w:tcMar>
          </w:tcPr>
          <w:p w14:paraId="734A8E09" w14:textId="77777777" w:rsidR="00B07221" w:rsidRPr="00B163CA" w:rsidRDefault="00B07221" w:rsidP="0034204E">
            <w:pPr>
              <w:pStyle w:val="TAL"/>
              <w:spacing w:after="0" w:line="240" w:lineRule="auto"/>
              <w:rPr>
                <w:rFonts w:ascii="Arial" w:hAnsi="Arial" w:cs="Times New Roman"/>
                <w:szCs w:val="20"/>
                <w:lang w:val="en-US" w:eastAsia="sv-SE"/>
              </w:rPr>
            </w:pPr>
            <w:r w:rsidRPr="00B163CA">
              <w:rPr>
                <w:rFonts w:ascii="Arial" w:hAnsi="Arial" w:cs="Times New Roman"/>
                <w:szCs w:val="20"/>
                <w:lang w:val="en-US" w:eastAsia="sv-SE"/>
              </w:rPr>
              <w:t>Processing delay in UE of RRC Resume including RA response</w:t>
            </w:r>
          </w:p>
        </w:tc>
        <w:tc>
          <w:tcPr>
            <w:tcW w:w="1430" w:type="pct"/>
            <w:shd w:val="clear" w:color="auto" w:fill="auto"/>
            <w:tcMar>
              <w:top w:w="15" w:type="dxa"/>
              <w:left w:w="108" w:type="dxa"/>
              <w:bottom w:w="0" w:type="dxa"/>
              <w:right w:w="108" w:type="dxa"/>
            </w:tcMar>
          </w:tcPr>
          <w:p w14:paraId="7B54F64E" w14:textId="73D6BD88" w:rsidR="00B07221" w:rsidRPr="00630C34" w:rsidRDefault="00B07221" w:rsidP="00C9058D">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 xml:space="preserve">7 ms </w:t>
            </w:r>
          </w:p>
        </w:tc>
        <w:tc>
          <w:tcPr>
            <w:tcW w:w="1429" w:type="pct"/>
          </w:tcPr>
          <w:p w14:paraId="77B2B568" w14:textId="77777777" w:rsidR="00B07221" w:rsidRPr="00B163CA" w:rsidRDefault="00A8680D" w:rsidP="0034204E">
            <w:pPr>
              <w:pStyle w:val="TAL"/>
              <w:spacing w:after="0" w:line="240" w:lineRule="auto"/>
              <w:rPr>
                <w:rFonts w:ascii="Arial" w:hAnsi="Arial" w:cs="Times New Roman"/>
                <w:szCs w:val="20"/>
                <w:lang w:val="en-US" w:eastAsia="sv-SE"/>
              </w:rPr>
            </w:pPr>
            <w:r w:rsidRPr="00B163CA">
              <w:rPr>
                <w:rFonts w:ascii="Arial" w:hAnsi="Arial" w:cs="Times New Roman"/>
                <w:szCs w:val="20"/>
                <w:lang w:val="en-US" w:eastAsia="sv-SE"/>
              </w:rPr>
              <w:t>[Rapp] Same as for reception of Msg4 in NR TN</w:t>
            </w:r>
          </w:p>
          <w:p w14:paraId="057A0EB1" w14:textId="72490E33" w:rsidR="00A8680D" w:rsidRPr="00B163CA" w:rsidRDefault="00A8680D" w:rsidP="0034204E">
            <w:pPr>
              <w:pStyle w:val="TAL"/>
              <w:spacing w:after="0" w:line="240" w:lineRule="auto"/>
              <w:rPr>
                <w:rFonts w:ascii="Arial" w:hAnsi="Arial" w:cs="Times New Roman"/>
                <w:szCs w:val="20"/>
                <w:lang w:val="en-US" w:eastAsia="sv-SE"/>
              </w:rPr>
            </w:pPr>
          </w:p>
        </w:tc>
      </w:tr>
      <w:tr w:rsidR="00B07221" w14:paraId="24D056F1" w14:textId="77777777" w:rsidTr="00372071">
        <w:trPr>
          <w:trHeight w:val="255"/>
          <w:jc w:val="center"/>
        </w:trPr>
        <w:tc>
          <w:tcPr>
            <w:tcW w:w="394" w:type="pct"/>
            <w:shd w:val="clear" w:color="auto" w:fill="auto"/>
            <w:tcMar>
              <w:top w:w="15" w:type="dxa"/>
              <w:left w:w="108" w:type="dxa"/>
              <w:bottom w:w="0" w:type="dxa"/>
              <w:right w:w="108" w:type="dxa"/>
            </w:tcMar>
          </w:tcPr>
          <w:p w14:paraId="26EB8CE1"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6</w:t>
            </w:r>
          </w:p>
        </w:tc>
        <w:tc>
          <w:tcPr>
            <w:tcW w:w="1747" w:type="pct"/>
            <w:shd w:val="clear" w:color="auto" w:fill="auto"/>
            <w:tcMar>
              <w:top w:w="15" w:type="dxa"/>
              <w:left w:w="108" w:type="dxa"/>
              <w:bottom w:w="0" w:type="dxa"/>
              <w:right w:w="108" w:type="dxa"/>
            </w:tcMar>
          </w:tcPr>
          <w:p w14:paraId="35885E98" w14:textId="77777777" w:rsidR="00B07221" w:rsidRPr="00B163CA" w:rsidRDefault="00B07221" w:rsidP="0034204E">
            <w:pPr>
              <w:pStyle w:val="TAL"/>
              <w:spacing w:after="0" w:line="240" w:lineRule="auto"/>
              <w:rPr>
                <w:rFonts w:ascii="Arial" w:hAnsi="Arial" w:cs="Times New Roman"/>
                <w:szCs w:val="20"/>
                <w:lang w:val="en-US" w:eastAsia="sv-SE"/>
              </w:rPr>
            </w:pPr>
            <w:r w:rsidRPr="00B163CA">
              <w:rPr>
                <w:rFonts w:ascii="Arial" w:hAnsi="Arial" w:cs="Times New Roman"/>
                <w:szCs w:val="20"/>
                <w:lang w:val="en-US" w:eastAsia="sv-SE"/>
              </w:rPr>
              <w:t xml:space="preserve">Transmission of RRC Resume Complete and data </w:t>
            </w:r>
          </w:p>
        </w:tc>
        <w:tc>
          <w:tcPr>
            <w:tcW w:w="1430" w:type="pct"/>
            <w:shd w:val="clear" w:color="auto" w:fill="auto"/>
            <w:tcMar>
              <w:top w:w="15" w:type="dxa"/>
              <w:left w:w="108" w:type="dxa"/>
              <w:bottom w:w="0" w:type="dxa"/>
              <w:right w:w="108" w:type="dxa"/>
            </w:tcMar>
          </w:tcPr>
          <w:p w14:paraId="4BA1B24D"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0</w:t>
            </w:r>
          </w:p>
        </w:tc>
        <w:tc>
          <w:tcPr>
            <w:tcW w:w="1429" w:type="pct"/>
          </w:tcPr>
          <w:p w14:paraId="15421FF2" w14:textId="77777777" w:rsidR="00B07221" w:rsidRPr="00630C34" w:rsidRDefault="00B07221" w:rsidP="0034204E">
            <w:pPr>
              <w:pStyle w:val="TAL"/>
              <w:spacing w:after="0" w:line="240" w:lineRule="auto"/>
              <w:rPr>
                <w:rFonts w:ascii="Arial" w:hAnsi="Arial" w:cs="Times New Roman"/>
                <w:szCs w:val="20"/>
                <w:lang w:val="sv-SE" w:eastAsia="sv-SE"/>
              </w:rPr>
            </w:pPr>
          </w:p>
        </w:tc>
      </w:tr>
      <w:tr w:rsidR="00372071" w:rsidRPr="006E3B72" w14:paraId="58A930BE" w14:textId="77777777" w:rsidTr="00372071">
        <w:trPr>
          <w:trHeight w:val="255"/>
          <w:jc w:val="center"/>
        </w:trPr>
        <w:tc>
          <w:tcPr>
            <w:tcW w:w="5000" w:type="pct"/>
            <w:gridSpan w:val="4"/>
            <w:shd w:val="clear" w:color="auto" w:fill="auto"/>
            <w:tcMar>
              <w:top w:w="15" w:type="dxa"/>
              <w:left w:w="108" w:type="dxa"/>
              <w:bottom w:w="0" w:type="dxa"/>
              <w:right w:w="108" w:type="dxa"/>
            </w:tcMar>
          </w:tcPr>
          <w:p w14:paraId="340F4C75" w14:textId="77777777" w:rsidR="00372071" w:rsidRPr="00B163CA" w:rsidRDefault="00372071" w:rsidP="0034204E">
            <w:pPr>
              <w:pStyle w:val="TAL"/>
              <w:spacing w:after="0" w:line="240" w:lineRule="auto"/>
              <w:rPr>
                <w:rFonts w:ascii="Arial" w:hAnsi="Arial" w:cs="Times New Roman"/>
                <w:szCs w:val="20"/>
                <w:lang w:val="en-US" w:eastAsia="sv-SE"/>
              </w:rPr>
            </w:pPr>
            <w:r w:rsidRPr="00B163CA">
              <w:rPr>
                <w:rFonts w:ascii="Arial" w:hAnsi="Arial" w:cs="Times New Roman" w:hint="eastAsia"/>
                <w:szCs w:val="20"/>
                <w:lang w:val="en-US" w:eastAsia="sv-SE"/>
              </w:rPr>
              <w:t>Notes</w:t>
            </w:r>
            <w:r w:rsidRPr="00B163CA">
              <w:rPr>
                <w:rFonts w:ascii="Arial" w:hAnsi="Arial" w:cs="Times New Roman"/>
                <w:szCs w:val="20"/>
                <w:lang w:val="en-US" w:eastAsia="sv-SE"/>
              </w:rPr>
              <w:t>:</w:t>
            </w:r>
          </w:p>
          <w:p w14:paraId="532251EE" w14:textId="5837B3D4" w:rsidR="00372071" w:rsidRPr="00B163CA" w:rsidRDefault="00372071" w:rsidP="0034204E">
            <w:pPr>
              <w:pStyle w:val="TAL"/>
              <w:spacing w:after="0" w:line="240" w:lineRule="auto"/>
              <w:rPr>
                <w:rFonts w:ascii="Arial" w:hAnsi="Arial" w:cs="Times New Roman"/>
                <w:szCs w:val="20"/>
                <w:lang w:val="en-US" w:eastAsia="sv-SE"/>
              </w:rPr>
            </w:pPr>
            <w:r w:rsidRPr="00B163CA">
              <w:rPr>
                <w:rFonts w:ascii="Arial" w:hAnsi="Arial" w:cs="Times New Roman"/>
                <w:szCs w:val="20"/>
                <w:lang w:val="en-US" w:eastAsia="sv-SE"/>
              </w:rPr>
              <w:t>1.</w:t>
            </w:r>
            <w:r w:rsidRPr="00B163CA">
              <w:rPr>
                <w:rFonts w:ascii="Arial" w:hAnsi="Arial" w:cs="Times New Roman"/>
                <w:szCs w:val="20"/>
                <w:lang w:val="en-US" w:eastAsia="sv-SE"/>
              </w:rPr>
              <w:tab/>
              <w:t>For step 1, the procedure for transition from a most “battery efficient” state has yet not begun, hence this step is not relevant for the latency of the procedure which is illustrated by a '0' in the above.</w:t>
            </w:r>
          </w:p>
          <w:p w14:paraId="46141E6D" w14:textId="0B7F81E2" w:rsidR="000C1FC1" w:rsidRPr="00B163CA" w:rsidRDefault="002F0227" w:rsidP="0034204E">
            <w:pPr>
              <w:pStyle w:val="TAL"/>
              <w:spacing w:after="0" w:line="240" w:lineRule="auto"/>
              <w:rPr>
                <w:rFonts w:ascii="Arial" w:hAnsi="Arial" w:cs="Times New Roman"/>
                <w:szCs w:val="20"/>
                <w:lang w:val="en-US" w:eastAsia="sv-SE"/>
              </w:rPr>
            </w:pPr>
            <w:r w:rsidRPr="00B163CA">
              <w:rPr>
                <w:rFonts w:ascii="Arial" w:hAnsi="Arial" w:cs="Times New Roman"/>
                <w:szCs w:val="20"/>
                <w:lang w:val="en-US" w:eastAsia="sv-SE"/>
              </w:rPr>
              <w:t>2</w:t>
            </w:r>
            <w:r w:rsidR="00372071" w:rsidRPr="00B163CA">
              <w:rPr>
                <w:rFonts w:ascii="Arial" w:hAnsi="Arial" w:cs="Times New Roman"/>
                <w:szCs w:val="20"/>
                <w:lang w:val="en-US" w:eastAsia="sv-SE"/>
              </w:rPr>
              <w:t>.</w:t>
            </w:r>
            <w:r w:rsidR="00372071" w:rsidRPr="00B163CA">
              <w:rPr>
                <w:rFonts w:ascii="Arial" w:hAnsi="Arial" w:cs="Times New Roman"/>
                <w:szCs w:val="20"/>
                <w:lang w:val="en-US" w:eastAsia="sv-SE"/>
              </w:rPr>
              <w:tab/>
            </w:r>
            <w:r w:rsidR="000C1FC1" w:rsidRPr="00B163CA">
              <w:rPr>
                <w:rFonts w:ascii="Arial" w:hAnsi="Arial" w:cs="Times New Roman"/>
                <w:szCs w:val="20"/>
                <w:lang w:val="en-US" w:eastAsia="sv-SE"/>
              </w:rPr>
              <w:t xml:space="preserve">For step 2.1.1, the </w:t>
            </w:r>
            <w:r w:rsidR="00760364" w:rsidRPr="00B163CA">
              <w:rPr>
                <w:rFonts w:ascii="Arial" w:hAnsi="Arial" w:cs="Times New Roman"/>
                <w:szCs w:val="20"/>
                <w:lang w:val="en-US" w:eastAsia="sv-SE"/>
              </w:rPr>
              <w:t xml:space="preserve">length of the preamble associated with the PRACH format is </w:t>
            </w:r>
            <w:r w:rsidR="000C1FC1" w:rsidRPr="00B163CA">
              <w:rPr>
                <w:rFonts w:ascii="Arial" w:hAnsi="Arial" w:cs="Times New Roman"/>
                <w:szCs w:val="20"/>
                <w:lang w:val="en-US" w:eastAsia="sv-SE"/>
              </w:rPr>
              <w:t xml:space="preserve">specified in </w:t>
            </w:r>
            <w:r w:rsidR="00760364" w:rsidRPr="00B163CA">
              <w:rPr>
                <w:rFonts w:ascii="Arial" w:hAnsi="Arial" w:cs="Times New Roman"/>
                <w:szCs w:val="20"/>
                <w:lang w:val="en-US" w:eastAsia="sv-SE"/>
              </w:rPr>
              <w:t xml:space="preserve">TS 38.211 </w:t>
            </w:r>
            <w:r w:rsidR="000C1FC1" w:rsidRPr="00B163CA">
              <w:rPr>
                <w:rFonts w:ascii="Arial" w:hAnsi="Arial" w:cs="Times New Roman"/>
                <w:szCs w:val="20"/>
                <w:lang w:val="en-US" w:eastAsia="sv-SE"/>
              </w:rPr>
              <w:t>[6]</w:t>
            </w:r>
            <w:r w:rsidR="00760364" w:rsidRPr="00B163CA">
              <w:rPr>
                <w:rFonts w:ascii="Arial" w:hAnsi="Arial" w:cs="Times New Roman"/>
                <w:szCs w:val="20"/>
                <w:lang w:val="en-US" w:eastAsia="sv-SE"/>
              </w:rPr>
              <w:t>.</w:t>
            </w:r>
          </w:p>
          <w:p w14:paraId="3AB88104" w14:textId="2CC20861" w:rsidR="00372071" w:rsidRPr="00B163CA" w:rsidRDefault="000C1FC1" w:rsidP="0034204E">
            <w:pPr>
              <w:pStyle w:val="TAL"/>
              <w:spacing w:after="0" w:line="240" w:lineRule="auto"/>
              <w:rPr>
                <w:rFonts w:ascii="Arial" w:hAnsi="Arial" w:cs="Times New Roman"/>
                <w:szCs w:val="20"/>
                <w:lang w:val="en-US" w:eastAsia="sv-SE"/>
              </w:rPr>
            </w:pPr>
            <w:r w:rsidRPr="00B163CA">
              <w:rPr>
                <w:rFonts w:ascii="Arial" w:hAnsi="Arial" w:cs="Times New Roman"/>
                <w:szCs w:val="20"/>
                <w:lang w:val="en-US" w:eastAsia="sv-SE"/>
              </w:rPr>
              <w:t xml:space="preserve">3. </w:t>
            </w:r>
            <w:r w:rsidRPr="00B163CA">
              <w:rPr>
                <w:rFonts w:ascii="Arial" w:hAnsi="Arial" w:cs="Times New Roman"/>
                <w:szCs w:val="20"/>
                <w:lang w:val="en-US" w:eastAsia="sv-SE"/>
              </w:rPr>
              <w:tab/>
            </w:r>
            <w:r w:rsidR="00372071" w:rsidRPr="00B163CA">
              <w:rPr>
                <w:rFonts w:ascii="Arial" w:hAnsi="Arial" w:cs="Times New Roman"/>
                <w:szCs w:val="20"/>
                <w:lang w:val="en-US" w:eastAsia="sv-SE"/>
              </w:rPr>
              <w:t xml:space="preserve">For step </w:t>
            </w:r>
            <w:r w:rsidR="002F0227" w:rsidRPr="00B163CA">
              <w:rPr>
                <w:rFonts w:ascii="Arial" w:hAnsi="Arial" w:cs="Times New Roman"/>
                <w:szCs w:val="20"/>
                <w:lang w:val="en-US" w:eastAsia="sv-SE"/>
              </w:rPr>
              <w:t>3</w:t>
            </w:r>
            <w:r w:rsidR="00372071" w:rsidRPr="00B163CA">
              <w:rPr>
                <w:rFonts w:ascii="Arial" w:hAnsi="Arial" w:cs="Times New Roman"/>
                <w:szCs w:val="20"/>
                <w:lang w:val="en-US" w:eastAsia="sv-SE"/>
              </w:rPr>
              <w:t>, the processing delay in gNB (</w:t>
            </w:r>
            <w:r w:rsidR="00335AA3" w:rsidRPr="00B163CA">
              <w:rPr>
                <w:rFonts w:ascii="Arial" w:hAnsi="Arial" w:cs="Times New Roman"/>
                <w:szCs w:val="20"/>
                <w:lang w:val="en-US" w:eastAsia="sv-SE"/>
              </w:rPr>
              <w:t xml:space="preserve">preamble, </w:t>
            </w:r>
            <w:r w:rsidR="00372071" w:rsidRPr="00B163CA">
              <w:rPr>
                <w:rFonts w:ascii="Arial" w:hAnsi="Arial" w:cs="Times New Roman"/>
                <w:szCs w:val="20"/>
                <w:lang w:val="en-US" w:eastAsia="sv-SE"/>
              </w:rPr>
              <w:t xml:space="preserve">L2 and RRC) has been reduced to 3 ms. The delays due to inside-gNB or inter-gNB communication are not included in Step </w:t>
            </w:r>
            <w:r w:rsidR="007D53D8">
              <w:rPr>
                <w:rFonts w:ascii="Arial" w:hAnsi="Arial" w:cs="Times New Roman"/>
                <w:szCs w:val="20"/>
                <w:lang w:val="en-US" w:eastAsia="sv-SE"/>
              </w:rPr>
              <w:t>3</w:t>
            </w:r>
            <w:r w:rsidR="00372071" w:rsidRPr="00B163CA">
              <w:rPr>
                <w:rFonts w:ascii="Arial" w:hAnsi="Arial" w:cs="Times New Roman"/>
                <w:szCs w:val="20"/>
                <w:lang w:val="en-US" w:eastAsia="sv-SE"/>
              </w:rPr>
              <w:t xml:space="preserve">. Such delays may exist depending on </w:t>
            </w:r>
            <w:r w:rsidR="007D53D8" w:rsidRPr="00B163CA">
              <w:rPr>
                <w:rFonts w:ascii="Arial" w:hAnsi="Arial" w:cs="Times New Roman"/>
                <w:szCs w:val="20"/>
                <w:lang w:val="en-US" w:eastAsia="sv-SE"/>
              </w:rPr>
              <w:t>deployment but</w:t>
            </w:r>
            <w:r w:rsidR="00372071" w:rsidRPr="00B163CA">
              <w:rPr>
                <w:rFonts w:ascii="Arial" w:hAnsi="Arial" w:cs="Times New Roman"/>
                <w:szCs w:val="20"/>
                <w:lang w:val="en-US" w:eastAsia="sv-SE"/>
              </w:rPr>
              <w:t xml:space="preserve"> are not within the scope of this evaluation.</w:t>
            </w:r>
          </w:p>
          <w:p w14:paraId="533A42E1" w14:textId="0D18BDD6" w:rsidR="00372071" w:rsidRPr="00B163CA" w:rsidRDefault="00760364" w:rsidP="0034204E">
            <w:pPr>
              <w:pStyle w:val="TAL"/>
              <w:spacing w:after="0" w:line="240" w:lineRule="auto"/>
              <w:rPr>
                <w:rFonts w:ascii="Arial" w:hAnsi="Arial" w:cs="Times New Roman"/>
                <w:szCs w:val="20"/>
                <w:lang w:val="en-US" w:eastAsia="sv-SE"/>
              </w:rPr>
            </w:pPr>
            <w:r w:rsidRPr="00B163CA">
              <w:rPr>
                <w:rFonts w:ascii="Arial" w:hAnsi="Arial" w:cs="Times New Roman"/>
                <w:szCs w:val="20"/>
                <w:lang w:val="en-US" w:eastAsia="sv-SE"/>
              </w:rPr>
              <w:t>4</w:t>
            </w:r>
            <w:r w:rsidR="00372071" w:rsidRPr="00B163CA">
              <w:rPr>
                <w:rFonts w:ascii="Arial" w:hAnsi="Arial" w:cs="Times New Roman"/>
                <w:szCs w:val="20"/>
                <w:lang w:val="en-US" w:eastAsia="sv-SE"/>
              </w:rPr>
              <w:t>.</w:t>
            </w:r>
            <w:r w:rsidR="00372071" w:rsidRPr="00B163CA">
              <w:rPr>
                <w:rFonts w:ascii="Arial" w:hAnsi="Arial" w:cs="Times New Roman"/>
                <w:szCs w:val="20"/>
                <w:lang w:val="en-US" w:eastAsia="sv-SE"/>
              </w:rPr>
              <w:tab/>
              <w:t xml:space="preserve">For step </w:t>
            </w:r>
            <w:r w:rsidR="004B2109" w:rsidRPr="00B163CA">
              <w:rPr>
                <w:rFonts w:ascii="Arial" w:hAnsi="Arial" w:cs="Times New Roman"/>
                <w:szCs w:val="20"/>
                <w:lang w:val="en-US" w:eastAsia="sv-SE"/>
              </w:rPr>
              <w:t>5</w:t>
            </w:r>
            <w:r w:rsidR="00372071" w:rsidRPr="00B163CA">
              <w:rPr>
                <w:rFonts w:ascii="Arial" w:hAnsi="Arial" w:cs="Times New Roman"/>
                <w:szCs w:val="20"/>
                <w:lang w:val="en-US" w:eastAsia="sv-SE"/>
              </w:rPr>
              <w:t xml:space="preserve"> for UL data transfer, the processing delay in the UE (L2 and RRC) is considered, i.e., from reception of RRC Connection Resume</w:t>
            </w:r>
            <w:r w:rsidR="00263315" w:rsidRPr="00B163CA">
              <w:rPr>
                <w:rFonts w:ascii="Arial" w:hAnsi="Arial" w:cs="Times New Roman"/>
                <w:szCs w:val="20"/>
                <w:lang w:val="en-US" w:eastAsia="sv-SE"/>
              </w:rPr>
              <w:t xml:space="preserve"> including the RA response</w:t>
            </w:r>
            <w:r w:rsidR="00372071" w:rsidRPr="00B163CA">
              <w:rPr>
                <w:rFonts w:ascii="Arial" w:hAnsi="Arial" w:cs="Times New Roman"/>
                <w:szCs w:val="20"/>
                <w:lang w:val="en-US" w:eastAsia="sv-SE"/>
              </w:rPr>
              <w:t xml:space="preserve"> to the reception of UL grant. The transmission of UL grant by gNB</w:t>
            </w:r>
            <w:r w:rsidR="00372071" w:rsidRPr="00B163CA" w:rsidDel="00B35847">
              <w:rPr>
                <w:rFonts w:ascii="Arial" w:hAnsi="Arial" w:cs="Times New Roman"/>
                <w:szCs w:val="20"/>
                <w:lang w:val="en-US" w:eastAsia="sv-SE"/>
              </w:rPr>
              <w:t xml:space="preserve"> </w:t>
            </w:r>
            <w:r w:rsidR="00372071" w:rsidRPr="00B163CA">
              <w:rPr>
                <w:rFonts w:ascii="Arial" w:hAnsi="Arial" w:cs="Times New Roman"/>
                <w:szCs w:val="20"/>
                <w:lang w:val="en-US" w:eastAsia="sv-SE"/>
              </w:rPr>
              <w:t>and processing delay in the UE (processing of UL grant and preparing for UL tx) are also considered. The RRCConnectionResume message only includes MAC and PHY configuration. No DRX, SPS, or MIMO re-configuration will be triggered by this message. Further, the UL grant for transmission of RRC Connection Resume Complete and the data is transmitted over common search space with DCI format 0.</w:t>
            </w:r>
          </w:p>
          <w:p w14:paraId="782FB113" w14:textId="598AAF80" w:rsidR="00372071" w:rsidRPr="00B163CA" w:rsidRDefault="00760364" w:rsidP="0034204E">
            <w:pPr>
              <w:pStyle w:val="TAL"/>
              <w:spacing w:after="0" w:line="240" w:lineRule="auto"/>
              <w:rPr>
                <w:rFonts w:ascii="Arial" w:hAnsi="Arial" w:cs="Times New Roman"/>
                <w:szCs w:val="20"/>
                <w:lang w:val="en-US" w:eastAsia="sv-SE"/>
              </w:rPr>
            </w:pPr>
            <w:r w:rsidRPr="00B163CA">
              <w:rPr>
                <w:rFonts w:ascii="Arial" w:hAnsi="Arial" w:cs="Times New Roman"/>
                <w:szCs w:val="20"/>
                <w:lang w:val="en-US" w:eastAsia="sv-SE"/>
              </w:rPr>
              <w:t>5</w:t>
            </w:r>
            <w:r w:rsidR="00372071" w:rsidRPr="00B163CA">
              <w:rPr>
                <w:rFonts w:ascii="Arial" w:hAnsi="Arial" w:cs="Times New Roman"/>
                <w:szCs w:val="20"/>
                <w:lang w:val="en-US" w:eastAsia="sv-SE"/>
              </w:rPr>
              <w:t>.</w:t>
            </w:r>
            <w:r w:rsidR="00372071" w:rsidRPr="00B163CA">
              <w:rPr>
                <w:rFonts w:ascii="Arial" w:hAnsi="Arial" w:cs="Times New Roman"/>
                <w:szCs w:val="20"/>
                <w:lang w:val="en-US" w:eastAsia="sv-SE"/>
              </w:rPr>
              <w:tab/>
              <w:t xml:space="preserve">For step </w:t>
            </w:r>
            <w:r w:rsidR="00000E16">
              <w:rPr>
                <w:rFonts w:ascii="Arial" w:hAnsi="Arial" w:cs="Times New Roman"/>
                <w:szCs w:val="20"/>
                <w:lang w:val="en-US" w:eastAsia="sv-SE"/>
              </w:rPr>
              <w:t>6</w:t>
            </w:r>
            <w:r w:rsidR="00372071" w:rsidRPr="00B163CA">
              <w:rPr>
                <w:rFonts w:ascii="Arial" w:hAnsi="Arial" w:cs="Times New Roman"/>
                <w:szCs w:val="20"/>
                <w:lang w:val="en-US" w:eastAsia="sv-SE"/>
              </w:rPr>
              <w:t>, the beginning of this subframe is considered to be "the start of continuous data transfer", hence this step is not relevant for the latency of the procedure which is illustrated by a '0' in the above.</w:t>
            </w:r>
          </w:p>
        </w:tc>
      </w:tr>
    </w:tbl>
    <w:p w14:paraId="67A40EBA" w14:textId="6C831AB5" w:rsidR="002F0227" w:rsidRDefault="002F0227" w:rsidP="00B07221">
      <w:pPr>
        <w:rPr>
          <w:lang w:val="en-GB" w:eastAsia="ja-JP"/>
        </w:rPr>
      </w:pPr>
    </w:p>
    <w:p w14:paraId="7CA492C7" w14:textId="7FF21AAA" w:rsidR="00FB449A" w:rsidRDefault="00FB449A">
      <w:pPr>
        <w:spacing w:after="0" w:line="240" w:lineRule="auto"/>
        <w:rPr>
          <w:lang w:val="en-GB" w:eastAsia="ja-JP"/>
        </w:rPr>
      </w:pPr>
    </w:p>
    <w:p w14:paraId="312D06F0" w14:textId="1E265A22" w:rsidR="00B07221" w:rsidRDefault="00174AF3" w:rsidP="00B07221">
      <w:pPr>
        <w:pStyle w:val="Heading2"/>
      </w:pPr>
      <w:r>
        <w:t>2</w:t>
      </w:r>
      <w:r w:rsidR="00B07221">
        <w:t>.2</w:t>
      </w:r>
      <w:r w:rsidR="00B07221">
        <w:tab/>
        <w:t>UP latency DL</w:t>
      </w:r>
    </w:p>
    <w:p w14:paraId="7022A5FB" w14:textId="038E395D" w:rsidR="003253F8" w:rsidRDefault="003253F8" w:rsidP="003253F8">
      <w:pPr>
        <w:rPr>
          <w:b/>
          <w:bCs/>
          <w:lang w:val="en-GB" w:eastAsia="ja-JP"/>
        </w:rPr>
      </w:pPr>
      <w:r w:rsidRPr="00F83359">
        <w:rPr>
          <w:b/>
          <w:bCs/>
          <w:lang w:val="en-GB" w:eastAsia="ja-JP"/>
        </w:rPr>
        <w:t>Q</w:t>
      </w:r>
      <w:r>
        <w:rPr>
          <w:b/>
          <w:bCs/>
          <w:lang w:val="en-GB" w:eastAsia="ja-JP"/>
        </w:rPr>
        <w:t>2</w:t>
      </w:r>
      <w:r w:rsidRPr="00F83359">
        <w:rPr>
          <w:b/>
          <w:bCs/>
          <w:lang w:val="en-GB" w:eastAsia="ja-JP"/>
        </w:rPr>
        <w:t xml:space="preserve">. Which delay assumptions are applicable to NR NTN? </w:t>
      </w:r>
      <w:r>
        <w:rPr>
          <w:b/>
          <w:bCs/>
          <w:lang w:val="en-GB" w:eastAsia="ja-JP"/>
        </w:rPr>
        <w:t>Please fill in the last column “company comments” with suggestions and the respective justification.</w:t>
      </w:r>
      <w:r w:rsidR="003D1A6B">
        <w:rPr>
          <w:b/>
          <w:bCs/>
          <w:lang w:val="en-GB" w:eastAsia="ja-JP"/>
        </w:rPr>
        <w:t xml:space="preserve"> Note that for the UP evaluation </w:t>
      </w:r>
      <w:r w:rsidR="003D1A6B" w:rsidRPr="003D1A6B">
        <w:rPr>
          <w:b/>
          <w:bCs/>
          <w:lang w:val="en-GB" w:eastAsia="ja-JP"/>
        </w:rPr>
        <w:t xml:space="preserve">RAN2 </w:t>
      </w:r>
      <w:r w:rsidR="003D1A6B">
        <w:rPr>
          <w:b/>
          <w:bCs/>
          <w:lang w:val="en-GB" w:eastAsia="ja-JP"/>
        </w:rPr>
        <w:t>has agreed</w:t>
      </w:r>
      <w:r w:rsidR="003D1A6B" w:rsidRPr="003D1A6B">
        <w:rPr>
          <w:b/>
          <w:bCs/>
          <w:lang w:val="en-GB" w:eastAsia="ja-JP"/>
        </w:rPr>
        <w:t xml:space="preserve"> not </w:t>
      </w:r>
      <w:r w:rsidR="003D1A6B">
        <w:rPr>
          <w:b/>
          <w:bCs/>
          <w:lang w:val="en-GB" w:eastAsia="ja-JP"/>
        </w:rPr>
        <w:t xml:space="preserve">to </w:t>
      </w:r>
      <w:r w:rsidR="003D1A6B" w:rsidRPr="003D1A6B">
        <w:rPr>
          <w:b/>
          <w:bCs/>
          <w:lang w:val="en-GB" w:eastAsia="ja-JP"/>
        </w:rPr>
        <w:t>consider retransmissions.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6"/>
        <w:gridCol w:w="1795"/>
        <w:gridCol w:w="2592"/>
        <w:gridCol w:w="2353"/>
        <w:gridCol w:w="2353"/>
      </w:tblGrid>
      <w:tr w:rsidR="00B07221" w14:paraId="1E0C38FD" w14:textId="77777777" w:rsidTr="001343F3">
        <w:trPr>
          <w:trHeight w:val="249"/>
          <w:jc w:val="center"/>
        </w:trPr>
        <w:tc>
          <w:tcPr>
            <w:tcW w:w="278" w:type="pct"/>
            <w:shd w:val="clear" w:color="auto" w:fill="BFBFBF" w:themeFill="background1" w:themeFillShade="BF"/>
            <w:noWrap/>
            <w:tcMar>
              <w:top w:w="0" w:type="dxa"/>
              <w:left w:w="108" w:type="dxa"/>
              <w:bottom w:w="0" w:type="dxa"/>
              <w:right w:w="108" w:type="dxa"/>
            </w:tcMar>
            <w:vAlign w:val="center"/>
          </w:tcPr>
          <w:p w14:paraId="0D5E2F51" w14:textId="77777777" w:rsidR="00B07221" w:rsidRPr="006922A2" w:rsidRDefault="00B07221" w:rsidP="006922A2">
            <w:pPr>
              <w:pStyle w:val="TAL"/>
              <w:spacing w:after="0" w:line="240" w:lineRule="auto"/>
              <w:jc w:val="center"/>
              <w:rPr>
                <w:rFonts w:ascii="Arial" w:hAnsi="Arial" w:cs="Times New Roman"/>
                <w:b/>
                <w:bCs/>
                <w:szCs w:val="20"/>
                <w:lang w:val="en-US"/>
              </w:rPr>
            </w:pPr>
            <w:r w:rsidRPr="006922A2">
              <w:rPr>
                <w:rFonts w:ascii="Arial" w:hAnsi="Arial" w:cs="Times New Roman"/>
                <w:b/>
                <w:bCs/>
                <w:szCs w:val="20"/>
                <w:lang w:val="en-US"/>
              </w:rPr>
              <w:t>ID</w:t>
            </w:r>
          </w:p>
        </w:tc>
        <w:tc>
          <w:tcPr>
            <w:tcW w:w="932" w:type="pct"/>
            <w:shd w:val="clear" w:color="auto" w:fill="BFBFBF" w:themeFill="background1" w:themeFillShade="BF"/>
            <w:noWrap/>
            <w:tcMar>
              <w:top w:w="0" w:type="dxa"/>
              <w:left w:w="108" w:type="dxa"/>
              <w:bottom w:w="0" w:type="dxa"/>
              <w:right w:w="108" w:type="dxa"/>
            </w:tcMar>
            <w:vAlign w:val="center"/>
          </w:tcPr>
          <w:p w14:paraId="7149DE49" w14:textId="77777777" w:rsidR="00B07221" w:rsidRPr="006922A2" w:rsidRDefault="00B07221" w:rsidP="006922A2">
            <w:pPr>
              <w:pStyle w:val="TAL"/>
              <w:spacing w:after="0" w:line="240" w:lineRule="auto"/>
              <w:jc w:val="center"/>
              <w:rPr>
                <w:rFonts w:ascii="Arial" w:hAnsi="Arial" w:cs="Times New Roman"/>
                <w:b/>
                <w:bCs/>
                <w:szCs w:val="20"/>
                <w:lang w:val="en-US"/>
              </w:rPr>
            </w:pPr>
            <w:r w:rsidRPr="006922A2">
              <w:rPr>
                <w:rFonts w:ascii="Arial" w:hAnsi="Arial" w:cs="Times New Roman"/>
                <w:b/>
                <w:bCs/>
                <w:szCs w:val="20"/>
                <w:lang w:val="en-US"/>
              </w:rPr>
              <w:t>Component</w:t>
            </w:r>
          </w:p>
        </w:tc>
        <w:tc>
          <w:tcPr>
            <w:tcW w:w="1346" w:type="pct"/>
            <w:shd w:val="clear" w:color="auto" w:fill="BFBFBF" w:themeFill="background1" w:themeFillShade="BF"/>
            <w:noWrap/>
            <w:tcMar>
              <w:top w:w="0" w:type="dxa"/>
              <w:left w:w="108" w:type="dxa"/>
              <w:bottom w:w="0" w:type="dxa"/>
              <w:right w:w="108" w:type="dxa"/>
            </w:tcMar>
            <w:vAlign w:val="center"/>
          </w:tcPr>
          <w:p w14:paraId="39E188A3" w14:textId="77777777" w:rsidR="00B07221" w:rsidRPr="006922A2" w:rsidRDefault="00B07221" w:rsidP="006922A2">
            <w:pPr>
              <w:pStyle w:val="TAL"/>
              <w:spacing w:after="0" w:line="240" w:lineRule="auto"/>
              <w:jc w:val="center"/>
              <w:rPr>
                <w:rFonts w:ascii="Arial" w:hAnsi="Arial" w:cs="Times New Roman"/>
                <w:b/>
                <w:bCs/>
                <w:szCs w:val="20"/>
                <w:lang w:val="en-US"/>
              </w:rPr>
            </w:pPr>
            <w:r w:rsidRPr="006922A2">
              <w:rPr>
                <w:rFonts w:ascii="Arial" w:hAnsi="Arial" w:cs="Times New Roman"/>
                <w:b/>
                <w:bCs/>
                <w:szCs w:val="20"/>
                <w:lang w:val="en-US"/>
              </w:rPr>
              <w:t>Notations</w:t>
            </w:r>
          </w:p>
        </w:tc>
        <w:tc>
          <w:tcPr>
            <w:tcW w:w="1222" w:type="pct"/>
            <w:shd w:val="clear" w:color="auto" w:fill="BFBFBF" w:themeFill="background1" w:themeFillShade="BF"/>
          </w:tcPr>
          <w:p w14:paraId="1C43A145" w14:textId="77777777" w:rsidR="00B07221" w:rsidRPr="006922A2" w:rsidRDefault="00B07221" w:rsidP="006922A2">
            <w:pPr>
              <w:pStyle w:val="TAL"/>
              <w:spacing w:after="0" w:line="240" w:lineRule="auto"/>
              <w:jc w:val="center"/>
              <w:rPr>
                <w:rFonts w:ascii="Arial" w:hAnsi="Arial" w:cs="Times New Roman"/>
                <w:b/>
                <w:bCs/>
                <w:szCs w:val="20"/>
                <w:lang w:val="en-US"/>
              </w:rPr>
            </w:pPr>
            <w:r w:rsidRPr="006922A2">
              <w:rPr>
                <w:rFonts w:ascii="Arial" w:hAnsi="Arial" w:cs="Times New Roman"/>
                <w:b/>
                <w:bCs/>
                <w:szCs w:val="20"/>
                <w:lang w:val="en-US"/>
              </w:rPr>
              <w:t>Value</w:t>
            </w:r>
          </w:p>
        </w:tc>
        <w:tc>
          <w:tcPr>
            <w:tcW w:w="1222" w:type="pct"/>
            <w:shd w:val="clear" w:color="auto" w:fill="BFBFBF" w:themeFill="background1" w:themeFillShade="BF"/>
          </w:tcPr>
          <w:p w14:paraId="698E958D" w14:textId="77777777" w:rsidR="00B07221" w:rsidRPr="006922A2" w:rsidRDefault="00B07221" w:rsidP="006922A2">
            <w:pPr>
              <w:pStyle w:val="TAL"/>
              <w:spacing w:after="0" w:line="240" w:lineRule="auto"/>
              <w:jc w:val="center"/>
              <w:rPr>
                <w:rFonts w:ascii="Arial" w:hAnsi="Arial" w:cs="Times New Roman"/>
                <w:b/>
                <w:bCs/>
                <w:szCs w:val="20"/>
                <w:lang w:val="en-US"/>
              </w:rPr>
            </w:pPr>
            <w:r w:rsidRPr="006922A2">
              <w:rPr>
                <w:rFonts w:ascii="Arial" w:hAnsi="Arial" w:cs="Times New Roman"/>
                <w:b/>
                <w:bCs/>
                <w:szCs w:val="20"/>
                <w:lang w:val="en-US"/>
              </w:rPr>
              <w:t>Company comments</w:t>
            </w:r>
          </w:p>
        </w:tc>
      </w:tr>
      <w:tr w:rsidR="00B07221" w:rsidRPr="006E3B72" w14:paraId="533A2709" w14:textId="77777777" w:rsidTr="001343F3">
        <w:trPr>
          <w:jc w:val="center"/>
        </w:trPr>
        <w:tc>
          <w:tcPr>
            <w:tcW w:w="278" w:type="pct"/>
            <w:noWrap/>
            <w:tcMar>
              <w:top w:w="0" w:type="dxa"/>
              <w:left w:w="108" w:type="dxa"/>
              <w:bottom w:w="0" w:type="dxa"/>
              <w:right w:w="108" w:type="dxa"/>
            </w:tcMar>
            <w:vAlign w:val="center"/>
          </w:tcPr>
          <w:p w14:paraId="55F2F190" w14:textId="77777777" w:rsidR="00B07221" w:rsidRPr="006922A2" w:rsidRDefault="00B07221" w:rsidP="006922A2">
            <w:pPr>
              <w:pStyle w:val="TAL"/>
              <w:spacing w:after="0" w:line="240" w:lineRule="auto"/>
              <w:rPr>
                <w:rFonts w:ascii="Arial" w:hAnsi="Arial" w:cs="Times New Roman"/>
                <w:szCs w:val="20"/>
                <w:lang w:val="en-US"/>
              </w:rPr>
            </w:pPr>
            <w:r w:rsidRPr="006922A2">
              <w:rPr>
                <w:rFonts w:ascii="Arial" w:hAnsi="Arial" w:cs="Times New Roman"/>
                <w:szCs w:val="20"/>
                <w:lang w:val="en-US"/>
              </w:rPr>
              <w:t>1.1</w:t>
            </w:r>
          </w:p>
        </w:tc>
        <w:tc>
          <w:tcPr>
            <w:tcW w:w="932" w:type="pct"/>
            <w:tcMar>
              <w:top w:w="0" w:type="dxa"/>
              <w:left w:w="108" w:type="dxa"/>
              <w:bottom w:w="0" w:type="dxa"/>
              <w:right w:w="108" w:type="dxa"/>
            </w:tcMar>
            <w:vAlign w:val="center"/>
          </w:tcPr>
          <w:p w14:paraId="642A0F3B" w14:textId="77777777" w:rsidR="00B07221" w:rsidRPr="000E2B6E" w:rsidRDefault="00B07221" w:rsidP="006922A2">
            <w:pPr>
              <w:pStyle w:val="TAL"/>
              <w:spacing w:after="0" w:line="240" w:lineRule="auto"/>
              <w:rPr>
                <w:rFonts w:ascii="Arial" w:hAnsi="Arial" w:cs="Arial"/>
                <w:szCs w:val="20"/>
                <w:lang w:val="en-US"/>
              </w:rPr>
            </w:pPr>
            <w:r w:rsidRPr="000E2B6E">
              <w:rPr>
                <w:rFonts w:ascii="Arial" w:hAnsi="Arial" w:cs="Arial"/>
                <w:szCs w:val="20"/>
                <w:lang w:val="en-US"/>
              </w:rPr>
              <w:t>BS processing delay</w:t>
            </w:r>
          </w:p>
        </w:tc>
        <w:tc>
          <w:tcPr>
            <w:tcW w:w="1346" w:type="pct"/>
            <w:tcMar>
              <w:top w:w="0" w:type="dxa"/>
              <w:left w:w="108" w:type="dxa"/>
              <w:bottom w:w="0" w:type="dxa"/>
              <w:right w:w="108" w:type="dxa"/>
            </w:tcMar>
            <w:vAlign w:val="center"/>
          </w:tcPr>
          <w:p w14:paraId="4B914883" w14:textId="77777777" w:rsidR="0076540C" w:rsidRPr="000E2B6E" w:rsidRDefault="0076540C" w:rsidP="0076540C">
            <w:pPr>
              <w:pStyle w:val="TAL"/>
              <w:rPr>
                <w:rFonts w:ascii="Arial" w:hAnsi="Arial" w:cs="Arial"/>
                <w:lang w:val="en-US"/>
              </w:rPr>
            </w:pPr>
            <w:r w:rsidRPr="000E2B6E">
              <w:rPr>
                <w:rFonts w:ascii="Arial" w:hAnsi="Arial" w:cs="Arial"/>
                <w:i/>
                <w:lang w:val="en-US"/>
              </w:rPr>
              <w:t>t</w:t>
            </w:r>
            <w:r w:rsidRPr="000E2B6E">
              <w:rPr>
                <w:rFonts w:ascii="Arial" w:hAnsi="Arial" w:cs="Arial"/>
                <w:vertAlign w:val="subscript"/>
                <w:lang w:val="en-US"/>
              </w:rPr>
              <w:t>BS,tx</w:t>
            </w:r>
          </w:p>
          <w:p w14:paraId="10066432" w14:textId="1F97B50A" w:rsidR="00B07221" w:rsidRPr="000E2B6E" w:rsidRDefault="0076540C" w:rsidP="0076540C">
            <w:pPr>
              <w:pStyle w:val="TAL"/>
              <w:spacing w:after="0" w:line="240" w:lineRule="auto"/>
              <w:rPr>
                <w:rFonts w:ascii="Arial" w:hAnsi="Arial" w:cs="Arial"/>
                <w:szCs w:val="20"/>
                <w:lang w:val="en-US"/>
              </w:rPr>
            </w:pPr>
            <w:r w:rsidRPr="000E2B6E">
              <w:rPr>
                <w:rFonts w:ascii="Arial" w:hAnsi="Arial" w:cs="Arial"/>
                <w:lang w:val="en-US"/>
              </w:rPr>
              <w:t>The time interval between the data is arrived, and packet is generated.</w:t>
            </w:r>
          </w:p>
        </w:tc>
        <w:tc>
          <w:tcPr>
            <w:tcW w:w="1222" w:type="pct"/>
            <w:vAlign w:val="center"/>
          </w:tcPr>
          <w:p w14:paraId="603E91B4" w14:textId="7F6F68AA" w:rsidR="00B07221" w:rsidRPr="000E2B6E" w:rsidRDefault="00B41333" w:rsidP="006922A2">
            <w:pPr>
              <w:pStyle w:val="TAL"/>
              <w:spacing w:after="0" w:line="240" w:lineRule="auto"/>
              <w:rPr>
                <w:rFonts w:ascii="Arial" w:hAnsi="Arial" w:cs="Arial"/>
                <w:szCs w:val="20"/>
                <w:lang w:val="en-US"/>
              </w:rPr>
            </w:pPr>
            <w:r w:rsidRPr="006E3B72">
              <w:rPr>
                <w:rFonts w:ascii="Arial" w:hAnsi="Arial" w:cs="Arial"/>
                <w:lang w:val="en-US"/>
              </w:rPr>
              <w:t>T</w:t>
            </w:r>
            <w:r w:rsidRPr="006E3B72">
              <w:rPr>
                <w:rFonts w:ascii="Arial" w:hAnsi="Arial" w:cs="Arial"/>
                <w:vertAlign w:val="subscript"/>
                <w:lang w:val="en-US"/>
              </w:rPr>
              <w:t>proc,2</w:t>
            </w:r>
            <w:r w:rsidRPr="006E3B72">
              <w:rPr>
                <w:rFonts w:ascii="Arial" w:hAnsi="Arial" w:cs="Arial"/>
                <w:lang w:val="en-US"/>
              </w:rPr>
              <w:t>/2, with d</w:t>
            </w:r>
            <w:r w:rsidRPr="006E3B72">
              <w:rPr>
                <w:rFonts w:ascii="Arial" w:hAnsi="Arial" w:cs="Arial"/>
                <w:vertAlign w:val="subscript"/>
                <w:lang w:val="en-US"/>
              </w:rPr>
              <w:t>2,1</w:t>
            </w:r>
            <w:r w:rsidRPr="006E3B72">
              <w:rPr>
                <w:rFonts w:ascii="Arial" w:hAnsi="Arial" w:cs="Arial"/>
                <w:lang w:val="en-US"/>
              </w:rPr>
              <w:t>= d</w:t>
            </w:r>
            <w:r w:rsidRPr="006E3B72">
              <w:rPr>
                <w:rFonts w:ascii="Arial" w:hAnsi="Arial" w:cs="Arial"/>
                <w:vertAlign w:val="subscript"/>
                <w:lang w:val="en-US"/>
              </w:rPr>
              <w:t>2,2</w:t>
            </w:r>
            <w:r w:rsidRPr="006E3B72">
              <w:rPr>
                <w:rFonts w:ascii="Arial" w:hAnsi="Arial" w:cs="Arial"/>
                <w:lang w:val="en-US"/>
              </w:rPr>
              <w:t>=0. (T</w:t>
            </w:r>
            <w:r w:rsidRPr="006E3B72">
              <w:rPr>
                <w:rFonts w:ascii="Arial" w:hAnsi="Arial" w:cs="Arial"/>
                <w:vertAlign w:val="subscript"/>
                <w:lang w:val="en-US"/>
              </w:rPr>
              <w:t xml:space="preserve">proc,2 </w:t>
            </w:r>
            <w:r w:rsidRPr="006E3B72">
              <w:rPr>
                <w:rFonts w:ascii="Arial" w:hAnsi="Arial" w:cs="Arial"/>
                <w:lang w:val="en-US"/>
              </w:rPr>
              <w:t>is defined in Section 6.4 of TS38.214) (NOTE1)</w:t>
            </w:r>
          </w:p>
        </w:tc>
        <w:tc>
          <w:tcPr>
            <w:tcW w:w="1222" w:type="pct"/>
          </w:tcPr>
          <w:p w14:paraId="5B68816D" w14:textId="700F4747" w:rsidR="00B07221" w:rsidRPr="00811769" w:rsidRDefault="00811769" w:rsidP="006922A2">
            <w:pPr>
              <w:pStyle w:val="TAL"/>
              <w:spacing w:after="0" w:line="240" w:lineRule="auto"/>
              <w:rPr>
                <w:rFonts w:ascii="Arial" w:hAnsi="Arial" w:cs="Arial"/>
                <w:sz w:val="16"/>
                <w:szCs w:val="18"/>
                <w:lang w:val="en-US"/>
              </w:rPr>
            </w:pPr>
            <w:r w:rsidRPr="00F4421D">
              <w:rPr>
                <w:rFonts w:ascii="Arial" w:hAnsi="Arial" w:cs="Arial"/>
                <w:szCs w:val="20"/>
                <w:lang w:val="en-US"/>
              </w:rPr>
              <w:t xml:space="preserve">[Rapp] d2,3 </w:t>
            </w:r>
            <w:r w:rsidR="00F4421D" w:rsidRPr="00F4421D">
              <w:rPr>
                <w:rFonts w:ascii="Arial" w:hAnsi="Arial" w:cs="Arial"/>
                <w:szCs w:val="20"/>
                <w:lang w:val="en-US"/>
              </w:rPr>
              <w:t>can be removed as it seems not to be defined in TS 38.214.</w:t>
            </w:r>
          </w:p>
        </w:tc>
      </w:tr>
      <w:tr w:rsidR="00B07221" w:rsidRPr="006E3B72" w14:paraId="726E9875" w14:textId="77777777" w:rsidTr="001343F3">
        <w:trPr>
          <w:jc w:val="center"/>
        </w:trPr>
        <w:tc>
          <w:tcPr>
            <w:tcW w:w="278" w:type="pct"/>
            <w:noWrap/>
            <w:tcMar>
              <w:top w:w="0" w:type="dxa"/>
              <w:left w:w="108" w:type="dxa"/>
              <w:bottom w:w="0" w:type="dxa"/>
              <w:right w:w="108" w:type="dxa"/>
            </w:tcMar>
            <w:vAlign w:val="center"/>
          </w:tcPr>
          <w:p w14:paraId="78F86872" w14:textId="77777777" w:rsidR="00B07221" w:rsidRPr="006922A2" w:rsidRDefault="00B07221" w:rsidP="006922A2">
            <w:pPr>
              <w:pStyle w:val="TAL"/>
              <w:spacing w:after="0" w:line="240" w:lineRule="auto"/>
              <w:rPr>
                <w:rFonts w:ascii="Arial" w:hAnsi="Arial" w:cs="Times New Roman"/>
                <w:szCs w:val="20"/>
                <w:lang w:val="en-US"/>
              </w:rPr>
            </w:pPr>
            <w:r w:rsidRPr="006922A2">
              <w:rPr>
                <w:rFonts w:ascii="Arial" w:hAnsi="Arial" w:cs="Times New Roman"/>
                <w:szCs w:val="20"/>
                <w:lang w:val="en-US"/>
              </w:rPr>
              <w:t>1.2</w:t>
            </w:r>
          </w:p>
        </w:tc>
        <w:tc>
          <w:tcPr>
            <w:tcW w:w="932" w:type="pct"/>
            <w:tcMar>
              <w:top w:w="0" w:type="dxa"/>
              <w:left w:w="108" w:type="dxa"/>
              <w:bottom w:w="0" w:type="dxa"/>
              <w:right w:w="108" w:type="dxa"/>
            </w:tcMar>
            <w:vAlign w:val="center"/>
          </w:tcPr>
          <w:p w14:paraId="6CCBD7FF" w14:textId="77777777" w:rsidR="00B07221" w:rsidRPr="000E2B6E" w:rsidRDefault="00B07221" w:rsidP="006922A2">
            <w:pPr>
              <w:pStyle w:val="TAL"/>
              <w:spacing w:after="0" w:line="240" w:lineRule="auto"/>
              <w:rPr>
                <w:rFonts w:ascii="Arial" w:hAnsi="Arial" w:cs="Arial"/>
                <w:szCs w:val="20"/>
                <w:lang w:val="en-US"/>
              </w:rPr>
            </w:pPr>
            <w:r w:rsidRPr="000E2B6E">
              <w:rPr>
                <w:rFonts w:ascii="Arial" w:hAnsi="Arial" w:cs="Arial"/>
                <w:szCs w:val="20"/>
                <w:lang w:val="en-US"/>
              </w:rPr>
              <w:t>DL frame alignment (transmission alignment)</w:t>
            </w:r>
          </w:p>
        </w:tc>
        <w:tc>
          <w:tcPr>
            <w:tcW w:w="1346" w:type="pct"/>
            <w:tcMar>
              <w:top w:w="0" w:type="dxa"/>
              <w:left w:w="108" w:type="dxa"/>
              <w:bottom w:w="0" w:type="dxa"/>
              <w:right w:w="108" w:type="dxa"/>
            </w:tcMar>
            <w:vAlign w:val="center"/>
          </w:tcPr>
          <w:p w14:paraId="7A43E98F" w14:textId="77777777" w:rsidR="000F06B3" w:rsidRPr="000E2B6E" w:rsidRDefault="00AC4CBE" w:rsidP="000F06B3">
            <w:pPr>
              <w:pStyle w:val="TAL"/>
              <w:rPr>
                <w:rFonts w:ascii="Arial" w:hAnsi="Arial" w:cs="Arial"/>
                <w:vertAlign w:val="subscript"/>
                <w:lang w:val="en-US"/>
              </w:rPr>
            </w:pPr>
            <w:r w:rsidRPr="000E2B6E">
              <w:rPr>
                <w:rFonts w:ascii="Arial" w:hAnsi="Arial" w:cs="Arial"/>
                <w:i/>
                <w:lang w:val="en-US"/>
              </w:rPr>
              <w:t>t</w:t>
            </w:r>
            <w:r w:rsidRPr="000E2B6E">
              <w:rPr>
                <w:rFonts w:ascii="Arial" w:hAnsi="Arial" w:cs="Arial"/>
                <w:vertAlign w:val="subscript"/>
                <w:lang w:val="en-US"/>
              </w:rPr>
              <w:t>FA,DL</w:t>
            </w:r>
          </w:p>
          <w:p w14:paraId="64C42E34" w14:textId="6AEBFC88" w:rsidR="00B07221" w:rsidRPr="000E2B6E" w:rsidRDefault="00B07221" w:rsidP="008A1FF3">
            <w:pPr>
              <w:pStyle w:val="TAL"/>
              <w:spacing w:after="0" w:line="240" w:lineRule="auto"/>
              <w:rPr>
                <w:rFonts w:ascii="Arial" w:hAnsi="Arial" w:cs="Arial"/>
                <w:szCs w:val="20"/>
                <w:lang w:val="en-US"/>
              </w:rPr>
            </w:pPr>
            <w:r w:rsidRPr="000E2B6E">
              <w:rPr>
                <w:rFonts w:ascii="Arial" w:hAnsi="Arial" w:cs="Arial"/>
                <w:szCs w:val="20"/>
                <w:lang w:val="en-US"/>
              </w:rPr>
              <w:t>The time interval between packet generation and the next Tx opportunity.</w:t>
            </w:r>
          </w:p>
        </w:tc>
        <w:tc>
          <w:tcPr>
            <w:tcW w:w="1222" w:type="pct"/>
            <w:vAlign w:val="center"/>
          </w:tcPr>
          <w:p w14:paraId="54B158F0" w14:textId="17D19699" w:rsidR="00BB353E" w:rsidRPr="000E2B6E" w:rsidRDefault="00BB353E" w:rsidP="00BB353E">
            <w:pPr>
              <w:pStyle w:val="TAL"/>
              <w:rPr>
                <w:rFonts w:ascii="Arial" w:hAnsi="Arial" w:cs="Arial"/>
                <w:lang w:val="en-US"/>
              </w:rPr>
            </w:pPr>
            <w:r w:rsidRPr="000E2B6E">
              <w:rPr>
                <w:rFonts w:ascii="Arial" w:hAnsi="Arial" w:cs="Arial"/>
                <w:i/>
                <w:lang w:val="en-US"/>
              </w:rPr>
              <w:t>T</w:t>
            </w:r>
            <w:r w:rsidRPr="000E2B6E">
              <w:rPr>
                <w:rFonts w:ascii="Arial" w:hAnsi="Arial" w:cs="Arial"/>
                <w:vertAlign w:val="subscript"/>
                <w:lang w:val="en-US"/>
              </w:rPr>
              <w:t>FA</w:t>
            </w:r>
          </w:p>
          <w:p w14:paraId="48D61FE8" w14:textId="249B8629" w:rsidR="00B07221" w:rsidRPr="000E2B6E" w:rsidRDefault="00BB353E" w:rsidP="000E2B6E">
            <w:pPr>
              <w:pStyle w:val="TAL"/>
              <w:rPr>
                <w:rFonts w:ascii="Arial" w:hAnsi="Arial" w:cs="Arial"/>
                <w:szCs w:val="20"/>
                <w:lang w:val="en-US"/>
              </w:rPr>
            </w:pPr>
            <w:r w:rsidRPr="000E2B6E">
              <w:rPr>
                <w:rFonts w:ascii="Arial" w:hAnsi="Arial" w:cs="Arial"/>
                <w:i/>
                <w:lang w:val="en-US"/>
              </w:rPr>
              <w:t>T</w:t>
            </w:r>
            <w:r w:rsidRPr="000E2B6E">
              <w:rPr>
                <w:rFonts w:ascii="Arial" w:hAnsi="Arial" w:cs="Arial"/>
                <w:vertAlign w:val="subscript"/>
                <w:lang w:val="en-US"/>
              </w:rPr>
              <w:t>FA</w:t>
            </w:r>
            <w:r w:rsidRPr="000E2B6E">
              <w:rPr>
                <w:rFonts w:ascii="Arial" w:hAnsi="Arial" w:cs="Arial"/>
                <w:lang w:val="en-US"/>
              </w:rPr>
              <w:t xml:space="preserve"> is the frame alignment time within the current DL slot</w:t>
            </w:r>
            <w:r w:rsidR="000E2B6E">
              <w:rPr>
                <w:rFonts w:ascii="Arial" w:hAnsi="Arial" w:cs="Arial"/>
                <w:lang w:val="en-US"/>
              </w:rPr>
              <w:t>.</w:t>
            </w:r>
          </w:p>
        </w:tc>
        <w:tc>
          <w:tcPr>
            <w:tcW w:w="1222" w:type="pct"/>
          </w:tcPr>
          <w:p w14:paraId="5992DE7F" w14:textId="77777777" w:rsidR="00B07221" w:rsidRPr="000E2B6E" w:rsidRDefault="00B07221" w:rsidP="006922A2">
            <w:pPr>
              <w:pStyle w:val="TAL"/>
              <w:spacing w:after="0" w:line="240" w:lineRule="auto"/>
              <w:rPr>
                <w:rFonts w:ascii="Arial" w:hAnsi="Arial" w:cs="Arial"/>
                <w:szCs w:val="20"/>
                <w:lang w:val="en-US"/>
              </w:rPr>
            </w:pPr>
          </w:p>
        </w:tc>
      </w:tr>
      <w:tr w:rsidR="00B07221" w:rsidRPr="006E3B72" w14:paraId="57124061" w14:textId="77777777" w:rsidTr="001343F3">
        <w:trPr>
          <w:jc w:val="center"/>
        </w:trPr>
        <w:tc>
          <w:tcPr>
            <w:tcW w:w="278" w:type="pct"/>
            <w:noWrap/>
            <w:tcMar>
              <w:top w:w="0" w:type="dxa"/>
              <w:left w:w="108" w:type="dxa"/>
              <w:bottom w:w="0" w:type="dxa"/>
              <w:right w:w="108" w:type="dxa"/>
            </w:tcMar>
            <w:vAlign w:val="center"/>
          </w:tcPr>
          <w:p w14:paraId="17DBB70B" w14:textId="77777777" w:rsidR="00B07221" w:rsidRPr="006922A2" w:rsidRDefault="00B07221" w:rsidP="006922A2">
            <w:pPr>
              <w:pStyle w:val="TAL"/>
              <w:spacing w:after="0" w:line="240" w:lineRule="auto"/>
              <w:rPr>
                <w:rFonts w:ascii="Arial" w:hAnsi="Arial" w:cs="Times New Roman"/>
                <w:szCs w:val="20"/>
                <w:lang w:val="en-US"/>
              </w:rPr>
            </w:pPr>
            <w:r w:rsidRPr="006922A2">
              <w:rPr>
                <w:rFonts w:ascii="Arial" w:hAnsi="Arial" w:cs="Times New Roman"/>
                <w:szCs w:val="20"/>
                <w:lang w:val="en-US"/>
              </w:rPr>
              <w:t>1.3</w:t>
            </w:r>
          </w:p>
        </w:tc>
        <w:tc>
          <w:tcPr>
            <w:tcW w:w="932" w:type="pct"/>
            <w:tcMar>
              <w:top w:w="0" w:type="dxa"/>
              <w:left w:w="108" w:type="dxa"/>
              <w:bottom w:w="0" w:type="dxa"/>
              <w:right w:w="108" w:type="dxa"/>
            </w:tcMar>
            <w:vAlign w:val="center"/>
          </w:tcPr>
          <w:p w14:paraId="6309E242" w14:textId="77777777" w:rsidR="00B07221" w:rsidRPr="000E2B6E" w:rsidRDefault="00B07221" w:rsidP="006922A2">
            <w:pPr>
              <w:pStyle w:val="TAL"/>
              <w:spacing w:after="0" w:line="240" w:lineRule="auto"/>
              <w:rPr>
                <w:rFonts w:ascii="Arial" w:hAnsi="Arial" w:cs="Arial"/>
                <w:szCs w:val="20"/>
                <w:lang w:val="en-US"/>
              </w:rPr>
            </w:pPr>
            <w:r w:rsidRPr="000E2B6E">
              <w:rPr>
                <w:rFonts w:ascii="Arial" w:hAnsi="Arial" w:cs="Arial"/>
                <w:szCs w:val="20"/>
                <w:lang w:val="en-US"/>
              </w:rPr>
              <w:t>TTI for DL data packet transmission</w:t>
            </w:r>
          </w:p>
        </w:tc>
        <w:tc>
          <w:tcPr>
            <w:tcW w:w="1346" w:type="pct"/>
            <w:tcMar>
              <w:top w:w="0" w:type="dxa"/>
              <w:left w:w="108" w:type="dxa"/>
              <w:bottom w:w="0" w:type="dxa"/>
              <w:right w:w="108" w:type="dxa"/>
            </w:tcMar>
            <w:vAlign w:val="center"/>
          </w:tcPr>
          <w:p w14:paraId="0D39DFD6" w14:textId="5B92FBDA" w:rsidR="00B07221" w:rsidRPr="000E2B6E" w:rsidRDefault="008621C1" w:rsidP="006922A2">
            <w:pPr>
              <w:pStyle w:val="TAL"/>
              <w:spacing w:after="0" w:line="240" w:lineRule="auto"/>
              <w:rPr>
                <w:rFonts w:ascii="Arial" w:hAnsi="Arial" w:cs="Arial"/>
                <w:szCs w:val="20"/>
                <w:lang w:val="en-US"/>
              </w:rPr>
            </w:pPr>
            <w:r w:rsidRPr="000E2B6E">
              <w:rPr>
                <w:rFonts w:ascii="Arial" w:hAnsi="Arial" w:cs="Arial"/>
                <w:i/>
                <w:lang w:val="en-US"/>
              </w:rPr>
              <w:t>t</w:t>
            </w:r>
            <w:r w:rsidRPr="000E2B6E">
              <w:rPr>
                <w:rFonts w:ascii="Arial" w:hAnsi="Arial" w:cs="Arial"/>
                <w:vertAlign w:val="subscript"/>
                <w:lang w:val="en-US"/>
              </w:rPr>
              <w:t>DL_duration</w:t>
            </w:r>
          </w:p>
        </w:tc>
        <w:tc>
          <w:tcPr>
            <w:tcW w:w="1222" w:type="pct"/>
            <w:vAlign w:val="center"/>
          </w:tcPr>
          <w:p w14:paraId="004CD0C4" w14:textId="77777777" w:rsidR="00B07221" w:rsidRPr="000E2B6E" w:rsidRDefault="00B07221" w:rsidP="006922A2">
            <w:pPr>
              <w:pStyle w:val="TAL"/>
              <w:spacing w:after="0" w:line="240" w:lineRule="auto"/>
              <w:rPr>
                <w:rFonts w:ascii="Arial" w:hAnsi="Arial" w:cs="Arial"/>
                <w:szCs w:val="20"/>
                <w:lang w:val="en-US"/>
              </w:rPr>
            </w:pPr>
            <w:r w:rsidRPr="000E2B6E">
              <w:rPr>
                <w:rFonts w:ascii="Arial" w:hAnsi="Arial" w:cs="Arial"/>
                <w:szCs w:val="20"/>
                <w:lang w:val="en-US"/>
              </w:rPr>
              <w:t>Length of one slot (14 OFDM symbol length) or non-slot (4/7 OFDM symbol length), depending on slot or non-slot selected in evaluation.</w:t>
            </w:r>
          </w:p>
        </w:tc>
        <w:tc>
          <w:tcPr>
            <w:tcW w:w="1222" w:type="pct"/>
          </w:tcPr>
          <w:p w14:paraId="1DF18F46" w14:textId="77777777" w:rsidR="00B07221" w:rsidRPr="000E2B6E" w:rsidRDefault="00B07221" w:rsidP="006922A2">
            <w:pPr>
              <w:pStyle w:val="TAL"/>
              <w:spacing w:after="0" w:line="240" w:lineRule="auto"/>
              <w:rPr>
                <w:rFonts w:ascii="Arial" w:hAnsi="Arial" w:cs="Arial"/>
                <w:szCs w:val="20"/>
                <w:lang w:val="en-US"/>
              </w:rPr>
            </w:pPr>
          </w:p>
        </w:tc>
      </w:tr>
      <w:tr w:rsidR="00B07221" w14:paraId="7418C2D5" w14:textId="77777777" w:rsidTr="001343F3">
        <w:trPr>
          <w:jc w:val="center"/>
        </w:trPr>
        <w:tc>
          <w:tcPr>
            <w:tcW w:w="278" w:type="pct"/>
            <w:noWrap/>
            <w:tcMar>
              <w:top w:w="0" w:type="dxa"/>
              <w:left w:w="108" w:type="dxa"/>
              <w:bottom w:w="0" w:type="dxa"/>
              <w:right w:w="108" w:type="dxa"/>
            </w:tcMar>
            <w:vAlign w:val="center"/>
          </w:tcPr>
          <w:p w14:paraId="723CAA31" w14:textId="77777777" w:rsidR="00B07221" w:rsidRPr="006922A2" w:rsidRDefault="00B07221" w:rsidP="006922A2">
            <w:pPr>
              <w:pStyle w:val="TAL"/>
              <w:spacing w:after="0" w:line="240" w:lineRule="auto"/>
              <w:rPr>
                <w:rFonts w:ascii="Arial" w:hAnsi="Arial" w:cs="Times New Roman"/>
                <w:szCs w:val="20"/>
                <w:lang w:val="en-US"/>
              </w:rPr>
            </w:pPr>
            <w:r w:rsidRPr="006922A2">
              <w:rPr>
                <w:rFonts w:ascii="Arial" w:hAnsi="Arial" w:cs="Times New Roman"/>
                <w:szCs w:val="20"/>
                <w:lang w:val="en-US"/>
              </w:rPr>
              <w:t>1.4</w:t>
            </w:r>
          </w:p>
        </w:tc>
        <w:tc>
          <w:tcPr>
            <w:tcW w:w="932" w:type="pct"/>
            <w:tcMar>
              <w:top w:w="0" w:type="dxa"/>
              <w:left w:w="108" w:type="dxa"/>
              <w:bottom w:w="0" w:type="dxa"/>
              <w:right w:w="108" w:type="dxa"/>
            </w:tcMar>
            <w:vAlign w:val="center"/>
          </w:tcPr>
          <w:p w14:paraId="1C5A1BA7" w14:textId="77777777" w:rsidR="00B07221" w:rsidRPr="000E2B6E" w:rsidRDefault="00B07221" w:rsidP="006922A2">
            <w:pPr>
              <w:pStyle w:val="TAL"/>
              <w:spacing w:after="0" w:line="240" w:lineRule="auto"/>
              <w:rPr>
                <w:rFonts w:ascii="Arial" w:hAnsi="Arial" w:cs="Arial"/>
                <w:szCs w:val="20"/>
                <w:lang w:val="en-US"/>
              </w:rPr>
            </w:pPr>
            <w:r w:rsidRPr="000E2B6E">
              <w:rPr>
                <w:rFonts w:ascii="Arial" w:hAnsi="Arial" w:cs="Arial"/>
                <w:szCs w:val="20"/>
                <w:lang w:val="en-US"/>
              </w:rPr>
              <w:t>One-way propagation time BS -&gt; satellite -&gt; UE</w:t>
            </w:r>
          </w:p>
        </w:tc>
        <w:tc>
          <w:tcPr>
            <w:tcW w:w="1346" w:type="pct"/>
            <w:tcMar>
              <w:top w:w="0" w:type="dxa"/>
              <w:left w:w="108" w:type="dxa"/>
              <w:bottom w:w="0" w:type="dxa"/>
              <w:right w:w="108" w:type="dxa"/>
            </w:tcMar>
            <w:vAlign w:val="center"/>
          </w:tcPr>
          <w:p w14:paraId="47E3A744" w14:textId="77777777" w:rsidR="00B07221" w:rsidRPr="000E2B6E" w:rsidRDefault="00B07221" w:rsidP="006922A2">
            <w:pPr>
              <w:pStyle w:val="TAL"/>
              <w:spacing w:after="0" w:line="240" w:lineRule="auto"/>
              <w:rPr>
                <w:rFonts w:ascii="Arial" w:hAnsi="Arial" w:cs="Arial"/>
                <w:i/>
                <w:iCs/>
                <w:szCs w:val="20"/>
                <w:lang w:val="en-US"/>
              </w:rPr>
            </w:pPr>
            <w:r w:rsidRPr="000E2B6E">
              <w:rPr>
                <w:rFonts w:ascii="Arial" w:hAnsi="Arial" w:cs="Arial"/>
                <w:i/>
                <w:iCs/>
                <w:szCs w:val="20"/>
                <w:lang w:val="en-US"/>
              </w:rPr>
              <w:t>t</w:t>
            </w:r>
            <w:r w:rsidRPr="000E2B6E">
              <w:rPr>
                <w:rFonts w:ascii="Arial" w:hAnsi="Arial" w:cs="Arial"/>
                <w:i/>
                <w:iCs/>
                <w:szCs w:val="20"/>
                <w:vertAlign w:val="subscript"/>
                <w:lang w:val="en-US"/>
              </w:rPr>
              <w:t>prop</w:t>
            </w:r>
          </w:p>
        </w:tc>
        <w:tc>
          <w:tcPr>
            <w:tcW w:w="1222" w:type="pct"/>
            <w:vAlign w:val="center"/>
          </w:tcPr>
          <w:p w14:paraId="0394AE21" w14:textId="77777777" w:rsidR="00B07221" w:rsidRPr="000E2B6E" w:rsidRDefault="00B07221" w:rsidP="006922A2">
            <w:pPr>
              <w:pStyle w:val="TAL"/>
              <w:spacing w:after="0" w:line="240" w:lineRule="auto"/>
              <w:rPr>
                <w:rFonts w:ascii="Arial" w:hAnsi="Arial" w:cs="Arial"/>
                <w:szCs w:val="20"/>
                <w:lang w:val="en-US"/>
              </w:rPr>
            </w:pPr>
            <w:r w:rsidRPr="000E2B6E">
              <w:rPr>
                <w:rFonts w:ascii="Arial" w:hAnsi="Arial" w:cs="Arial"/>
                <w:szCs w:val="20"/>
                <w:lang w:val="en-US"/>
              </w:rPr>
              <w:t>RTD/2</w:t>
            </w:r>
          </w:p>
        </w:tc>
        <w:tc>
          <w:tcPr>
            <w:tcW w:w="1222" w:type="pct"/>
          </w:tcPr>
          <w:p w14:paraId="79E8D3F8" w14:textId="77777777" w:rsidR="00B07221" w:rsidRPr="000E2B6E" w:rsidRDefault="00B07221" w:rsidP="006922A2">
            <w:pPr>
              <w:pStyle w:val="TAL"/>
              <w:spacing w:after="0" w:line="240" w:lineRule="auto"/>
              <w:rPr>
                <w:rFonts w:ascii="Arial" w:hAnsi="Arial" w:cs="Arial"/>
                <w:szCs w:val="20"/>
                <w:lang w:val="en-US"/>
              </w:rPr>
            </w:pPr>
          </w:p>
        </w:tc>
      </w:tr>
      <w:tr w:rsidR="00B07221" w:rsidRPr="006E3B72" w14:paraId="5BD4438D" w14:textId="77777777" w:rsidTr="001343F3">
        <w:trPr>
          <w:jc w:val="center"/>
        </w:trPr>
        <w:tc>
          <w:tcPr>
            <w:tcW w:w="278" w:type="pct"/>
            <w:noWrap/>
            <w:tcMar>
              <w:top w:w="0" w:type="dxa"/>
              <w:left w:w="108" w:type="dxa"/>
              <w:bottom w:w="0" w:type="dxa"/>
              <w:right w:w="108" w:type="dxa"/>
            </w:tcMar>
            <w:vAlign w:val="center"/>
          </w:tcPr>
          <w:p w14:paraId="74F75B63" w14:textId="77777777" w:rsidR="00B07221" w:rsidRPr="006922A2" w:rsidRDefault="00B07221" w:rsidP="006922A2">
            <w:pPr>
              <w:pStyle w:val="TAL"/>
              <w:spacing w:after="0" w:line="240" w:lineRule="auto"/>
              <w:rPr>
                <w:rFonts w:ascii="Arial" w:hAnsi="Arial" w:cs="Times New Roman"/>
                <w:szCs w:val="20"/>
                <w:lang w:val="en-US"/>
              </w:rPr>
            </w:pPr>
            <w:r w:rsidRPr="006922A2">
              <w:rPr>
                <w:rFonts w:ascii="Arial" w:hAnsi="Arial" w:cs="Times New Roman"/>
                <w:szCs w:val="20"/>
                <w:lang w:val="en-US"/>
              </w:rPr>
              <w:t>1.5</w:t>
            </w:r>
          </w:p>
        </w:tc>
        <w:tc>
          <w:tcPr>
            <w:tcW w:w="932" w:type="pct"/>
            <w:tcMar>
              <w:top w:w="0" w:type="dxa"/>
              <w:left w:w="108" w:type="dxa"/>
              <w:bottom w:w="0" w:type="dxa"/>
              <w:right w:w="108" w:type="dxa"/>
            </w:tcMar>
            <w:vAlign w:val="center"/>
          </w:tcPr>
          <w:p w14:paraId="5079E877" w14:textId="77777777" w:rsidR="00B07221" w:rsidRPr="000E2B6E" w:rsidRDefault="00B07221" w:rsidP="006922A2">
            <w:pPr>
              <w:pStyle w:val="TAL"/>
              <w:spacing w:after="0" w:line="240" w:lineRule="auto"/>
              <w:rPr>
                <w:rFonts w:ascii="Arial" w:hAnsi="Arial" w:cs="Arial"/>
                <w:szCs w:val="20"/>
                <w:lang w:val="en-US"/>
              </w:rPr>
            </w:pPr>
            <w:r w:rsidRPr="000E2B6E">
              <w:rPr>
                <w:rFonts w:ascii="Arial" w:hAnsi="Arial" w:cs="Arial"/>
                <w:szCs w:val="20"/>
                <w:lang w:val="en-US"/>
              </w:rPr>
              <w:t>UE processing delay</w:t>
            </w:r>
          </w:p>
        </w:tc>
        <w:tc>
          <w:tcPr>
            <w:tcW w:w="1346" w:type="pct"/>
            <w:tcMar>
              <w:top w:w="0" w:type="dxa"/>
              <w:left w:w="108" w:type="dxa"/>
              <w:bottom w:w="0" w:type="dxa"/>
              <w:right w:w="108" w:type="dxa"/>
            </w:tcMar>
            <w:vAlign w:val="center"/>
          </w:tcPr>
          <w:p w14:paraId="77D06824" w14:textId="3452EF57" w:rsidR="00296FAA" w:rsidRPr="00AB30D9" w:rsidRDefault="00296FAA" w:rsidP="00296FAA">
            <w:pPr>
              <w:pStyle w:val="TAL"/>
              <w:rPr>
                <w:rFonts w:ascii="Arial" w:hAnsi="Arial" w:cs="Arial"/>
                <w:lang w:val="en-US"/>
              </w:rPr>
            </w:pPr>
            <w:r w:rsidRPr="00AB30D9">
              <w:rPr>
                <w:rFonts w:ascii="Arial" w:hAnsi="Arial" w:cs="Arial"/>
                <w:i/>
                <w:lang w:val="en-US"/>
              </w:rPr>
              <w:t>t</w:t>
            </w:r>
            <w:r w:rsidRPr="00AB30D9">
              <w:rPr>
                <w:rFonts w:ascii="Arial" w:hAnsi="Arial" w:cs="Arial"/>
                <w:vertAlign w:val="subscript"/>
                <w:lang w:val="en-US"/>
              </w:rPr>
              <w:t>UE,tx</w:t>
            </w:r>
          </w:p>
          <w:p w14:paraId="49EC4DB2" w14:textId="77777777" w:rsidR="00B07221" w:rsidRPr="00AB30D9" w:rsidRDefault="00B07221" w:rsidP="006922A2">
            <w:pPr>
              <w:pStyle w:val="TAL"/>
              <w:spacing w:after="0" w:line="240" w:lineRule="auto"/>
              <w:rPr>
                <w:rFonts w:ascii="Arial" w:hAnsi="Arial" w:cs="Arial"/>
                <w:szCs w:val="20"/>
                <w:lang w:val="en-US"/>
              </w:rPr>
            </w:pPr>
            <w:r w:rsidRPr="00AB30D9">
              <w:rPr>
                <w:rFonts w:ascii="Arial" w:hAnsi="Arial" w:cs="Arial"/>
                <w:szCs w:val="20"/>
                <w:lang w:val="en-US"/>
              </w:rPr>
              <w:t>The time interval between PDSCH reception and decoding of the data.</w:t>
            </w:r>
          </w:p>
        </w:tc>
        <w:tc>
          <w:tcPr>
            <w:tcW w:w="1222" w:type="pct"/>
            <w:vAlign w:val="center"/>
          </w:tcPr>
          <w:p w14:paraId="48E3C7FC" w14:textId="33DA2CBD" w:rsidR="00B07221" w:rsidRPr="003B5FBC" w:rsidRDefault="00AB30D9" w:rsidP="006922A2">
            <w:pPr>
              <w:pStyle w:val="TAL"/>
              <w:spacing w:after="0" w:line="240" w:lineRule="auto"/>
              <w:rPr>
                <w:rFonts w:ascii="Arial" w:eastAsia="DengXian" w:hAnsi="Arial" w:cs="Arial"/>
                <w:szCs w:val="20"/>
                <w:lang w:val="en-US"/>
              </w:rPr>
            </w:pPr>
            <w:r w:rsidRPr="006E3B72">
              <w:rPr>
                <w:rFonts w:ascii="Arial" w:hAnsi="Arial" w:cs="Arial"/>
                <w:lang w:val="en-US"/>
              </w:rPr>
              <w:t>T</w:t>
            </w:r>
            <w:r w:rsidRPr="006E3B72">
              <w:rPr>
                <w:rFonts w:ascii="Arial" w:hAnsi="Arial" w:cs="Arial"/>
                <w:vertAlign w:val="subscript"/>
                <w:lang w:val="en-US"/>
              </w:rPr>
              <w:t>proc,1</w:t>
            </w:r>
            <w:r w:rsidRPr="006E3B72">
              <w:rPr>
                <w:rFonts w:ascii="Arial" w:hAnsi="Arial" w:cs="Arial"/>
                <w:lang w:val="en-US"/>
              </w:rPr>
              <w:t>/2 (T</w:t>
            </w:r>
            <w:r w:rsidRPr="006E3B72">
              <w:rPr>
                <w:rFonts w:ascii="Arial" w:hAnsi="Arial" w:cs="Arial"/>
                <w:vertAlign w:val="subscript"/>
                <w:lang w:val="en-US"/>
              </w:rPr>
              <w:t xml:space="preserve">proc,1 </w:t>
            </w:r>
            <w:r w:rsidRPr="006E3B72">
              <w:rPr>
                <w:rFonts w:ascii="Arial" w:hAnsi="Arial" w:cs="Arial"/>
                <w:lang w:val="en-US"/>
              </w:rPr>
              <w:t>is defined in Section 5.3 of TS38.214), d</w:t>
            </w:r>
            <w:r w:rsidRPr="006E3B72">
              <w:rPr>
                <w:rFonts w:ascii="Arial" w:hAnsi="Arial" w:cs="Arial"/>
                <w:vertAlign w:val="subscript"/>
                <w:lang w:val="en-US"/>
              </w:rPr>
              <w:t>1,1</w:t>
            </w:r>
            <w:r w:rsidRPr="006E3B72">
              <w:rPr>
                <w:rFonts w:ascii="Arial" w:hAnsi="Arial" w:cs="Arial"/>
                <w:lang w:val="en-US"/>
              </w:rPr>
              <w:t>=0</w:t>
            </w:r>
          </w:p>
        </w:tc>
        <w:tc>
          <w:tcPr>
            <w:tcW w:w="1222" w:type="pct"/>
          </w:tcPr>
          <w:p w14:paraId="657BDCD8" w14:textId="4533461E" w:rsidR="00B07221" w:rsidRPr="00F4421D" w:rsidRDefault="00F4421D" w:rsidP="006922A2">
            <w:pPr>
              <w:pStyle w:val="TAL"/>
              <w:spacing w:after="0" w:line="240" w:lineRule="auto"/>
              <w:rPr>
                <w:rFonts w:ascii="Arial" w:hAnsi="Arial" w:cs="Arial"/>
                <w:szCs w:val="20"/>
                <w:lang w:val="en-US"/>
              </w:rPr>
            </w:pPr>
            <w:r>
              <w:rPr>
                <w:rFonts w:ascii="Arial" w:hAnsi="Arial" w:cs="Arial"/>
                <w:szCs w:val="20"/>
                <w:lang w:val="en-US"/>
              </w:rPr>
              <w:t xml:space="preserve">[Rapp] </w:t>
            </w:r>
            <w:r w:rsidRPr="006E3B72">
              <w:rPr>
                <w:rFonts w:ascii="Arial" w:hAnsi="Arial" w:cs="Arial"/>
                <w:lang w:val="en-US"/>
              </w:rPr>
              <w:t>d</w:t>
            </w:r>
            <w:r w:rsidRPr="006E3B72">
              <w:rPr>
                <w:rFonts w:ascii="Arial" w:hAnsi="Arial" w:cs="Arial"/>
                <w:vertAlign w:val="subscript"/>
                <w:lang w:val="en-US"/>
              </w:rPr>
              <w:t>1,2</w:t>
            </w:r>
            <w:r>
              <w:rPr>
                <w:rFonts w:ascii="Arial" w:hAnsi="Arial" w:cs="Arial"/>
                <w:lang w:val="en-US"/>
              </w:rPr>
              <w:t xml:space="preserve"> can be removed as it seems not be defined in TS 38.214.</w:t>
            </w:r>
          </w:p>
        </w:tc>
      </w:tr>
      <w:tr w:rsidR="00AF1359" w:rsidRPr="006E3B72" w14:paraId="3318B845" w14:textId="77777777" w:rsidTr="00AF1359">
        <w:trPr>
          <w:jc w:val="center"/>
        </w:trPr>
        <w:tc>
          <w:tcPr>
            <w:tcW w:w="5000" w:type="pct"/>
            <w:gridSpan w:val="5"/>
            <w:noWrap/>
            <w:tcMar>
              <w:top w:w="0" w:type="dxa"/>
              <w:left w:w="108" w:type="dxa"/>
              <w:bottom w:w="0" w:type="dxa"/>
              <w:right w:w="108" w:type="dxa"/>
            </w:tcMar>
            <w:vAlign w:val="center"/>
          </w:tcPr>
          <w:p w14:paraId="5DD50945" w14:textId="77777777" w:rsidR="00AF1359" w:rsidRPr="00261CB9" w:rsidRDefault="00AF1359" w:rsidP="00261CB9">
            <w:pPr>
              <w:pStyle w:val="TAN"/>
              <w:spacing w:after="0" w:line="240" w:lineRule="auto"/>
              <w:rPr>
                <w:rFonts w:ascii="Arial" w:hAnsi="Arial" w:cs="Times New Roman"/>
                <w:szCs w:val="20"/>
                <w:lang w:val="en-US"/>
              </w:rPr>
            </w:pPr>
            <w:r w:rsidRPr="00261CB9">
              <w:rPr>
                <w:rFonts w:ascii="Arial" w:hAnsi="Arial" w:cs="Times New Roman"/>
                <w:szCs w:val="20"/>
                <w:lang w:val="en-US"/>
              </w:rPr>
              <w:t>Note:</w:t>
            </w:r>
          </w:p>
          <w:p w14:paraId="6AE01F2C" w14:textId="0B4D9237" w:rsidR="00AF1359" w:rsidRPr="003B5FBC" w:rsidRDefault="00AF1359" w:rsidP="003B5FBC">
            <w:pPr>
              <w:pStyle w:val="TAN"/>
              <w:spacing w:after="0" w:line="240" w:lineRule="auto"/>
              <w:rPr>
                <w:rFonts w:ascii="Arial" w:hAnsi="Arial" w:cs="Times New Roman"/>
                <w:szCs w:val="20"/>
                <w:lang w:val="en-US"/>
              </w:rPr>
            </w:pPr>
            <w:r w:rsidRPr="00261CB9">
              <w:rPr>
                <w:rFonts w:ascii="Arial" w:hAnsi="Arial" w:cs="Times New Roman"/>
                <w:szCs w:val="20"/>
                <w:lang w:val="en-US"/>
              </w:rPr>
              <w:t>1.</w:t>
            </w:r>
            <w:r w:rsidR="00296FAA">
              <w:rPr>
                <w:rFonts w:ascii="Arial" w:hAnsi="Arial" w:cs="Times New Roman"/>
                <w:szCs w:val="20"/>
                <w:lang w:val="en-US"/>
              </w:rPr>
              <w:t xml:space="preserve"> </w:t>
            </w:r>
            <w:r w:rsidRPr="00261CB9">
              <w:rPr>
                <w:rFonts w:ascii="Arial" w:hAnsi="Arial" w:cs="Times New Roman"/>
                <w:szCs w:val="20"/>
                <w:lang w:val="en-US"/>
              </w:rPr>
              <w:t>The value is used for evaluation only; gNB processing delay may vary depending on implementation.</w:t>
            </w:r>
          </w:p>
        </w:tc>
      </w:tr>
    </w:tbl>
    <w:p w14:paraId="79306670" w14:textId="5CC6B18C" w:rsidR="008D6497" w:rsidRDefault="008D6497" w:rsidP="00B07221">
      <w:pPr>
        <w:rPr>
          <w:lang w:val="en-GB" w:eastAsia="ja-JP"/>
        </w:rPr>
      </w:pPr>
    </w:p>
    <w:p w14:paraId="50D6DE4F" w14:textId="5A60735A" w:rsidR="00B07221" w:rsidRDefault="00174AF3" w:rsidP="00B07221">
      <w:pPr>
        <w:pStyle w:val="Heading2"/>
      </w:pPr>
      <w:r>
        <w:t>2</w:t>
      </w:r>
      <w:r w:rsidR="00B07221">
        <w:t>.3</w:t>
      </w:r>
      <w:r w:rsidR="00B07221">
        <w:tab/>
        <w:t>UP latency UL</w:t>
      </w:r>
    </w:p>
    <w:p w14:paraId="7A2C3CBF" w14:textId="1659A4D3" w:rsidR="008D6497" w:rsidRDefault="008D6497" w:rsidP="008D6497">
      <w:pPr>
        <w:rPr>
          <w:b/>
          <w:bCs/>
          <w:lang w:val="en-GB" w:eastAsia="ja-JP"/>
        </w:rPr>
      </w:pPr>
      <w:r w:rsidRPr="00F83359">
        <w:rPr>
          <w:b/>
          <w:bCs/>
          <w:lang w:val="en-GB" w:eastAsia="ja-JP"/>
        </w:rPr>
        <w:t>Q</w:t>
      </w:r>
      <w:r>
        <w:rPr>
          <w:b/>
          <w:bCs/>
          <w:lang w:val="en-GB" w:eastAsia="ja-JP"/>
        </w:rPr>
        <w:t>3</w:t>
      </w:r>
      <w:r w:rsidRPr="00F83359">
        <w:rPr>
          <w:b/>
          <w:bCs/>
          <w:lang w:val="en-GB" w:eastAsia="ja-JP"/>
        </w:rPr>
        <w:t xml:space="preserve">. Which delay assumptions are applicable to NR NTN? </w:t>
      </w:r>
      <w:r>
        <w:rPr>
          <w:b/>
          <w:bCs/>
          <w:lang w:val="en-GB" w:eastAsia="ja-JP"/>
        </w:rPr>
        <w:t>Please fill in the last column “company comments” with suggestions and the respective justification.</w:t>
      </w:r>
      <w:r w:rsidR="003D1A6B">
        <w:rPr>
          <w:b/>
          <w:bCs/>
          <w:lang w:val="en-GB" w:eastAsia="ja-JP"/>
        </w:rPr>
        <w:t xml:space="preserve"> Note that for the UP evaluation </w:t>
      </w:r>
      <w:r w:rsidR="003D1A6B" w:rsidRPr="003D1A6B">
        <w:rPr>
          <w:b/>
          <w:bCs/>
          <w:lang w:val="en-GB" w:eastAsia="ja-JP"/>
        </w:rPr>
        <w:t xml:space="preserve">RAN2 </w:t>
      </w:r>
      <w:r w:rsidR="003D1A6B">
        <w:rPr>
          <w:b/>
          <w:bCs/>
          <w:lang w:val="en-GB" w:eastAsia="ja-JP"/>
        </w:rPr>
        <w:t>has agreed</w:t>
      </w:r>
      <w:r w:rsidR="003D1A6B" w:rsidRPr="003D1A6B">
        <w:rPr>
          <w:b/>
          <w:bCs/>
          <w:lang w:val="en-GB" w:eastAsia="ja-JP"/>
        </w:rPr>
        <w:t xml:space="preserve"> not </w:t>
      </w:r>
      <w:r w:rsidR="003D1A6B">
        <w:rPr>
          <w:b/>
          <w:bCs/>
          <w:lang w:val="en-GB" w:eastAsia="ja-JP"/>
        </w:rPr>
        <w:t xml:space="preserve">to </w:t>
      </w:r>
      <w:r w:rsidR="003D1A6B" w:rsidRPr="003D1A6B">
        <w:rPr>
          <w:b/>
          <w:bCs/>
          <w:lang w:val="en-GB" w:eastAsia="ja-JP"/>
        </w:rPr>
        <w:t>consider retransmissions.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6"/>
        <w:gridCol w:w="1795"/>
        <w:gridCol w:w="2592"/>
        <w:gridCol w:w="2353"/>
        <w:gridCol w:w="2353"/>
      </w:tblGrid>
      <w:tr w:rsidR="00B07221" w14:paraId="3B1989F5" w14:textId="77777777" w:rsidTr="001343F3">
        <w:trPr>
          <w:trHeight w:val="249"/>
          <w:jc w:val="center"/>
        </w:trPr>
        <w:tc>
          <w:tcPr>
            <w:tcW w:w="278" w:type="pct"/>
            <w:shd w:val="clear" w:color="auto" w:fill="BFBFBF" w:themeFill="background1" w:themeFillShade="BF"/>
            <w:noWrap/>
            <w:tcMar>
              <w:top w:w="0" w:type="dxa"/>
              <w:left w:w="108" w:type="dxa"/>
              <w:bottom w:w="0" w:type="dxa"/>
              <w:right w:w="108" w:type="dxa"/>
            </w:tcMar>
            <w:vAlign w:val="center"/>
          </w:tcPr>
          <w:p w14:paraId="58864CCE" w14:textId="77777777" w:rsidR="00B07221" w:rsidRDefault="00B07221" w:rsidP="001343F3">
            <w:pPr>
              <w:pStyle w:val="TAH"/>
              <w:rPr>
                <w:rFonts w:cs="Arial"/>
                <w:szCs w:val="18"/>
              </w:rPr>
            </w:pPr>
            <w:r>
              <w:rPr>
                <w:rFonts w:cs="Arial"/>
                <w:szCs w:val="18"/>
                <w:lang w:val="en-US"/>
              </w:rPr>
              <w:t>ID</w:t>
            </w:r>
          </w:p>
        </w:tc>
        <w:tc>
          <w:tcPr>
            <w:tcW w:w="932" w:type="pct"/>
            <w:shd w:val="clear" w:color="auto" w:fill="BFBFBF" w:themeFill="background1" w:themeFillShade="BF"/>
            <w:noWrap/>
            <w:tcMar>
              <w:top w:w="0" w:type="dxa"/>
              <w:left w:w="108" w:type="dxa"/>
              <w:bottom w:w="0" w:type="dxa"/>
              <w:right w:w="108" w:type="dxa"/>
            </w:tcMar>
            <w:vAlign w:val="center"/>
          </w:tcPr>
          <w:p w14:paraId="333D65E9" w14:textId="77777777" w:rsidR="00B07221" w:rsidRDefault="00B07221" w:rsidP="001343F3">
            <w:pPr>
              <w:pStyle w:val="TAH"/>
              <w:rPr>
                <w:rFonts w:cs="Arial"/>
                <w:szCs w:val="18"/>
              </w:rPr>
            </w:pPr>
            <w:r>
              <w:rPr>
                <w:rFonts w:cs="Arial"/>
                <w:szCs w:val="18"/>
                <w:lang w:val="en-US"/>
              </w:rPr>
              <w:t>Component</w:t>
            </w:r>
          </w:p>
        </w:tc>
        <w:tc>
          <w:tcPr>
            <w:tcW w:w="1346" w:type="pct"/>
            <w:shd w:val="clear" w:color="auto" w:fill="BFBFBF" w:themeFill="background1" w:themeFillShade="BF"/>
            <w:noWrap/>
            <w:tcMar>
              <w:top w:w="0" w:type="dxa"/>
              <w:left w:w="108" w:type="dxa"/>
              <w:bottom w:w="0" w:type="dxa"/>
              <w:right w:w="108" w:type="dxa"/>
            </w:tcMar>
            <w:vAlign w:val="center"/>
          </w:tcPr>
          <w:p w14:paraId="557B64C6" w14:textId="77777777" w:rsidR="00B07221" w:rsidRDefault="00B07221" w:rsidP="001343F3">
            <w:pPr>
              <w:pStyle w:val="TAH"/>
              <w:rPr>
                <w:rFonts w:cs="Arial"/>
                <w:szCs w:val="18"/>
              </w:rPr>
            </w:pPr>
            <w:r>
              <w:rPr>
                <w:rFonts w:cs="Arial"/>
                <w:szCs w:val="18"/>
                <w:lang w:val="en-US"/>
              </w:rPr>
              <w:t>Notations</w:t>
            </w:r>
          </w:p>
        </w:tc>
        <w:tc>
          <w:tcPr>
            <w:tcW w:w="1222" w:type="pct"/>
            <w:shd w:val="clear" w:color="auto" w:fill="BFBFBF" w:themeFill="background1" w:themeFillShade="BF"/>
          </w:tcPr>
          <w:p w14:paraId="79D5E48E" w14:textId="77777777" w:rsidR="00B07221" w:rsidRDefault="00B07221" w:rsidP="001343F3">
            <w:pPr>
              <w:pStyle w:val="TAH"/>
              <w:rPr>
                <w:rFonts w:cs="Arial"/>
                <w:szCs w:val="18"/>
              </w:rPr>
            </w:pPr>
            <w:r>
              <w:rPr>
                <w:rFonts w:cs="Arial"/>
                <w:szCs w:val="18"/>
                <w:lang w:val="en-US"/>
              </w:rPr>
              <w:t>Value</w:t>
            </w:r>
          </w:p>
        </w:tc>
        <w:tc>
          <w:tcPr>
            <w:tcW w:w="1222" w:type="pct"/>
            <w:shd w:val="clear" w:color="auto" w:fill="BFBFBF" w:themeFill="background1" w:themeFillShade="BF"/>
          </w:tcPr>
          <w:p w14:paraId="1DAE199E" w14:textId="77777777" w:rsidR="00B07221" w:rsidRDefault="00B07221" w:rsidP="001343F3">
            <w:pPr>
              <w:pStyle w:val="TAH"/>
              <w:rPr>
                <w:rFonts w:cs="Arial"/>
                <w:szCs w:val="18"/>
                <w:lang w:val="en-US"/>
              </w:rPr>
            </w:pPr>
            <w:r>
              <w:rPr>
                <w:rFonts w:cs="Arial"/>
                <w:szCs w:val="18"/>
                <w:lang w:val="en-US"/>
              </w:rPr>
              <w:t>Company input</w:t>
            </w:r>
          </w:p>
        </w:tc>
      </w:tr>
      <w:tr w:rsidR="00B07221" w:rsidRPr="006E3B72" w14:paraId="61166A10" w14:textId="77777777" w:rsidTr="001343F3">
        <w:trPr>
          <w:jc w:val="center"/>
        </w:trPr>
        <w:tc>
          <w:tcPr>
            <w:tcW w:w="278" w:type="pct"/>
            <w:noWrap/>
            <w:tcMar>
              <w:top w:w="0" w:type="dxa"/>
              <w:left w:w="108" w:type="dxa"/>
              <w:bottom w:w="0" w:type="dxa"/>
              <w:right w:w="108" w:type="dxa"/>
            </w:tcMar>
            <w:vAlign w:val="center"/>
          </w:tcPr>
          <w:p w14:paraId="5DCE4163" w14:textId="77777777" w:rsidR="00B07221" w:rsidRPr="00F15717" w:rsidRDefault="00B07221" w:rsidP="001343F3">
            <w:pPr>
              <w:pStyle w:val="TAL"/>
              <w:rPr>
                <w:rFonts w:ascii="Arial" w:hAnsi="Arial" w:cs="Arial"/>
                <w:szCs w:val="18"/>
              </w:rPr>
            </w:pPr>
            <w:r w:rsidRPr="00F15717">
              <w:rPr>
                <w:rFonts w:ascii="Arial" w:hAnsi="Arial" w:cs="Arial"/>
                <w:szCs w:val="18"/>
                <w:lang w:val="en-US"/>
              </w:rPr>
              <w:t>1.1</w:t>
            </w:r>
          </w:p>
        </w:tc>
        <w:tc>
          <w:tcPr>
            <w:tcW w:w="932" w:type="pct"/>
            <w:tcMar>
              <w:top w:w="0" w:type="dxa"/>
              <w:left w:w="108" w:type="dxa"/>
              <w:bottom w:w="0" w:type="dxa"/>
              <w:right w:w="108" w:type="dxa"/>
            </w:tcMar>
            <w:vAlign w:val="center"/>
          </w:tcPr>
          <w:p w14:paraId="4CAF5472" w14:textId="77777777" w:rsidR="00B07221" w:rsidRPr="00F15717" w:rsidRDefault="00B07221" w:rsidP="001343F3">
            <w:pPr>
              <w:pStyle w:val="TAL"/>
              <w:rPr>
                <w:rFonts w:ascii="Arial" w:hAnsi="Arial" w:cs="Arial"/>
                <w:szCs w:val="18"/>
              </w:rPr>
            </w:pPr>
            <w:r w:rsidRPr="00F15717">
              <w:rPr>
                <w:rFonts w:ascii="Arial" w:hAnsi="Arial" w:cs="Arial"/>
                <w:szCs w:val="18"/>
                <w:lang w:val="en-US"/>
              </w:rPr>
              <w:t>UE processing delay</w:t>
            </w:r>
          </w:p>
        </w:tc>
        <w:tc>
          <w:tcPr>
            <w:tcW w:w="1346" w:type="pct"/>
            <w:tcMar>
              <w:top w:w="0" w:type="dxa"/>
              <w:left w:w="108" w:type="dxa"/>
              <w:bottom w:w="0" w:type="dxa"/>
              <w:right w:w="108" w:type="dxa"/>
            </w:tcMar>
            <w:vAlign w:val="center"/>
          </w:tcPr>
          <w:p w14:paraId="7D477F50" w14:textId="77777777" w:rsidR="00B07221" w:rsidRPr="00F15717" w:rsidRDefault="00B07221" w:rsidP="001343F3">
            <w:pPr>
              <w:pStyle w:val="TAL"/>
              <w:rPr>
                <w:rFonts w:ascii="Arial" w:hAnsi="Arial" w:cs="Arial"/>
                <w:szCs w:val="18"/>
                <w:lang w:val="en-US"/>
              </w:rPr>
            </w:pPr>
            <w:r w:rsidRPr="00F15717">
              <w:rPr>
                <w:rFonts w:ascii="Arial" w:hAnsi="Arial" w:cs="Arial"/>
                <w:i/>
                <w:szCs w:val="18"/>
                <w:lang w:val="en-US"/>
              </w:rPr>
              <w:t>t</w:t>
            </w:r>
            <w:r w:rsidRPr="00F15717">
              <w:rPr>
                <w:rFonts w:ascii="Arial" w:hAnsi="Arial" w:cs="Arial"/>
                <w:szCs w:val="18"/>
                <w:vertAlign w:val="subscript"/>
                <w:lang w:val="en-US"/>
              </w:rPr>
              <w:t>UE,tx</w:t>
            </w:r>
          </w:p>
          <w:p w14:paraId="3AEC2177" w14:textId="77777777" w:rsidR="00B07221" w:rsidRPr="00F15717" w:rsidRDefault="00B07221" w:rsidP="001343F3">
            <w:pPr>
              <w:pStyle w:val="TAL"/>
              <w:rPr>
                <w:rFonts w:ascii="Arial" w:hAnsi="Arial" w:cs="Arial"/>
                <w:szCs w:val="18"/>
                <w:lang w:val="en-US"/>
              </w:rPr>
            </w:pPr>
            <w:r w:rsidRPr="00F15717">
              <w:rPr>
                <w:rFonts w:ascii="Arial" w:hAnsi="Arial" w:cs="Arial"/>
                <w:szCs w:val="18"/>
                <w:lang w:val="en-US"/>
              </w:rPr>
              <w:t>The time interval between data arrival and packet generation.</w:t>
            </w:r>
          </w:p>
        </w:tc>
        <w:tc>
          <w:tcPr>
            <w:tcW w:w="1222" w:type="pct"/>
            <w:vAlign w:val="center"/>
          </w:tcPr>
          <w:p w14:paraId="0FCCA062" w14:textId="01058678" w:rsidR="00B07221" w:rsidRPr="00F15717" w:rsidRDefault="00B07221" w:rsidP="001343F3">
            <w:pPr>
              <w:pStyle w:val="TAL"/>
              <w:rPr>
                <w:rFonts w:ascii="Arial" w:hAnsi="Arial" w:cs="Arial"/>
                <w:szCs w:val="18"/>
                <w:lang w:val="en-US"/>
              </w:rPr>
            </w:pPr>
            <w:r w:rsidRPr="00F15717">
              <w:rPr>
                <w:rFonts w:ascii="Arial" w:hAnsi="Arial" w:cs="Arial"/>
                <w:szCs w:val="18"/>
                <w:lang w:val="en-US"/>
              </w:rPr>
              <w:t>T</w:t>
            </w:r>
            <w:r w:rsidRPr="00F15717">
              <w:rPr>
                <w:rFonts w:ascii="Arial" w:hAnsi="Arial" w:cs="Arial"/>
                <w:szCs w:val="18"/>
                <w:vertAlign w:val="subscript"/>
                <w:lang w:val="en-US"/>
              </w:rPr>
              <w:t>proc,2</w:t>
            </w:r>
            <w:r w:rsidRPr="00F15717">
              <w:rPr>
                <w:rFonts w:ascii="Arial" w:hAnsi="Arial" w:cs="Arial"/>
                <w:szCs w:val="18"/>
                <w:lang w:val="en-US"/>
              </w:rPr>
              <w:t>/2, with d</w:t>
            </w:r>
            <w:r w:rsidRPr="00F15717">
              <w:rPr>
                <w:rFonts w:ascii="Arial" w:hAnsi="Arial" w:cs="Arial"/>
                <w:szCs w:val="18"/>
                <w:vertAlign w:val="subscript"/>
                <w:lang w:val="en-US"/>
              </w:rPr>
              <w:t xml:space="preserve">2,1 </w:t>
            </w:r>
            <w:r w:rsidRPr="00F15717">
              <w:rPr>
                <w:rFonts w:ascii="Arial" w:hAnsi="Arial" w:cs="Arial"/>
                <w:szCs w:val="18"/>
                <w:lang w:val="en-US"/>
              </w:rPr>
              <w:t>= d</w:t>
            </w:r>
            <w:r w:rsidRPr="00F15717">
              <w:rPr>
                <w:rFonts w:ascii="Arial" w:hAnsi="Arial" w:cs="Arial"/>
                <w:szCs w:val="18"/>
                <w:vertAlign w:val="subscript"/>
                <w:lang w:val="en-US"/>
              </w:rPr>
              <w:t xml:space="preserve">2,2 </w:t>
            </w:r>
            <w:r w:rsidRPr="00F15717">
              <w:rPr>
                <w:rFonts w:ascii="Arial" w:hAnsi="Arial" w:cs="Arial"/>
                <w:szCs w:val="18"/>
                <w:lang w:val="en-US"/>
              </w:rPr>
              <w:t xml:space="preserve">= 0. </w:t>
            </w:r>
            <w:r w:rsidRPr="00F15717">
              <w:rPr>
                <w:rFonts w:ascii="Arial" w:hAnsi="Arial" w:cs="Arial"/>
                <w:szCs w:val="18"/>
                <w:lang w:val="en-US"/>
              </w:rPr>
              <w:br/>
              <w:t>T</w:t>
            </w:r>
            <w:r w:rsidRPr="00F15717">
              <w:rPr>
                <w:rFonts w:ascii="Arial" w:hAnsi="Arial" w:cs="Arial"/>
                <w:szCs w:val="18"/>
                <w:vertAlign w:val="subscript"/>
                <w:lang w:val="en-US"/>
              </w:rPr>
              <w:t xml:space="preserve">proc,2 </w:t>
            </w:r>
            <w:r w:rsidRPr="00F15717">
              <w:rPr>
                <w:rFonts w:ascii="Arial" w:hAnsi="Arial" w:cs="Arial"/>
                <w:szCs w:val="18"/>
                <w:lang w:val="en-US"/>
              </w:rPr>
              <w:t>is defined in Section 6.4 of TS</w:t>
            </w:r>
            <w:r w:rsidR="00F15717">
              <w:rPr>
                <w:rFonts w:ascii="Arial" w:hAnsi="Arial" w:cs="Arial"/>
                <w:szCs w:val="18"/>
                <w:lang w:val="en-US"/>
              </w:rPr>
              <w:t xml:space="preserve"> </w:t>
            </w:r>
            <w:r w:rsidRPr="00F15717">
              <w:rPr>
                <w:rFonts w:ascii="Arial" w:hAnsi="Arial" w:cs="Arial"/>
                <w:szCs w:val="18"/>
                <w:lang w:val="en-US"/>
              </w:rPr>
              <w:t>38.214.</w:t>
            </w:r>
          </w:p>
        </w:tc>
        <w:tc>
          <w:tcPr>
            <w:tcW w:w="1222" w:type="pct"/>
          </w:tcPr>
          <w:p w14:paraId="38319463" w14:textId="43C50D9F" w:rsidR="00B07221" w:rsidRPr="00F15717" w:rsidRDefault="001343F3" w:rsidP="001343F3">
            <w:pPr>
              <w:pStyle w:val="TAL"/>
              <w:rPr>
                <w:rFonts w:ascii="Arial" w:hAnsi="Arial" w:cs="Arial"/>
                <w:szCs w:val="18"/>
                <w:lang w:val="en-US"/>
              </w:rPr>
            </w:pPr>
            <w:r w:rsidRPr="00F4421D">
              <w:rPr>
                <w:rFonts w:ascii="Arial" w:hAnsi="Arial" w:cs="Arial"/>
                <w:szCs w:val="20"/>
                <w:lang w:val="en-US"/>
              </w:rPr>
              <w:t>[Rapp] d2,3 can be removed as it seems not to be defined in TS 38.214.</w:t>
            </w:r>
          </w:p>
        </w:tc>
      </w:tr>
      <w:tr w:rsidR="00B07221" w:rsidRPr="006E3B72" w14:paraId="44539722" w14:textId="77777777" w:rsidTr="001343F3">
        <w:trPr>
          <w:jc w:val="center"/>
        </w:trPr>
        <w:tc>
          <w:tcPr>
            <w:tcW w:w="278" w:type="pct"/>
            <w:noWrap/>
            <w:tcMar>
              <w:top w:w="0" w:type="dxa"/>
              <w:left w:w="108" w:type="dxa"/>
              <w:bottom w:w="0" w:type="dxa"/>
              <w:right w:w="108" w:type="dxa"/>
            </w:tcMar>
            <w:vAlign w:val="center"/>
          </w:tcPr>
          <w:p w14:paraId="33EFC852" w14:textId="77777777" w:rsidR="00B07221" w:rsidRPr="00F15717" w:rsidRDefault="00B07221" w:rsidP="001343F3">
            <w:pPr>
              <w:pStyle w:val="TAL"/>
              <w:rPr>
                <w:rFonts w:ascii="Arial" w:hAnsi="Arial" w:cs="Arial"/>
                <w:szCs w:val="18"/>
                <w:lang w:val="en-US"/>
              </w:rPr>
            </w:pPr>
            <w:r w:rsidRPr="00F15717">
              <w:rPr>
                <w:rFonts w:ascii="Arial" w:hAnsi="Arial" w:cs="Arial"/>
                <w:szCs w:val="18"/>
                <w:lang w:val="en-US"/>
              </w:rPr>
              <w:t>1.2</w:t>
            </w:r>
          </w:p>
        </w:tc>
        <w:tc>
          <w:tcPr>
            <w:tcW w:w="932" w:type="pct"/>
            <w:tcMar>
              <w:top w:w="0" w:type="dxa"/>
              <w:left w:w="108" w:type="dxa"/>
              <w:bottom w:w="0" w:type="dxa"/>
              <w:right w:w="108" w:type="dxa"/>
            </w:tcMar>
            <w:vAlign w:val="center"/>
          </w:tcPr>
          <w:p w14:paraId="10E4C9D5" w14:textId="77777777" w:rsidR="00B07221" w:rsidRPr="00F15717" w:rsidRDefault="00B07221" w:rsidP="001343F3">
            <w:pPr>
              <w:pStyle w:val="TAL"/>
              <w:rPr>
                <w:rFonts w:ascii="Arial" w:hAnsi="Arial" w:cs="Arial"/>
                <w:szCs w:val="18"/>
                <w:lang w:val="en-US"/>
              </w:rPr>
            </w:pPr>
            <w:r w:rsidRPr="00F15717">
              <w:rPr>
                <w:rFonts w:ascii="Arial" w:hAnsi="Arial" w:cs="Arial"/>
                <w:szCs w:val="18"/>
                <w:lang w:val="en-US"/>
              </w:rPr>
              <w:t>UL frame alignment (transmission alignment)</w:t>
            </w:r>
          </w:p>
        </w:tc>
        <w:tc>
          <w:tcPr>
            <w:tcW w:w="1346" w:type="pct"/>
            <w:tcMar>
              <w:top w:w="0" w:type="dxa"/>
              <w:left w:w="108" w:type="dxa"/>
              <w:bottom w:w="0" w:type="dxa"/>
              <w:right w:w="108" w:type="dxa"/>
            </w:tcMar>
            <w:vAlign w:val="center"/>
          </w:tcPr>
          <w:p w14:paraId="341FB444" w14:textId="77777777" w:rsidR="00B07221" w:rsidRPr="00F15717" w:rsidRDefault="00B07221" w:rsidP="001343F3">
            <w:pPr>
              <w:pStyle w:val="TAL"/>
              <w:rPr>
                <w:rFonts w:ascii="Arial" w:hAnsi="Arial" w:cs="Arial"/>
                <w:szCs w:val="18"/>
                <w:lang w:val="en-US"/>
              </w:rPr>
            </w:pPr>
            <w:r w:rsidRPr="00F15717">
              <w:rPr>
                <w:rFonts w:ascii="Arial" w:hAnsi="Arial" w:cs="Arial"/>
                <w:i/>
                <w:szCs w:val="18"/>
                <w:lang w:val="en-US"/>
              </w:rPr>
              <w:t>t</w:t>
            </w:r>
            <w:r w:rsidRPr="00F15717">
              <w:rPr>
                <w:rFonts w:ascii="Arial" w:hAnsi="Arial" w:cs="Arial"/>
                <w:szCs w:val="18"/>
                <w:vertAlign w:val="subscript"/>
                <w:lang w:val="en-US"/>
              </w:rPr>
              <w:t>FA,UL</w:t>
            </w:r>
          </w:p>
          <w:p w14:paraId="3F535DE9" w14:textId="77777777" w:rsidR="00B07221" w:rsidRPr="00F15717" w:rsidRDefault="00B07221" w:rsidP="001343F3">
            <w:pPr>
              <w:pStyle w:val="TAL"/>
              <w:rPr>
                <w:rFonts w:ascii="Arial" w:hAnsi="Arial" w:cs="Arial"/>
                <w:i/>
                <w:szCs w:val="18"/>
                <w:lang w:val="en-US"/>
              </w:rPr>
            </w:pPr>
            <w:r w:rsidRPr="00F15717">
              <w:rPr>
                <w:rFonts w:ascii="Arial" w:hAnsi="Arial" w:cs="Arial"/>
                <w:szCs w:val="18"/>
                <w:lang w:val="en-US"/>
              </w:rPr>
              <w:t>The time interval between packet generation and the next Tx opportunity.</w:t>
            </w:r>
          </w:p>
        </w:tc>
        <w:tc>
          <w:tcPr>
            <w:tcW w:w="1222" w:type="pct"/>
            <w:vAlign w:val="center"/>
          </w:tcPr>
          <w:p w14:paraId="7C4678E0" w14:textId="77777777" w:rsidR="00B07221" w:rsidRPr="00F15717" w:rsidRDefault="00B07221" w:rsidP="001343F3">
            <w:pPr>
              <w:pStyle w:val="TAL"/>
              <w:rPr>
                <w:rFonts w:ascii="Arial" w:hAnsi="Arial" w:cs="Arial"/>
                <w:szCs w:val="18"/>
                <w:lang w:val="en-US"/>
              </w:rPr>
            </w:pPr>
            <w:r w:rsidRPr="00F15717">
              <w:rPr>
                <w:rFonts w:ascii="Arial" w:hAnsi="Arial" w:cs="Arial"/>
                <w:i/>
                <w:szCs w:val="18"/>
                <w:lang w:val="en-US"/>
              </w:rPr>
              <w:t>T</w:t>
            </w:r>
            <w:r w:rsidRPr="00F15717">
              <w:rPr>
                <w:rFonts w:ascii="Arial" w:hAnsi="Arial" w:cs="Arial"/>
                <w:szCs w:val="18"/>
                <w:vertAlign w:val="subscript"/>
                <w:lang w:val="en-US"/>
              </w:rPr>
              <w:t>FA</w:t>
            </w:r>
          </w:p>
          <w:p w14:paraId="36982349" w14:textId="77777777" w:rsidR="00B07221" w:rsidRPr="00F15717" w:rsidRDefault="00B07221" w:rsidP="001343F3">
            <w:pPr>
              <w:pStyle w:val="TAL"/>
              <w:rPr>
                <w:rFonts w:ascii="Arial" w:hAnsi="Arial" w:cs="Arial"/>
                <w:szCs w:val="18"/>
                <w:lang w:val="en-US"/>
              </w:rPr>
            </w:pPr>
            <w:r w:rsidRPr="00F15717">
              <w:rPr>
                <w:rFonts w:ascii="Arial" w:hAnsi="Arial" w:cs="Arial"/>
                <w:szCs w:val="18"/>
                <w:lang w:val="en-US"/>
              </w:rPr>
              <w:t xml:space="preserve">Length of one slot, since </w:t>
            </w:r>
            <w:r w:rsidRPr="00F15717">
              <w:rPr>
                <w:rFonts w:ascii="Arial" w:hAnsi="Arial" w:cs="Arial"/>
                <w:i/>
                <w:szCs w:val="18"/>
                <w:lang w:val="en-US"/>
              </w:rPr>
              <w:t>T</w:t>
            </w:r>
            <w:r w:rsidRPr="00F15717">
              <w:rPr>
                <w:rFonts w:ascii="Arial" w:hAnsi="Arial" w:cs="Arial"/>
                <w:szCs w:val="18"/>
                <w:vertAlign w:val="subscript"/>
                <w:lang w:val="en-US"/>
              </w:rPr>
              <w:t>FA</w:t>
            </w:r>
            <w:r w:rsidRPr="00F15717">
              <w:rPr>
                <w:rFonts w:ascii="Arial" w:hAnsi="Arial" w:cs="Arial"/>
                <w:szCs w:val="18"/>
                <w:lang w:val="en-US"/>
              </w:rPr>
              <w:t xml:space="preserve"> is bounded by the slo</w:t>
            </w:r>
            <w:r w:rsidRPr="00F15717">
              <w:rPr>
                <w:rFonts w:ascii="Arial" w:hAnsi="Arial" w:cs="Arial"/>
                <w:iCs/>
                <w:szCs w:val="18"/>
                <w:lang w:val="en-US"/>
              </w:rPr>
              <w:t>t duration.</w:t>
            </w:r>
          </w:p>
        </w:tc>
        <w:tc>
          <w:tcPr>
            <w:tcW w:w="1222" w:type="pct"/>
          </w:tcPr>
          <w:p w14:paraId="058E6F61" w14:textId="77777777" w:rsidR="00B07221" w:rsidRPr="00F15717" w:rsidRDefault="00B07221" w:rsidP="001343F3">
            <w:pPr>
              <w:pStyle w:val="TAL"/>
              <w:rPr>
                <w:rFonts w:ascii="Arial" w:hAnsi="Arial" w:cs="Arial"/>
                <w:i/>
                <w:szCs w:val="18"/>
                <w:lang w:val="en-US"/>
              </w:rPr>
            </w:pPr>
          </w:p>
        </w:tc>
      </w:tr>
      <w:tr w:rsidR="00B07221" w:rsidRPr="006E3B72" w14:paraId="53DA1068" w14:textId="77777777" w:rsidTr="001343F3">
        <w:trPr>
          <w:jc w:val="center"/>
        </w:trPr>
        <w:tc>
          <w:tcPr>
            <w:tcW w:w="278" w:type="pct"/>
            <w:noWrap/>
            <w:tcMar>
              <w:top w:w="0" w:type="dxa"/>
              <w:left w:w="108" w:type="dxa"/>
              <w:bottom w:w="0" w:type="dxa"/>
              <w:right w:w="108" w:type="dxa"/>
            </w:tcMar>
            <w:vAlign w:val="center"/>
          </w:tcPr>
          <w:p w14:paraId="55D9C459" w14:textId="77777777" w:rsidR="00B07221" w:rsidRPr="00F15717" w:rsidRDefault="00B07221" w:rsidP="001343F3">
            <w:pPr>
              <w:pStyle w:val="TAL"/>
              <w:rPr>
                <w:rFonts w:ascii="Arial" w:hAnsi="Arial" w:cs="Arial"/>
                <w:szCs w:val="18"/>
              </w:rPr>
            </w:pPr>
            <w:r w:rsidRPr="00F15717">
              <w:rPr>
                <w:rFonts w:ascii="Arial" w:hAnsi="Arial" w:cs="Arial"/>
                <w:szCs w:val="18"/>
                <w:lang w:val="en-US"/>
              </w:rPr>
              <w:t>1.3</w:t>
            </w:r>
          </w:p>
        </w:tc>
        <w:tc>
          <w:tcPr>
            <w:tcW w:w="932" w:type="pct"/>
            <w:tcMar>
              <w:top w:w="0" w:type="dxa"/>
              <w:left w:w="108" w:type="dxa"/>
              <w:bottom w:w="0" w:type="dxa"/>
              <w:right w:w="108" w:type="dxa"/>
            </w:tcMar>
            <w:vAlign w:val="center"/>
          </w:tcPr>
          <w:p w14:paraId="1E4E71BC" w14:textId="77777777" w:rsidR="00B07221" w:rsidRPr="00F15717" w:rsidRDefault="00B07221" w:rsidP="001343F3">
            <w:pPr>
              <w:pStyle w:val="TAL"/>
              <w:rPr>
                <w:rFonts w:ascii="Arial" w:hAnsi="Arial" w:cs="Arial"/>
                <w:szCs w:val="18"/>
                <w:lang w:val="en-US"/>
              </w:rPr>
            </w:pPr>
            <w:r w:rsidRPr="00F15717">
              <w:rPr>
                <w:rFonts w:ascii="Arial" w:hAnsi="Arial" w:cs="Arial"/>
                <w:szCs w:val="18"/>
                <w:lang w:val="en-US"/>
              </w:rPr>
              <w:t>TTI for UL data packet transmission</w:t>
            </w:r>
          </w:p>
        </w:tc>
        <w:tc>
          <w:tcPr>
            <w:tcW w:w="1346" w:type="pct"/>
            <w:tcMar>
              <w:top w:w="0" w:type="dxa"/>
              <w:left w:w="108" w:type="dxa"/>
              <w:bottom w:w="0" w:type="dxa"/>
              <w:right w:w="108" w:type="dxa"/>
            </w:tcMar>
            <w:vAlign w:val="center"/>
          </w:tcPr>
          <w:p w14:paraId="426E0640" w14:textId="77777777" w:rsidR="00B07221" w:rsidRPr="00F15717" w:rsidRDefault="00B07221" w:rsidP="001343F3">
            <w:pPr>
              <w:pStyle w:val="TAL"/>
              <w:rPr>
                <w:rFonts w:ascii="Arial" w:hAnsi="Arial" w:cs="Arial"/>
                <w:i/>
                <w:szCs w:val="18"/>
              </w:rPr>
            </w:pPr>
            <w:r w:rsidRPr="00F15717">
              <w:rPr>
                <w:rFonts w:ascii="Arial" w:hAnsi="Arial" w:cs="Arial"/>
                <w:i/>
                <w:szCs w:val="18"/>
                <w:lang w:val="en-US"/>
              </w:rPr>
              <w:t>t</w:t>
            </w:r>
            <w:r w:rsidRPr="00F15717">
              <w:rPr>
                <w:rFonts w:ascii="Arial" w:hAnsi="Arial" w:cs="Arial"/>
                <w:szCs w:val="18"/>
                <w:vertAlign w:val="subscript"/>
                <w:lang w:val="en-US"/>
              </w:rPr>
              <w:t>UL_duration</w:t>
            </w:r>
          </w:p>
        </w:tc>
        <w:tc>
          <w:tcPr>
            <w:tcW w:w="1222" w:type="pct"/>
            <w:vAlign w:val="center"/>
          </w:tcPr>
          <w:p w14:paraId="11F28DA2" w14:textId="77777777" w:rsidR="00B07221" w:rsidRPr="00F15717" w:rsidRDefault="00B07221" w:rsidP="001343F3">
            <w:pPr>
              <w:pStyle w:val="TAL"/>
              <w:rPr>
                <w:rFonts w:ascii="Arial" w:hAnsi="Arial" w:cs="Arial"/>
                <w:szCs w:val="18"/>
                <w:lang w:val="en-US"/>
              </w:rPr>
            </w:pPr>
            <w:r w:rsidRPr="00F15717">
              <w:rPr>
                <w:rFonts w:ascii="Arial" w:hAnsi="Arial" w:cs="Arial"/>
                <w:szCs w:val="18"/>
                <w:lang w:val="en-US"/>
              </w:rPr>
              <w:t>Length of one slot (14 OFDM symbol length) or non-slot (4/7 OFDM symbol length), depending on slot or non-slot selected in evaluation.</w:t>
            </w:r>
          </w:p>
        </w:tc>
        <w:tc>
          <w:tcPr>
            <w:tcW w:w="1222" w:type="pct"/>
          </w:tcPr>
          <w:p w14:paraId="2130452A" w14:textId="77777777" w:rsidR="00B07221" w:rsidRPr="00F15717" w:rsidRDefault="00B07221" w:rsidP="001343F3">
            <w:pPr>
              <w:pStyle w:val="TAL"/>
              <w:rPr>
                <w:rFonts w:ascii="Arial" w:hAnsi="Arial" w:cs="Arial"/>
                <w:szCs w:val="18"/>
                <w:lang w:val="en-US"/>
              </w:rPr>
            </w:pPr>
          </w:p>
        </w:tc>
      </w:tr>
      <w:tr w:rsidR="00B07221" w14:paraId="4E2D1D4B" w14:textId="77777777" w:rsidTr="001343F3">
        <w:trPr>
          <w:jc w:val="center"/>
        </w:trPr>
        <w:tc>
          <w:tcPr>
            <w:tcW w:w="278" w:type="pct"/>
            <w:noWrap/>
            <w:tcMar>
              <w:top w:w="0" w:type="dxa"/>
              <w:left w:w="108" w:type="dxa"/>
              <w:bottom w:w="0" w:type="dxa"/>
              <w:right w:w="108" w:type="dxa"/>
            </w:tcMar>
            <w:vAlign w:val="center"/>
          </w:tcPr>
          <w:p w14:paraId="6FB44FCD" w14:textId="77777777" w:rsidR="00B07221" w:rsidRPr="00F15717" w:rsidRDefault="00B07221" w:rsidP="001343F3">
            <w:pPr>
              <w:pStyle w:val="TAL"/>
              <w:rPr>
                <w:rFonts w:ascii="Arial" w:hAnsi="Arial" w:cs="Arial"/>
                <w:szCs w:val="18"/>
              </w:rPr>
            </w:pPr>
            <w:r w:rsidRPr="00F15717">
              <w:rPr>
                <w:rFonts w:ascii="Arial" w:hAnsi="Arial" w:cs="Arial"/>
                <w:szCs w:val="18"/>
                <w:lang w:val="en-US"/>
              </w:rPr>
              <w:t>1.4</w:t>
            </w:r>
          </w:p>
        </w:tc>
        <w:tc>
          <w:tcPr>
            <w:tcW w:w="932" w:type="pct"/>
            <w:tcMar>
              <w:top w:w="0" w:type="dxa"/>
              <w:left w:w="108" w:type="dxa"/>
              <w:bottom w:w="0" w:type="dxa"/>
              <w:right w:w="108" w:type="dxa"/>
            </w:tcMar>
            <w:vAlign w:val="center"/>
          </w:tcPr>
          <w:p w14:paraId="73666C7F" w14:textId="77777777" w:rsidR="00B07221" w:rsidRPr="00F15717" w:rsidRDefault="00B07221" w:rsidP="001343F3">
            <w:pPr>
              <w:pStyle w:val="TAL"/>
              <w:rPr>
                <w:rFonts w:ascii="Arial" w:hAnsi="Arial" w:cs="Arial"/>
                <w:szCs w:val="18"/>
                <w:lang w:val="en-US"/>
              </w:rPr>
            </w:pPr>
            <w:r w:rsidRPr="00F15717">
              <w:rPr>
                <w:rFonts w:ascii="Arial" w:hAnsi="Arial" w:cs="Arial"/>
                <w:szCs w:val="18"/>
                <w:lang w:val="en-US"/>
              </w:rPr>
              <w:t>One-way propagation time UE -&gt; satellite -&gt; BS</w:t>
            </w:r>
          </w:p>
        </w:tc>
        <w:tc>
          <w:tcPr>
            <w:tcW w:w="1346" w:type="pct"/>
            <w:tcMar>
              <w:top w:w="0" w:type="dxa"/>
              <w:left w:w="108" w:type="dxa"/>
              <w:bottom w:w="0" w:type="dxa"/>
              <w:right w:w="108" w:type="dxa"/>
            </w:tcMar>
            <w:vAlign w:val="center"/>
          </w:tcPr>
          <w:p w14:paraId="3B5D3C3F" w14:textId="77777777" w:rsidR="00B07221" w:rsidRPr="00F15717" w:rsidRDefault="00B07221" w:rsidP="001343F3">
            <w:pPr>
              <w:pStyle w:val="TAL"/>
              <w:rPr>
                <w:rFonts w:ascii="Arial" w:hAnsi="Arial" w:cs="Arial"/>
                <w:i/>
                <w:szCs w:val="18"/>
              </w:rPr>
            </w:pPr>
            <w:r w:rsidRPr="00F15717">
              <w:rPr>
                <w:rFonts w:ascii="Arial" w:hAnsi="Arial" w:cs="Arial"/>
                <w:i/>
                <w:szCs w:val="18"/>
                <w:lang w:val="en-US"/>
              </w:rPr>
              <w:t>t</w:t>
            </w:r>
            <w:r w:rsidRPr="00F15717">
              <w:rPr>
                <w:rFonts w:ascii="Arial" w:hAnsi="Arial" w:cs="Arial"/>
                <w:szCs w:val="18"/>
                <w:vertAlign w:val="subscript"/>
                <w:lang w:val="en-US"/>
              </w:rPr>
              <w:t>prop</w:t>
            </w:r>
          </w:p>
        </w:tc>
        <w:tc>
          <w:tcPr>
            <w:tcW w:w="1222" w:type="pct"/>
            <w:vAlign w:val="center"/>
          </w:tcPr>
          <w:p w14:paraId="02DD1D53" w14:textId="77777777" w:rsidR="00B07221" w:rsidRPr="00F15717" w:rsidRDefault="00B07221" w:rsidP="001343F3">
            <w:pPr>
              <w:pStyle w:val="TAL"/>
              <w:rPr>
                <w:rFonts w:ascii="Arial" w:hAnsi="Arial" w:cs="Arial"/>
                <w:szCs w:val="18"/>
                <w:lang w:val="en-US"/>
              </w:rPr>
            </w:pPr>
            <w:r w:rsidRPr="00F15717">
              <w:rPr>
                <w:rFonts w:ascii="Arial" w:hAnsi="Arial" w:cs="Arial"/>
                <w:szCs w:val="18"/>
              </w:rPr>
              <w:t>RT</w:t>
            </w:r>
            <w:r w:rsidRPr="00F15717">
              <w:rPr>
                <w:rFonts w:ascii="Arial" w:hAnsi="Arial" w:cs="Arial"/>
                <w:szCs w:val="18"/>
                <w:lang w:val="en-US"/>
              </w:rPr>
              <w:t>D/2</w:t>
            </w:r>
          </w:p>
        </w:tc>
        <w:tc>
          <w:tcPr>
            <w:tcW w:w="1222" w:type="pct"/>
          </w:tcPr>
          <w:p w14:paraId="77BAA3DC" w14:textId="77777777" w:rsidR="00B07221" w:rsidRPr="00F15717" w:rsidRDefault="00B07221" w:rsidP="001343F3">
            <w:pPr>
              <w:pStyle w:val="TAL"/>
              <w:rPr>
                <w:rFonts w:ascii="Arial" w:hAnsi="Arial" w:cs="Arial"/>
                <w:szCs w:val="18"/>
                <w:lang w:val="en-US"/>
              </w:rPr>
            </w:pPr>
          </w:p>
        </w:tc>
      </w:tr>
      <w:tr w:rsidR="00B07221" w:rsidRPr="006E3B72" w14:paraId="57C7230F" w14:textId="77777777" w:rsidTr="001343F3">
        <w:trPr>
          <w:jc w:val="center"/>
        </w:trPr>
        <w:tc>
          <w:tcPr>
            <w:tcW w:w="278" w:type="pct"/>
            <w:noWrap/>
            <w:tcMar>
              <w:top w:w="0" w:type="dxa"/>
              <w:left w:w="108" w:type="dxa"/>
              <w:bottom w:w="0" w:type="dxa"/>
              <w:right w:w="108" w:type="dxa"/>
            </w:tcMar>
            <w:vAlign w:val="center"/>
          </w:tcPr>
          <w:p w14:paraId="33C9A615" w14:textId="77777777" w:rsidR="00B07221" w:rsidRPr="00F15717" w:rsidRDefault="00B07221" w:rsidP="001343F3">
            <w:pPr>
              <w:pStyle w:val="TAL"/>
              <w:rPr>
                <w:rFonts w:ascii="Arial" w:hAnsi="Arial" w:cs="Arial"/>
                <w:szCs w:val="18"/>
              </w:rPr>
            </w:pPr>
            <w:r w:rsidRPr="00F15717">
              <w:rPr>
                <w:rFonts w:ascii="Arial" w:hAnsi="Arial" w:cs="Arial"/>
                <w:szCs w:val="18"/>
                <w:lang w:val="en-US"/>
              </w:rPr>
              <w:t>1.5</w:t>
            </w:r>
          </w:p>
        </w:tc>
        <w:tc>
          <w:tcPr>
            <w:tcW w:w="932" w:type="pct"/>
            <w:tcMar>
              <w:top w:w="0" w:type="dxa"/>
              <w:left w:w="108" w:type="dxa"/>
              <w:bottom w:w="0" w:type="dxa"/>
              <w:right w:w="108" w:type="dxa"/>
            </w:tcMar>
            <w:vAlign w:val="center"/>
          </w:tcPr>
          <w:p w14:paraId="59F53351" w14:textId="77777777" w:rsidR="00B07221" w:rsidRPr="00F15717" w:rsidRDefault="00B07221" w:rsidP="001343F3">
            <w:pPr>
              <w:pStyle w:val="TAL"/>
              <w:rPr>
                <w:rFonts w:ascii="Arial" w:hAnsi="Arial" w:cs="Arial"/>
                <w:szCs w:val="18"/>
              </w:rPr>
            </w:pPr>
            <w:r w:rsidRPr="00F15717">
              <w:rPr>
                <w:rFonts w:ascii="Arial" w:hAnsi="Arial" w:cs="Arial"/>
                <w:szCs w:val="18"/>
                <w:lang w:val="en-US"/>
              </w:rPr>
              <w:t>BS processing delay</w:t>
            </w:r>
          </w:p>
        </w:tc>
        <w:tc>
          <w:tcPr>
            <w:tcW w:w="1346" w:type="pct"/>
            <w:tcMar>
              <w:top w:w="0" w:type="dxa"/>
              <w:left w:w="108" w:type="dxa"/>
              <w:bottom w:w="0" w:type="dxa"/>
              <w:right w:w="108" w:type="dxa"/>
            </w:tcMar>
            <w:vAlign w:val="center"/>
          </w:tcPr>
          <w:p w14:paraId="2EBE9367" w14:textId="77777777" w:rsidR="00B07221" w:rsidRPr="00F15717" w:rsidRDefault="00B07221" w:rsidP="001343F3">
            <w:pPr>
              <w:pStyle w:val="TAL"/>
              <w:rPr>
                <w:rFonts w:ascii="Arial" w:hAnsi="Arial" w:cs="Arial"/>
                <w:szCs w:val="18"/>
                <w:lang w:val="en-US"/>
              </w:rPr>
            </w:pPr>
            <w:r w:rsidRPr="00F15717">
              <w:rPr>
                <w:rFonts w:ascii="Arial" w:hAnsi="Arial" w:cs="Arial"/>
                <w:i/>
                <w:szCs w:val="18"/>
                <w:lang w:val="en-US"/>
              </w:rPr>
              <w:t>t</w:t>
            </w:r>
            <w:r w:rsidRPr="00F15717">
              <w:rPr>
                <w:rFonts w:ascii="Arial" w:hAnsi="Arial" w:cs="Arial"/>
                <w:szCs w:val="18"/>
                <w:vertAlign w:val="subscript"/>
                <w:lang w:val="en-US"/>
              </w:rPr>
              <w:t>BS,rx</w:t>
            </w:r>
            <w:r w:rsidRPr="00F15717">
              <w:rPr>
                <w:rFonts w:ascii="Arial" w:hAnsi="Arial" w:cs="Arial"/>
                <w:szCs w:val="18"/>
                <w:lang w:val="en-US"/>
              </w:rPr>
              <w:t xml:space="preserve"> </w:t>
            </w:r>
          </w:p>
          <w:p w14:paraId="60299C40" w14:textId="77777777" w:rsidR="00B07221" w:rsidRPr="00F15717" w:rsidRDefault="00B07221" w:rsidP="001343F3">
            <w:pPr>
              <w:pStyle w:val="TAL"/>
              <w:rPr>
                <w:rFonts w:ascii="Arial" w:hAnsi="Arial" w:cs="Arial"/>
                <w:i/>
                <w:szCs w:val="18"/>
                <w:lang w:val="en-US"/>
              </w:rPr>
            </w:pPr>
            <w:r w:rsidRPr="00F15717">
              <w:rPr>
                <w:rFonts w:ascii="Arial" w:hAnsi="Arial" w:cs="Arial"/>
                <w:szCs w:val="18"/>
                <w:lang w:val="en-US"/>
              </w:rPr>
              <w:t>The time interval between PUSCH reception and decoding of the data.</w:t>
            </w:r>
          </w:p>
        </w:tc>
        <w:tc>
          <w:tcPr>
            <w:tcW w:w="1222" w:type="pct"/>
            <w:vAlign w:val="center"/>
          </w:tcPr>
          <w:p w14:paraId="375C282E" w14:textId="77777777" w:rsidR="00B07221" w:rsidRPr="00F15717" w:rsidRDefault="00B07221" w:rsidP="001343F3">
            <w:pPr>
              <w:pStyle w:val="TAL"/>
              <w:rPr>
                <w:rFonts w:ascii="Arial" w:hAnsi="Arial" w:cs="Arial"/>
                <w:szCs w:val="18"/>
                <w:lang w:val="en-US"/>
              </w:rPr>
            </w:pPr>
            <w:r w:rsidRPr="00F15717">
              <w:rPr>
                <w:rFonts w:ascii="Arial" w:hAnsi="Arial" w:cs="Arial"/>
                <w:szCs w:val="18"/>
                <w:lang w:val="en-US"/>
              </w:rPr>
              <w:t>T</w:t>
            </w:r>
            <w:r w:rsidRPr="00F15717">
              <w:rPr>
                <w:rFonts w:ascii="Arial" w:hAnsi="Arial" w:cs="Arial"/>
                <w:szCs w:val="18"/>
                <w:vertAlign w:val="subscript"/>
                <w:lang w:val="en-US"/>
              </w:rPr>
              <w:t>proc,1</w:t>
            </w:r>
            <w:r w:rsidRPr="00F15717">
              <w:rPr>
                <w:rFonts w:ascii="Arial" w:hAnsi="Arial" w:cs="Arial"/>
                <w:szCs w:val="18"/>
                <w:lang w:val="en-US"/>
              </w:rPr>
              <w:t>/2, with d</w:t>
            </w:r>
            <w:r w:rsidRPr="00F15717">
              <w:rPr>
                <w:rFonts w:ascii="Arial" w:hAnsi="Arial" w:cs="Arial"/>
                <w:szCs w:val="18"/>
                <w:vertAlign w:val="subscript"/>
                <w:lang w:val="en-US"/>
              </w:rPr>
              <w:t xml:space="preserve">1,1 </w:t>
            </w:r>
            <w:r w:rsidRPr="00F15717">
              <w:rPr>
                <w:rFonts w:ascii="Arial" w:hAnsi="Arial" w:cs="Arial"/>
                <w:szCs w:val="18"/>
                <w:lang w:val="en-US"/>
              </w:rPr>
              <w:t xml:space="preserve">= 0. </w:t>
            </w:r>
          </w:p>
          <w:p w14:paraId="657E39E3" w14:textId="22683E0F" w:rsidR="00B07221" w:rsidRPr="00F15717" w:rsidRDefault="00B07221" w:rsidP="001343F3">
            <w:pPr>
              <w:pStyle w:val="TAL"/>
              <w:rPr>
                <w:rFonts w:ascii="Arial" w:hAnsi="Arial" w:cs="Arial"/>
                <w:szCs w:val="18"/>
                <w:lang w:val="en-US"/>
              </w:rPr>
            </w:pPr>
            <w:r w:rsidRPr="00F15717">
              <w:rPr>
                <w:rFonts w:ascii="Arial" w:hAnsi="Arial" w:cs="Arial"/>
                <w:szCs w:val="18"/>
                <w:lang w:val="en-US"/>
              </w:rPr>
              <w:t>T</w:t>
            </w:r>
            <w:r w:rsidRPr="00F15717">
              <w:rPr>
                <w:rFonts w:ascii="Arial" w:hAnsi="Arial" w:cs="Arial"/>
                <w:szCs w:val="18"/>
                <w:vertAlign w:val="subscript"/>
                <w:lang w:val="en-US"/>
              </w:rPr>
              <w:t xml:space="preserve">proc,1 </w:t>
            </w:r>
            <w:r w:rsidRPr="00F15717">
              <w:rPr>
                <w:rFonts w:ascii="Arial" w:hAnsi="Arial" w:cs="Arial"/>
                <w:szCs w:val="18"/>
                <w:lang w:val="en-US"/>
              </w:rPr>
              <w:t>is defined in Section 5.3 of TS</w:t>
            </w:r>
            <w:r w:rsidR="005D5ADE">
              <w:rPr>
                <w:rFonts w:ascii="Arial" w:hAnsi="Arial" w:cs="Arial"/>
                <w:szCs w:val="18"/>
                <w:lang w:val="en-US"/>
              </w:rPr>
              <w:t xml:space="preserve"> </w:t>
            </w:r>
            <w:r w:rsidRPr="00F15717">
              <w:rPr>
                <w:rFonts w:ascii="Arial" w:hAnsi="Arial" w:cs="Arial"/>
                <w:szCs w:val="18"/>
                <w:lang w:val="en-US"/>
              </w:rPr>
              <w:t>38.214.</w:t>
            </w:r>
            <w:r w:rsidR="00DC2473">
              <w:rPr>
                <w:rFonts w:ascii="Arial" w:hAnsi="Arial" w:cs="Arial"/>
                <w:szCs w:val="18"/>
                <w:lang w:val="en-US"/>
              </w:rPr>
              <w:t xml:space="preserve"> (Note 1)</w:t>
            </w:r>
          </w:p>
        </w:tc>
        <w:tc>
          <w:tcPr>
            <w:tcW w:w="1222" w:type="pct"/>
          </w:tcPr>
          <w:p w14:paraId="367F96C0" w14:textId="3302AFFE" w:rsidR="00B07221" w:rsidRPr="00F15717" w:rsidRDefault="001343F3" w:rsidP="001343F3">
            <w:pPr>
              <w:pStyle w:val="TAL"/>
              <w:rPr>
                <w:rFonts w:ascii="Arial" w:hAnsi="Arial" w:cs="Arial"/>
                <w:szCs w:val="18"/>
                <w:lang w:val="en-US"/>
              </w:rPr>
            </w:pPr>
            <w:r>
              <w:rPr>
                <w:rFonts w:ascii="Arial" w:hAnsi="Arial" w:cs="Arial"/>
                <w:szCs w:val="20"/>
                <w:lang w:val="en-US"/>
              </w:rPr>
              <w:t xml:space="preserve">[Rapp] </w:t>
            </w:r>
            <w:r w:rsidRPr="006E3B72">
              <w:rPr>
                <w:rFonts w:ascii="Arial" w:hAnsi="Arial" w:cs="Arial"/>
                <w:lang w:val="en-US"/>
              </w:rPr>
              <w:t>d</w:t>
            </w:r>
            <w:r w:rsidRPr="006E3B72">
              <w:rPr>
                <w:rFonts w:ascii="Arial" w:hAnsi="Arial" w:cs="Arial"/>
                <w:vertAlign w:val="subscript"/>
                <w:lang w:val="en-US"/>
              </w:rPr>
              <w:t>1,2</w:t>
            </w:r>
            <w:r>
              <w:rPr>
                <w:rFonts w:ascii="Arial" w:hAnsi="Arial" w:cs="Arial"/>
                <w:lang w:val="en-US"/>
              </w:rPr>
              <w:t xml:space="preserve"> can be removed as it seems not be defined in TS 38.214.</w:t>
            </w:r>
          </w:p>
        </w:tc>
      </w:tr>
      <w:tr w:rsidR="00A5759B" w:rsidRPr="006E3B72" w14:paraId="4E89096A" w14:textId="77777777" w:rsidTr="00A5759B">
        <w:trPr>
          <w:jc w:val="center"/>
        </w:trPr>
        <w:tc>
          <w:tcPr>
            <w:tcW w:w="5000" w:type="pct"/>
            <w:gridSpan w:val="5"/>
            <w:noWrap/>
            <w:tcMar>
              <w:top w:w="0" w:type="dxa"/>
              <w:left w:w="108" w:type="dxa"/>
              <w:bottom w:w="0" w:type="dxa"/>
              <w:right w:w="108" w:type="dxa"/>
            </w:tcMar>
            <w:vAlign w:val="center"/>
          </w:tcPr>
          <w:p w14:paraId="73933D27" w14:textId="77777777" w:rsidR="00A5759B" w:rsidRPr="003279D3" w:rsidRDefault="00A5759B" w:rsidP="003279D3">
            <w:pPr>
              <w:pStyle w:val="TAN"/>
              <w:spacing w:after="0" w:line="240" w:lineRule="auto"/>
              <w:rPr>
                <w:rFonts w:ascii="Arial" w:hAnsi="Arial" w:cs="Times New Roman"/>
                <w:szCs w:val="20"/>
                <w:lang w:val="en-GB"/>
              </w:rPr>
            </w:pPr>
            <w:r w:rsidRPr="003279D3">
              <w:rPr>
                <w:rFonts w:ascii="Arial" w:hAnsi="Arial" w:cs="Times New Roman" w:hint="eastAsia"/>
                <w:szCs w:val="20"/>
                <w:lang w:val="en-GB"/>
              </w:rPr>
              <w:t>Note:</w:t>
            </w:r>
          </w:p>
          <w:p w14:paraId="61DBF669" w14:textId="7C208EAA" w:rsidR="00A5759B" w:rsidRPr="00DC2473" w:rsidRDefault="00A5759B" w:rsidP="00DC2473">
            <w:pPr>
              <w:pStyle w:val="TAN"/>
              <w:spacing w:after="0" w:line="240" w:lineRule="auto"/>
              <w:rPr>
                <w:rFonts w:ascii="Arial" w:hAnsi="Arial" w:cs="Times New Roman"/>
                <w:szCs w:val="20"/>
                <w:lang w:val="en-GB"/>
              </w:rPr>
            </w:pPr>
            <w:r w:rsidRPr="003279D3">
              <w:rPr>
                <w:rFonts w:ascii="Arial" w:hAnsi="Arial" w:cs="Times New Roman" w:hint="eastAsia"/>
                <w:szCs w:val="20"/>
                <w:lang w:val="en-GB"/>
              </w:rPr>
              <w:t>1. T</w:t>
            </w:r>
            <w:r w:rsidRPr="003279D3">
              <w:rPr>
                <w:rFonts w:ascii="Arial" w:hAnsi="Arial" w:cs="Times New Roman"/>
                <w:szCs w:val="20"/>
                <w:lang w:val="en-GB"/>
              </w:rPr>
              <w:t>he value is used for evaluation only; gNB processing delay may vary depending on implementation.</w:t>
            </w:r>
          </w:p>
        </w:tc>
      </w:tr>
    </w:tbl>
    <w:p w14:paraId="0D98D217" w14:textId="77777777" w:rsidR="00B07221" w:rsidRDefault="00B07221" w:rsidP="00B07221">
      <w:pPr>
        <w:rPr>
          <w:lang w:val="en-GB" w:eastAsia="ja-JP"/>
        </w:rPr>
      </w:pPr>
    </w:p>
    <w:p w14:paraId="1B0E9345" w14:textId="090D6CBF" w:rsidR="00B75746" w:rsidRDefault="00174AF3" w:rsidP="00174AF3">
      <w:pPr>
        <w:pStyle w:val="Heading2"/>
      </w:pPr>
      <w:r>
        <w:t>2.4</w:t>
      </w:r>
      <w:r>
        <w:tab/>
      </w:r>
      <w:r w:rsidR="007B315D">
        <w:t>LS to RAN1</w:t>
      </w:r>
    </w:p>
    <w:p w14:paraId="76081395" w14:textId="038E617C" w:rsidR="009B00AE" w:rsidRDefault="009B00AE" w:rsidP="009B00AE">
      <w:pPr>
        <w:rPr>
          <w:lang w:val="en-GB" w:eastAsia="ja-JP"/>
        </w:rPr>
      </w:pPr>
      <w:r>
        <w:rPr>
          <w:lang w:val="en-GB" w:eastAsia="ja-JP"/>
        </w:rPr>
        <w:t>During the F2F discussion</w:t>
      </w:r>
      <w:r w:rsidR="00570C82">
        <w:rPr>
          <w:lang w:val="en-GB" w:eastAsia="ja-JP"/>
        </w:rPr>
        <w:t>, a few companies</w:t>
      </w:r>
      <w:r w:rsidR="0025102F">
        <w:rPr>
          <w:lang w:val="en-GB" w:eastAsia="ja-JP"/>
        </w:rPr>
        <w:t xml:space="preserve"> highlighted that some of the values used in the control plane and user plane evaluation would benefit from a confirmation by RAN1</w:t>
      </w:r>
      <w:r w:rsidR="00547A3C">
        <w:rPr>
          <w:lang w:val="en-GB" w:eastAsia="ja-JP"/>
        </w:rPr>
        <w:t xml:space="preserve"> (e.g., MsgA detection and processing delay in gNB)</w:t>
      </w:r>
      <w:r w:rsidR="0025102F">
        <w:rPr>
          <w:lang w:val="en-GB" w:eastAsia="ja-JP"/>
        </w:rPr>
        <w:t>. Given the aim to finish the evaluation by RAN</w:t>
      </w:r>
      <w:r w:rsidR="00547A3C">
        <w:rPr>
          <w:lang w:val="en-GB" w:eastAsia="ja-JP"/>
        </w:rPr>
        <w:t>#102</w:t>
      </w:r>
      <w:r w:rsidR="0025102F">
        <w:rPr>
          <w:lang w:val="en-GB" w:eastAsia="ja-JP"/>
        </w:rPr>
        <w:t xml:space="preserve"> in December, rapporteur </w:t>
      </w:r>
      <w:r w:rsidR="00547A3C">
        <w:rPr>
          <w:lang w:val="en-GB" w:eastAsia="ja-JP"/>
        </w:rPr>
        <w:t xml:space="preserve">understand the intention of the proponent companies while </w:t>
      </w:r>
      <w:r w:rsidR="0025102F">
        <w:rPr>
          <w:lang w:val="en-GB" w:eastAsia="ja-JP"/>
        </w:rPr>
        <w:t xml:space="preserve">wants to highlight the tight timeline for </w:t>
      </w:r>
      <w:r w:rsidR="00547A3C">
        <w:rPr>
          <w:lang w:val="en-GB" w:eastAsia="ja-JP"/>
        </w:rPr>
        <w:t xml:space="preserve">elaborating, </w:t>
      </w:r>
      <w:r w:rsidR="0025102F">
        <w:rPr>
          <w:lang w:val="en-GB" w:eastAsia="ja-JP"/>
        </w:rPr>
        <w:t>sending and receiving a potential LS.</w:t>
      </w:r>
    </w:p>
    <w:p w14:paraId="70793EFE" w14:textId="0BCDE107" w:rsidR="009B00AE" w:rsidRPr="00B9286B" w:rsidRDefault="0021697D" w:rsidP="009B00AE">
      <w:pPr>
        <w:rPr>
          <w:b/>
          <w:bCs/>
          <w:lang w:val="en-GB" w:eastAsia="ja-JP"/>
        </w:rPr>
      </w:pPr>
      <w:r w:rsidRPr="00B9286B">
        <w:rPr>
          <w:b/>
          <w:bCs/>
          <w:lang w:val="en-GB" w:eastAsia="ja-JP"/>
        </w:rPr>
        <w:t>Q</w:t>
      </w:r>
      <w:r>
        <w:rPr>
          <w:b/>
          <w:bCs/>
          <w:lang w:val="en-GB" w:eastAsia="ja-JP"/>
        </w:rPr>
        <w:t>4</w:t>
      </w:r>
      <w:r w:rsidR="009B00AE" w:rsidRPr="00B9286B">
        <w:rPr>
          <w:b/>
          <w:bCs/>
          <w:lang w:val="en-GB" w:eastAsia="ja-JP"/>
        </w:rPr>
        <w:t xml:space="preserve">. </w:t>
      </w:r>
      <w:r w:rsidR="00547A3C">
        <w:rPr>
          <w:b/>
          <w:bCs/>
          <w:lang w:val="en-GB" w:eastAsia="ja-JP"/>
        </w:rPr>
        <w:t xml:space="preserve">Should RAN2 </w:t>
      </w:r>
      <w:r w:rsidR="009B00AE" w:rsidRPr="00B9286B">
        <w:rPr>
          <w:b/>
          <w:bCs/>
          <w:lang w:val="en-GB" w:eastAsia="ja-JP"/>
        </w:rPr>
        <w:t xml:space="preserve">send an LS to RAN1 to confirm the </w:t>
      </w:r>
      <w:r w:rsidR="00547A3C">
        <w:rPr>
          <w:b/>
          <w:bCs/>
          <w:lang w:val="en-GB" w:eastAsia="ja-JP"/>
        </w:rPr>
        <w:t>delay values associated with the</w:t>
      </w:r>
      <w:r w:rsidR="009B00AE" w:rsidRPr="00B9286B">
        <w:rPr>
          <w:b/>
          <w:bCs/>
          <w:lang w:val="en-GB" w:eastAsia="ja-JP"/>
        </w:rPr>
        <w:t xml:space="preserve"> above control and user plane evaluations</w:t>
      </w:r>
      <w:r w:rsidR="00547A3C">
        <w:rPr>
          <w:b/>
          <w:bCs/>
          <w:lang w:val="en-GB" w:eastAsia="ja-JP"/>
        </w:rPr>
        <w:t>?</w:t>
      </w:r>
      <w:r w:rsidR="009B00AE" w:rsidRPr="00B9286B">
        <w:rPr>
          <w:b/>
          <w:bCs/>
          <w:lang w:val="en-GB" w:eastAsia="ja-JP"/>
        </w:rPr>
        <w:t xml:space="preserve"> </w:t>
      </w:r>
      <w:r w:rsidR="00547A3C">
        <w:rPr>
          <w:b/>
          <w:bCs/>
          <w:lang w:val="en-GB" w:eastAsia="ja-JP"/>
        </w:rPr>
        <w:t>If Yes, please write</w:t>
      </w:r>
      <w:r w:rsidR="009B00AE" w:rsidRPr="00B9286B">
        <w:rPr>
          <w:b/>
          <w:bCs/>
          <w:lang w:val="en-GB" w:eastAsia="ja-JP"/>
        </w:rPr>
        <w:t xml:space="preserve"> in the comment</w:t>
      </w:r>
      <w:r w:rsidR="00547A3C">
        <w:rPr>
          <w:b/>
          <w:bCs/>
          <w:lang w:val="en-GB" w:eastAsia="ja-JP"/>
        </w:rPr>
        <w:t>s column</w:t>
      </w:r>
      <w:r w:rsidR="009B00AE" w:rsidRPr="00B9286B">
        <w:rPr>
          <w:b/>
          <w:bCs/>
          <w:lang w:val="en-GB" w:eastAsia="ja-JP"/>
        </w:rPr>
        <w:t xml:space="preserve"> which</w:t>
      </w:r>
      <w:r w:rsidR="00547A3C">
        <w:rPr>
          <w:b/>
          <w:bCs/>
          <w:lang w:val="en-GB" w:eastAsia="ja-JP"/>
        </w:rPr>
        <w:t xml:space="preserve"> specific</w:t>
      </w:r>
      <w:r w:rsidR="009B00AE" w:rsidRPr="00B9286B">
        <w:rPr>
          <w:b/>
          <w:bCs/>
          <w:lang w:val="en-GB" w:eastAsia="ja-JP"/>
        </w:rPr>
        <w:t xml:space="preserve"> </w:t>
      </w:r>
      <w:r w:rsidR="00547A3C">
        <w:rPr>
          <w:b/>
          <w:bCs/>
          <w:lang w:val="en-GB" w:eastAsia="ja-JP"/>
        </w:rPr>
        <w:t xml:space="preserve">delay </w:t>
      </w:r>
      <w:r w:rsidR="009B00AE" w:rsidRPr="00B9286B">
        <w:rPr>
          <w:b/>
          <w:bCs/>
          <w:lang w:val="en-GB" w:eastAsia="ja-JP"/>
        </w:rPr>
        <w:t>values need to be confirmed.</w:t>
      </w:r>
    </w:p>
    <w:p w14:paraId="13F4C39F" w14:textId="77777777" w:rsidR="009B00AE" w:rsidRPr="009B00AE" w:rsidRDefault="009B00AE" w:rsidP="009B00AE">
      <w:pPr>
        <w:rPr>
          <w:lang w:val="en-GB" w:eastAsia="ja-JP"/>
        </w:rPr>
      </w:pPr>
    </w:p>
    <w:tbl>
      <w:tblPr>
        <w:tblStyle w:val="GridTable41"/>
        <w:tblW w:w="0" w:type="auto"/>
        <w:tblLook w:val="04A0" w:firstRow="1" w:lastRow="0" w:firstColumn="1" w:lastColumn="0" w:noHBand="0" w:noVBand="1"/>
      </w:tblPr>
      <w:tblGrid>
        <w:gridCol w:w="1838"/>
        <w:gridCol w:w="1276"/>
        <w:gridCol w:w="6515"/>
      </w:tblGrid>
      <w:tr w:rsidR="009B00AE" w14:paraId="766269F6" w14:textId="77777777" w:rsidTr="001343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1FFBB8D3" w14:textId="77777777" w:rsidR="009B00AE" w:rsidRDefault="009B00AE" w:rsidP="001343F3">
            <w:pPr>
              <w:jc w:val="center"/>
            </w:pPr>
            <w:r>
              <w:t>Company</w:t>
            </w:r>
          </w:p>
        </w:tc>
        <w:tc>
          <w:tcPr>
            <w:tcW w:w="1276" w:type="dxa"/>
            <w:vAlign w:val="center"/>
          </w:tcPr>
          <w:p w14:paraId="16EE3658" w14:textId="77777777" w:rsidR="009B00AE" w:rsidRDefault="009B00AE" w:rsidP="001343F3">
            <w:pPr>
              <w:jc w:val="center"/>
              <w:cnfStyle w:val="100000000000" w:firstRow="1" w:lastRow="0" w:firstColumn="0" w:lastColumn="0" w:oddVBand="0" w:evenVBand="0" w:oddHBand="0" w:evenHBand="0" w:firstRowFirstColumn="0" w:firstRowLastColumn="0" w:lastRowFirstColumn="0" w:lastRowLastColumn="0"/>
            </w:pPr>
            <w:r>
              <w:t>Yes/No</w:t>
            </w:r>
          </w:p>
        </w:tc>
        <w:tc>
          <w:tcPr>
            <w:tcW w:w="6515" w:type="dxa"/>
            <w:vAlign w:val="center"/>
          </w:tcPr>
          <w:p w14:paraId="4BA79094" w14:textId="77777777" w:rsidR="009B00AE" w:rsidRDefault="009B00AE" w:rsidP="001343F3">
            <w:pPr>
              <w:jc w:val="center"/>
              <w:cnfStyle w:val="100000000000" w:firstRow="1" w:lastRow="0" w:firstColumn="0" w:lastColumn="0" w:oddVBand="0" w:evenVBand="0" w:oddHBand="0" w:evenHBand="0" w:firstRowFirstColumn="0" w:firstRowLastColumn="0" w:lastRowFirstColumn="0" w:lastRowLastColumn="0"/>
            </w:pPr>
            <w:r>
              <w:t>Comments</w:t>
            </w:r>
          </w:p>
        </w:tc>
      </w:tr>
      <w:tr w:rsidR="009B00AE" w:rsidRPr="006E3B72" w14:paraId="66F1B889"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3887E74C" w14:textId="473B706B" w:rsidR="009B00AE" w:rsidRDefault="006E3B72" w:rsidP="001343F3">
            <w:pPr>
              <w:rPr>
                <w:b w:val="0"/>
                <w:bCs w:val="0"/>
              </w:rPr>
            </w:pPr>
            <w:r>
              <w:rPr>
                <w:b w:val="0"/>
                <w:bCs w:val="0"/>
              </w:rPr>
              <w:t>THALES</w:t>
            </w:r>
          </w:p>
        </w:tc>
        <w:tc>
          <w:tcPr>
            <w:tcW w:w="1276" w:type="dxa"/>
          </w:tcPr>
          <w:p w14:paraId="50C11BDC" w14:textId="33DF10AB" w:rsidR="009B00AE" w:rsidRDefault="006E3B72" w:rsidP="001343F3">
            <w:pPr>
              <w:cnfStyle w:val="000000000000" w:firstRow="0" w:lastRow="0" w:firstColumn="0" w:lastColumn="0" w:oddVBand="0" w:evenVBand="0" w:oddHBand="0" w:evenHBand="0" w:firstRowFirstColumn="0" w:firstRowLastColumn="0" w:lastRowFirstColumn="0" w:lastRowLastColumn="0"/>
            </w:pPr>
            <w:r>
              <w:t>No</w:t>
            </w:r>
          </w:p>
        </w:tc>
        <w:tc>
          <w:tcPr>
            <w:tcW w:w="6515" w:type="dxa"/>
          </w:tcPr>
          <w:p w14:paraId="1B56AB2E" w14:textId="3278D4ED" w:rsidR="009B00AE" w:rsidRPr="006E3B72" w:rsidRDefault="006E3B72" w:rsidP="008F57AE">
            <w:pPr>
              <w:cnfStyle w:val="000000000000" w:firstRow="0" w:lastRow="0" w:firstColumn="0" w:lastColumn="0" w:oddVBand="0" w:evenVBand="0" w:oddHBand="0" w:evenHBand="0" w:firstRowFirstColumn="0" w:firstRowLastColumn="0" w:lastRowFirstColumn="0" w:lastRowLastColumn="0"/>
              <w:rPr>
                <w:lang w:val="en-US"/>
              </w:rPr>
            </w:pPr>
            <w:r w:rsidRPr="006E3B72">
              <w:rPr>
                <w:lang w:val="en-US"/>
              </w:rPr>
              <w:t>The assumptions agreed for RAN2 at th</w:t>
            </w:r>
            <w:r w:rsidR="008F57AE">
              <w:rPr>
                <w:lang w:val="en-US"/>
              </w:rPr>
              <w:t>e RAN2#123 takes baseline configurations of the different procedures (Step-2 RACH,…) and does not require more inputs from RAN1 for latency analysis.</w:t>
            </w:r>
          </w:p>
        </w:tc>
      </w:tr>
      <w:tr w:rsidR="009B00AE" w:rsidRPr="006E3B72" w14:paraId="61AE51AD"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62413BC8" w14:textId="34E1C90D" w:rsidR="009B00AE" w:rsidRPr="006E3B72" w:rsidRDefault="009B00AE" w:rsidP="001343F3">
            <w:pPr>
              <w:rPr>
                <w:b w:val="0"/>
                <w:bCs w:val="0"/>
                <w:lang w:val="en-US"/>
              </w:rPr>
            </w:pPr>
          </w:p>
        </w:tc>
        <w:tc>
          <w:tcPr>
            <w:tcW w:w="1276" w:type="dxa"/>
          </w:tcPr>
          <w:p w14:paraId="7B9F4397" w14:textId="0CA8701D"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lang w:val="en-US"/>
              </w:rPr>
            </w:pPr>
          </w:p>
        </w:tc>
        <w:tc>
          <w:tcPr>
            <w:tcW w:w="6515" w:type="dxa"/>
          </w:tcPr>
          <w:p w14:paraId="27F0F330" w14:textId="77777777"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lang w:val="en-US"/>
              </w:rPr>
            </w:pPr>
          </w:p>
        </w:tc>
      </w:tr>
      <w:tr w:rsidR="009B00AE" w:rsidRPr="006E3B72" w14:paraId="621C3094"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7780407F" w14:textId="5AF4B180" w:rsidR="009B00AE" w:rsidRPr="006E3B72" w:rsidRDefault="009B00AE" w:rsidP="001343F3">
            <w:pPr>
              <w:rPr>
                <w:b w:val="0"/>
                <w:bCs w:val="0"/>
                <w:lang w:val="en-US"/>
              </w:rPr>
            </w:pPr>
          </w:p>
        </w:tc>
        <w:tc>
          <w:tcPr>
            <w:tcW w:w="1276" w:type="dxa"/>
          </w:tcPr>
          <w:p w14:paraId="0E37427F" w14:textId="6A76645A"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lang w:val="en-US"/>
              </w:rPr>
            </w:pPr>
          </w:p>
        </w:tc>
        <w:tc>
          <w:tcPr>
            <w:tcW w:w="6515" w:type="dxa"/>
          </w:tcPr>
          <w:p w14:paraId="78FECD70" w14:textId="77777777"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lang w:val="en-US"/>
              </w:rPr>
            </w:pPr>
          </w:p>
        </w:tc>
      </w:tr>
      <w:tr w:rsidR="009B00AE" w:rsidRPr="006E3B72" w14:paraId="2B4C3F58"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6E80975F" w14:textId="5AA10F45" w:rsidR="009B00AE" w:rsidRPr="006E3B72" w:rsidRDefault="009B00AE" w:rsidP="001343F3">
            <w:pPr>
              <w:rPr>
                <w:rFonts w:eastAsia="SimSun"/>
                <w:b w:val="0"/>
                <w:bCs w:val="0"/>
                <w:lang w:val="en-US"/>
              </w:rPr>
            </w:pPr>
          </w:p>
        </w:tc>
        <w:tc>
          <w:tcPr>
            <w:tcW w:w="1276" w:type="dxa"/>
          </w:tcPr>
          <w:p w14:paraId="563C1025" w14:textId="784A6F69"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rFonts w:eastAsia="SimSun"/>
                <w:lang w:val="en-US"/>
              </w:rPr>
            </w:pPr>
          </w:p>
        </w:tc>
        <w:tc>
          <w:tcPr>
            <w:tcW w:w="6515" w:type="dxa"/>
          </w:tcPr>
          <w:p w14:paraId="5944465D" w14:textId="77777777"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lang w:val="en-US"/>
              </w:rPr>
            </w:pPr>
          </w:p>
        </w:tc>
      </w:tr>
      <w:tr w:rsidR="009B00AE" w:rsidRPr="006E3B72" w14:paraId="12A5BF55"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2726D97A" w14:textId="28C4A49B" w:rsidR="009B00AE" w:rsidRPr="006E3B72" w:rsidRDefault="009B00AE" w:rsidP="001343F3">
            <w:pPr>
              <w:rPr>
                <w:rFonts w:eastAsia="SimSun"/>
                <w:lang w:val="en-US"/>
              </w:rPr>
            </w:pPr>
          </w:p>
        </w:tc>
        <w:tc>
          <w:tcPr>
            <w:tcW w:w="1276" w:type="dxa"/>
          </w:tcPr>
          <w:p w14:paraId="1871F43D" w14:textId="6FD3BB48"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rFonts w:eastAsia="SimSun"/>
                <w:lang w:val="en-US"/>
              </w:rPr>
            </w:pPr>
          </w:p>
        </w:tc>
        <w:tc>
          <w:tcPr>
            <w:tcW w:w="6515" w:type="dxa"/>
          </w:tcPr>
          <w:p w14:paraId="66B3969C" w14:textId="77777777"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lang w:val="en-US"/>
              </w:rPr>
            </w:pPr>
          </w:p>
        </w:tc>
      </w:tr>
      <w:tr w:rsidR="009B00AE" w:rsidRPr="006E3B72" w14:paraId="7BE93539"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7BA9DF7D" w14:textId="34A2C603" w:rsidR="009B00AE" w:rsidRPr="006E3B72" w:rsidRDefault="009B00AE" w:rsidP="001343F3">
            <w:pPr>
              <w:rPr>
                <w:rFonts w:eastAsia="SimSun"/>
                <w:lang w:val="en-US"/>
              </w:rPr>
            </w:pPr>
          </w:p>
        </w:tc>
        <w:tc>
          <w:tcPr>
            <w:tcW w:w="1276" w:type="dxa"/>
          </w:tcPr>
          <w:p w14:paraId="3EEFC6C8" w14:textId="5A9C2E22"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rFonts w:eastAsia="SimSun"/>
                <w:lang w:val="en-US"/>
              </w:rPr>
            </w:pPr>
          </w:p>
        </w:tc>
        <w:tc>
          <w:tcPr>
            <w:tcW w:w="6515" w:type="dxa"/>
          </w:tcPr>
          <w:p w14:paraId="0FA9B09D" w14:textId="1AEB9412"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lang w:val="en-US"/>
              </w:rPr>
            </w:pPr>
          </w:p>
        </w:tc>
      </w:tr>
      <w:tr w:rsidR="009B00AE" w:rsidRPr="006E3B72" w14:paraId="15C9704F"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3CABC2C5" w14:textId="22BE68D5" w:rsidR="009B00AE" w:rsidRPr="006E3B72" w:rsidRDefault="009B00AE" w:rsidP="001343F3">
            <w:pPr>
              <w:rPr>
                <w:rFonts w:eastAsia="SimSun"/>
                <w:lang w:val="en-US"/>
              </w:rPr>
            </w:pPr>
          </w:p>
        </w:tc>
        <w:tc>
          <w:tcPr>
            <w:tcW w:w="1276" w:type="dxa"/>
          </w:tcPr>
          <w:p w14:paraId="245BCB2C" w14:textId="63933E00"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rFonts w:eastAsia="SimSun"/>
                <w:lang w:val="en-US"/>
              </w:rPr>
            </w:pPr>
          </w:p>
        </w:tc>
        <w:tc>
          <w:tcPr>
            <w:tcW w:w="6515" w:type="dxa"/>
          </w:tcPr>
          <w:p w14:paraId="708E1506" w14:textId="77777777"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lang w:val="en-US"/>
              </w:rPr>
            </w:pPr>
          </w:p>
        </w:tc>
      </w:tr>
      <w:tr w:rsidR="009B00AE" w:rsidRPr="006E3B72" w14:paraId="56633613"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6BE6342E" w14:textId="5CBFAB34" w:rsidR="009B00AE" w:rsidRPr="006E3B72" w:rsidRDefault="009B00AE" w:rsidP="001343F3">
            <w:pPr>
              <w:rPr>
                <w:rFonts w:eastAsia="SimSun"/>
                <w:lang w:val="en-US"/>
              </w:rPr>
            </w:pPr>
          </w:p>
        </w:tc>
        <w:tc>
          <w:tcPr>
            <w:tcW w:w="1276" w:type="dxa"/>
          </w:tcPr>
          <w:p w14:paraId="796CAC5D" w14:textId="0F7A2A91"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rFonts w:eastAsia="SimSun"/>
                <w:lang w:val="en-US"/>
              </w:rPr>
            </w:pPr>
          </w:p>
        </w:tc>
        <w:tc>
          <w:tcPr>
            <w:tcW w:w="6515" w:type="dxa"/>
          </w:tcPr>
          <w:p w14:paraId="591D5C1A" w14:textId="7DC87D41"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lang w:val="en-US"/>
              </w:rPr>
            </w:pPr>
          </w:p>
        </w:tc>
      </w:tr>
      <w:tr w:rsidR="009B00AE" w:rsidRPr="006E3B72" w14:paraId="2DCE296F"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371E4E92" w14:textId="6F5459B5" w:rsidR="009B00AE" w:rsidRPr="006E3B72" w:rsidRDefault="009B00AE" w:rsidP="001343F3">
            <w:pPr>
              <w:rPr>
                <w:rFonts w:eastAsia="SimSun"/>
                <w:lang w:val="en-US"/>
              </w:rPr>
            </w:pPr>
          </w:p>
        </w:tc>
        <w:tc>
          <w:tcPr>
            <w:tcW w:w="1276" w:type="dxa"/>
          </w:tcPr>
          <w:p w14:paraId="20B8FE73" w14:textId="4017E260"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rFonts w:eastAsia="SimSun"/>
                <w:lang w:val="en-US"/>
              </w:rPr>
            </w:pPr>
          </w:p>
        </w:tc>
        <w:tc>
          <w:tcPr>
            <w:tcW w:w="6515" w:type="dxa"/>
          </w:tcPr>
          <w:p w14:paraId="74063939" w14:textId="77777777"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lang w:val="en-US"/>
              </w:rPr>
            </w:pPr>
          </w:p>
        </w:tc>
      </w:tr>
      <w:tr w:rsidR="009B00AE" w:rsidRPr="006E3B72" w14:paraId="09DD286E"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59184630" w14:textId="039B4956" w:rsidR="009B00AE" w:rsidRPr="006E3B72" w:rsidRDefault="009B00AE" w:rsidP="001343F3">
            <w:pPr>
              <w:rPr>
                <w:rFonts w:eastAsia="SimSun"/>
                <w:lang w:val="en-US"/>
              </w:rPr>
            </w:pPr>
          </w:p>
        </w:tc>
        <w:tc>
          <w:tcPr>
            <w:tcW w:w="1276" w:type="dxa"/>
          </w:tcPr>
          <w:p w14:paraId="1349887D" w14:textId="120276FB"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rFonts w:eastAsia="SimSun"/>
                <w:lang w:val="en-US"/>
              </w:rPr>
            </w:pPr>
          </w:p>
        </w:tc>
        <w:tc>
          <w:tcPr>
            <w:tcW w:w="6515" w:type="dxa"/>
          </w:tcPr>
          <w:p w14:paraId="0705F037" w14:textId="77777777"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lang w:val="en-US"/>
              </w:rPr>
            </w:pPr>
          </w:p>
        </w:tc>
      </w:tr>
      <w:tr w:rsidR="009B00AE" w:rsidRPr="006E3B72" w14:paraId="6FE0EF88"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0464AB27" w14:textId="332135A4" w:rsidR="009B00AE" w:rsidRPr="006E3B72" w:rsidRDefault="009B00AE" w:rsidP="001343F3">
            <w:pPr>
              <w:rPr>
                <w:rFonts w:eastAsia="SimSun"/>
                <w:lang w:val="en-US"/>
              </w:rPr>
            </w:pPr>
          </w:p>
        </w:tc>
        <w:tc>
          <w:tcPr>
            <w:tcW w:w="1276" w:type="dxa"/>
          </w:tcPr>
          <w:p w14:paraId="2506AA92" w14:textId="77592D06"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rFonts w:eastAsia="SimSun"/>
                <w:lang w:val="en-US"/>
              </w:rPr>
            </w:pPr>
          </w:p>
        </w:tc>
        <w:tc>
          <w:tcPr>
            <w:tcW w:w="6515" w:type="dxa"/>
          </w:tcPr>
          <w:p w14:paraId="0BCA6DBF" w14:textId="77777777"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lang w:val="en-US"/>
              </w:rPr>
            </w:pPr>
          </w:p>
        </w:tc>
      </w:tr>
    </w:tbl>
    <w:p w14:paraId="6B82F4E6" w14:textId="2C40C13D" w:rsidR="00547A3C" w:rsidRDefault="00547A3C" w:rsidP="00B75746">
      <w:pPr>
        <w:rPr>
          <w:lang w:val="en-GB" w:eastAsia="ja-JP"/>
        </w:rPr>
      </w:pPr>
    </w:p>
    <w:p w14:paraId="1A020067" w14:textId="3CCC70D3" w:rsidR="00B75746" w:rsidRDefault="00B75746" w:rsidP="00B75746">
      <w:pPr>
        <w:pStyle w:val="Heading1"/>
      </w:pPr>
      <w:r>
        <w:t>4</w:t>
      </w:r>
      <w:r>
        <w:tab/>
        <w:t>Conclusions</w:t>
      </w:r>
    </w:p>
    <w:p w14:paraId="351392A1" w14:textId="77777777" w:rsidR="00A52453" w:rsidRDefault="00A52453" w:rsidP="00B75746">
      <w:pPr>
        <w:rPr>
          <w:lang w:val="en-GB" w:eastAsia="ja-JP"/>
        </w:rPr>
      </w:pPr>
    </w:p>
    <w:p w14:paraId="1A68981E" w14:textId="597CED24" w:rsidR="00843991" w:rsidRDefault="00B75746">
      <w:pPr>
        <w:pStyle w:val="Heading1"/>
      </w:pPr>
      <w:r>
        <w:t>5</w:t>
      </w:r>
      <w:r>
        <w:tab/>
      </w:r>
      <w:r w:rsidR="006E4DFA">
        <w:t>References</w:t>
      </w:r>
    </w:p>
    <w:p w14:paraId="39A07B4F" w14:textId="77777777" w:rsidR="00843991" w:rsidRPr="006E3B72" w:rsidRDefault="006E4DFA">
      <w:pPr>
        <w:pStyle w:val="Reference"/>
        <w:rPr>
          <w:lang w:val="en-US"/>
        </w:rPr>
      </w:pPr>
      <w:bookmarkStart w:id="2" w:name="_Ref1"/>
      <w:r w:rsidRPr="006E3B72">
        <w:rPr>
          <w:lang w:val="en-US"/>
        </w:rPr>
        <w:t>R1-2304123, Feature lead summary #4 on evaluation methodology for IMT-2020 Satellite, RAN1.</w:t>
      </w:r>
    </w:p>
    <w:p w14:paraId="5CA75951" w14:textId="51EAAC53" w:rsidR="00843991" w:rsidRPr="006E3B72" w:rsidRDefault="006E4DFA">
      <w:pPr>
        <w:pStyle w:val="Reference"/>
        <w:rPr>
          <w:lang w:val="en-US"/>
        </w:rPr>
      </w:pPr>
      <w:r w:rsidRPr="006E3B72">
        <w:rPr>
          <w:lang w:val="en-US"/>
        </w:rPr>
        <w:t>ITU-R M.2514, "Vision, requirements and evaluation guidelines for satellite radio interface(s) of IMT-2020".</w:t>
      </w:r>
    </w:p>
    <w:p w14:paraId="024D48E9" w14:textId="54BE296F" w:rsidR="00AB36B7" w:rsidRPr="006E3B72" w:rsidRDefault="006A7044">
      <w:pPr>
        <w:pStyle w:val="Reference"/>
        <w:rPr>
          <w:lang w:val="en-US"/>
        </w:rPr>
      </w:pPr>
      <w:r w:rsidRPr="006E3B72">
        <w:rPr>
          <w:lang w:val="en-US"/>
        </w:rPr>
        <w:t xml:space="preserve">TR 37.911, </w:t>
      </w:r>
      <w:r w:rsidR="00794830" w:rsidRPr="006E3B72">
        <w:rPr>
          <w:lang w:val="en-US"/>
        </w:rPr>
        <w:t xml:space="preserve">Study on self-evaluation towards the IMT-2020 submission of the 3GPP Satellite Radio Interface Technology, Release 18, </w:t>
      </w:r>
      <w:r w:rsidR="00D535D3" w:rsidRPr="006E3B72">
        <w:rPr>
          <w:lang w:val="en-US"/>
        </w:rPr>
        <w:t>June 2023.</w:t>
      </w:r>
    </w:p>
    <w:p w14:paraId="4B5F8C60" w14:textId="072730DC" w:rsidR="00C71036" w:rsidRPr="006E3B72" w:rsidRDefault="00C62DF0" w:rsidP="00FA01EA">
      <w:pPr>
        <w:pStyle w:val="Reference"/>
        <w:rPr>
          <w:lang w:val="en-US"/>
        </w:rPr>
      </w:pPr>
      <w:r w:rsidRPr="006E3B72">
        <w:rPr>
          <w:lang w:val="en-US"/>
        </w:rPr>
        <w:t>RP-230736, Study on Self-Evaluation towards the 3GPP submission of a IMT-2020 Satellite Radio Interface Technology, Ericsson, Qualcomm, Thales, MediaTek Inc., RAN#99, Rotterdam, The Netherlands, March 2022.</w:t>
      </w:r>
      <w:bookmarkEnd w:id="2"/>
    </w:p>
    <w:sectPr w:rsidR="00C71036" w:rsidRPr="006E3B72">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6B95" w14:textId="77777777" w:rsidR="001D4871" w:rsidRDefault="001D4871">
      <w:r>
        <w:separator/>
      </w:r>
    </w:p>
  </w:endnote>
  <w:endnote w:type="continuationSeparator" w:id="0">
    <w:p w14:paraId="14AADA3E" w14:textId="77777777" w:rsidR="001D4871" w:rsidRDefault="001D4871">
      <w:r>
        <w:continuationSeparator/>
      </w:r>
    </w:p>
  </w:endnote>
  <w:endnote w:type="continuationNotice" w:id="1">
    <w:p w14:paraId="3A003439" w14:textId="77777777" w:rsidR="001D4871" w:rsidRDefault="001D48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UI"/>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DengXian">
    <w:altName w:val="SimSun"/>
    <w:panose1 w:val="02010600030101010101"/>
    <w:charset w:val="86"/>
    <w:family w:val="modern"/>
    <w:pitch w:val="fixed"/>
    <w:sig w:usb0="00000001" w:usb1="080E0000" w:usb2="00000010" w:usb3="00000000" w:csb0="0004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530E6" w14:textId="56D8F10B" w:rsidR="002927AC" w:rsidRDefault="002927A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D4871">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D4871">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7E0B9" w14:textId="77777777" w:rsidR="001D4871" w:rsidRDefault="001D4871">
      <w:r>
        <w:separator/>
      </w:r>
    </w:p>
  </w:footnote>
  <w:footnote w:type="continuationSeparator" w:id="0">
    <w:p w14:paraId="2CB34CAA" w14:textId="77777777" w:rsidR="001D4871" w:rsidRDefault="001D4871">
      <w:r>
        <w:continuationSeparator/>
      </w:r>
    </w:p>
  </w:footnote>
  <w:footnote w:type="continuationNotice" w:id="1">
    <w:p w14:paraId="5067BEBE" w14:textId="77777777" w:rsidR="001D4871" w:rsidRDefault="001D48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0118F" w14:textId="77777777" w:rsidR="002927AC" w:rsidRDefault="002927A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9094E12"/>
    <w:multiLevelType w:val="hybridMultilevel"/>
    <w:tmpl w:val="4E2A3686"/>
    <w:lvl w:ilvl="0" w:tplc="8BFCE590">
      <w:start w:val="7"/>
      <w:numFmt w:val="bullet"/>
      <w:lvlText w:val=""/>
      <w:lvlJc w:val="left"/>
      <w:pPr>
        <w:ind w:left="927" w:hanging="360"/>
      </w:pPr>
      <w:rPr>
        <w:rFonts w:ascii="Wingdings" w:eastAsia="MS Mincho" w:hAnsi="Wingdings"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43B626C"/>
    <w:multiLevelType w:val="multilevel"/>
    <w:tmpl w:val="48FC69D0"/>
    <w:lvl w:ilvl="0">
      <w:start w:val="9"/>
      <w:numFmt w:val="decimal"/>
      <w:lvlText w:val="Proposal %1"/>
      <w:lvlJc w:val="left"/>
      <w:pPr>
        <w:tabs>
          <w:tab w:val="num" w:pos="1664"/>
        </w:tabs>
        <w:ind w:left="1664" w:hanging="1304"/>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8F274BA"/>
    <w:multiLevelType w:val="multilevel"/>
    <w:tmpl w:val="28F274BA"/>
    <w:lvl w:ilvl="0">
      <w:start w:val="1"/>
      <w:numFmt w:val="bullet"/>
      <w:lvlText w:val=""/>
      <w:lvlJc w:val="left"/>
      <w:pPr>
        <w:ind w:left="720" w:hanging="360"/>
      </w:pPr>
      <w:rPr>
        <w:rFonts w:ascii="Symbol" w:hAnsi="Symbol" w:hint="default"/>
      </w:rPr>
    </w:lvl>
    <w:lvl w:ilvl="1">
      <w:numFmt w:val="bullet"/>
      <w:lvlText w:val="•"/>
      <w:lvlJc w:val="left"/>
      <w:pPr>
        <w:ind w:left="1650" w:hanging="570"/>
      </w:pPr>
      <w:rPr>
        <w:rFonts w:ascii="Arial" w:eastAsia="Times New Roma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923FF1"/>
    <w:multiLevelType w:val="hybridMultilevel"/>
    <w:tmpl w:val="91C01F92"/>
    <w:lvl w:ilvl="0" w:tplc="2500D308">
      <w:start w:val="3"/>
      <w:numFmt w:val="bullet"/>
      <w:lvlText w:val="-"/>
      <w:lvlJc w:val="left"/>
      <w:pPr>
        <w:ind w:left="720" w:hanging="360"/>
      </w:pPr>
      <w:rPr>
        <w:rFonts w:ascii="Times New Roman" w:eastAsia="Batang"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FBF6D54"/>
    <w:multiLevelType w:val="multilevel"/>
    <w:tmpl w:val="D9505A48"/>
    <w:lvl w:ilvl="0">
      <w:start w:val="9"/>
      <w:numFmt w:val="decimal"/>
      <w:lvlText w:val="Proposal %1"/>
      <w:lvlJc w:val="left"/>
      <w:pPr>
        <w:tabs>
          <w:tab w:val="num" w:pos="1664"/>
        </w:tabs>
        <w:ind w:left="1664" w:hanging="1304"/>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335A3F96"/>
    <w:multiLevelType w:val="hybridMultilevel"/>
    <w:tmpl w:val="2F6463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2" w15:restartNumberingAfterBreak="0">
    <w:nsid w:val="3C612397"/>
    <w:multiLevelType w:val="multilevel"/>
    <w:tmpl w:val="247AA0FC"/>
    <w:lvl w:ilvl="0">
      <w:start w:val="1"/>
      <w:numFmt w:val="bullet"/>
      <w:lvlText w:val=""/>
      <w:lvlJc w:val="left"/>
      <w:pPr>
        <w:tabs>
          <w:tab w:val="left" w:pos="2438"/>
        </w:tabs>
        <w:ind w:left="2438" w:hanging="1304"/>
      </w:pPr>
      <w:rPr>
        <w:rFonts w:ascii="Wingdings" w:eastAsiaTheme="minorHAnsi" w:hAnsi="Wingdings" w:cs="Arial" w:hint="default"/>
      </w:rPr>
    </w:lvl>
    <w:lvl w:ilvl="1">
      <w:start w:val="1"/>
      <w:numFmt w:val="lowerLetter"/>
      <w:lvlText w:val="%2."/>
      <w:lvlJc w:val="left"/>
      <w:pPr>
        <w:tabs>
          <w:tab w:val="left" w:pos="2574"/>
        </w:tabs>
        <w:ind w:left="2574" w:hanging="360"/>
      </w:pPr>
    </w:lvl>
    <w:lvl w:ilvl="2">
      <w:start w:val="1"/>
      <w:numFmt w:val="lowerRoman"/>
      <w:lvlText w:val="%3."/>
      <w:lvlJc w:val="right"/>
      <w:pPr>
        <w:tabs>
          <w:tab w:val="left" w:pos="3294"/>
        </w:tabs>
        <w:ind w:left="3294" w:hanging="180"/>
      </w:pPr>
    </w:lvl>
    <w:lvl w:ilvl="3">
      <w:start w:val="1"/>
      <w:numFmt w:val="decimal"/>
      <w:lvlText w:val="%4."/>
      <w:lvlJc w:val="left"/>
      <w:pPr>
        <w:tabs>
          <w:tab w:val="left" w:pos="4014"/>
        </w:tabs>
        <w:ind w:left="4014" w:hanging="360"/>
      </w:pPr>
    </w:lvl>
    <w:lvl w:ilvl="4">
      <w:start w:val="1"/>
      <w:numFmt w:val="lowerLetter"/>
      <w:lvlText w:val="%5."/>
      <w:lvlJc w:val="left"/>
      <w:pPr>
        <w:tabs>
          <w:tab w:val="left" w:pos="4734"/>
        </w:tabs>
        <w:ind w:left="4734" w:hanging="360"/>
      </w:pPr>
    </w:lvl>
    <w:lvl w:ilvl="5">
      <w:start w:val="1"/>
      <w:numFmt w:val="lowerRoman"/>
      <w:lvlText w:val="%6."/>
      <w:lvlJc w:val="right"/>
      <w:pPr>
        <w:tabs>
          <w:tab w:val="left" w:pos="5454"/>
        </w:tabs>
        <w:ind w:left="5454" w:hanging="180"/>
      </w:pPr>
    </w:lvl>
    <w:lvl w:ilvl="6">
      <w:start w:val="1"/>
      <w:numFmt w:val="decimal"/>
      <w:lvlText w:val="%7."/>
      <w:lvlJc w:val="left"/>
      <w:pPr>
        <w:tabs>
          <w:tab w:val="left" w:pos="6174"/>
        </w:tabs>
        <w:ind w:left="6174" w:hanging="360"/>
      </w:pPr>
    </w:lvl>
    <w:lvl w:ilvl="7">
      <w:start w:val="1"/>
      <w:numFmt w:val="lowerLetter"/>
      <w:lvlText w:val="%8."/>
      <w:lvlJc w:val="left"/>
      <w:pPr>
        <w:tabs>
          <w:tab w:val="left" w:pos="6894"/>
        </w:tabs>
        <w:ind w:left="6894" w:hanging="360"/>
      </w:pPr>
    </w:lvl>
    <w:lvl w:ilvl="8">
      <w:start w:val="1"/>
      <w:numFmt w:val="lowerRoman"/>
      <w:lvlText w:val="%9."/>
      <w:lvlJc w:val="right"/>
      <w:pPr>
        <w:tabs>
          <w:tab w:val="left" w:pos="7614"/>
        </w:tabs>
        <w:ind w:left="7614" w:hanging="180"/>
      </w:pPr>
    </w:lvl>
  </w:abstractNum>
  <w:abstractNum w:abstractNumId="13" w15:restartNumberingAfterBreak="0">
    <w:nsid w:val="42DD4986"/>
    <w:multiLevelType w:val="multilevel"/>
    <w:tmpl w:val="42DD49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9664C7"/>
    <w:multiLevelType w:val="hybridMultilevel"/>
    <w:tmpl w:val="06AEB2EC"/>
    <w:lvl w:ilvl="0" w:tplc="D938BDBC">
      <w:start w:val="1"/>
      <w:numFmt w:val="decimal"/>
      <w:lvlText w:val="%1."/>
      <w:lvlJc w:val="left"/>
      <w:pPr>
        <w:ind w:left="1080" w:hanging="720"/>
      </w:pPr>
      <w:rPr>
        <w:rFonts w:hint="default"/>
      </w:rPr>
    </w:lvl>
    <w:lvl w:ilvl="1" w:tplc="B2224744">
      <w:start w:val="8"/>
      <w:numFmt w:val="bullet"/>
      <w:lvlText w:val="-"/>
      <w:lvlJc w:val="left"/>
      <w:pPr>
        <w:ind w:left="1800" w:hanging="720"/>
      </w:pPr>
      <w:rPr>
        <w:rFonts w:ascii="Times New Roman" w:eastAsia="Times New Roman" w:hAnsi="Times New Roman" w:cs="Times New Roman"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486DF1"/>
    <w:multiLevelType w:val="multilevel"/>
    <w:tmpl w:val="3AA46647"/>
    <w:lvl w:ilvl="0">
      <w:start w:val="1"/>
      <w:numFmt w:val="decimal"/>
      <w:lvlText w:val="Proposal %1"/>
      <w:lvlJc w:val="left"/>
      <w:pPr>
        <w:tabs>
          <w:tab w:val="left" w:pos="1664"/>
        </w:tabs>
        <w:ind w:left="1664" w:hanging="1304"/>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826D66"/>
    <w:multiLevelType w:val="hybridMultilevel"/>
    <w:tmpl w:val="6E703A42"/>
    <w:lvl w:ilvl="0" w:tplc="B1327B7A">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BEE0D61"/>
    <w:multiLevelType w:val="multilevel"/>
    <w:tmpl w:val="5BEE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A556B7"/>
    <w:multiLevelType w:val="multilevel"/>
    <w:tmpl w:val="7382E322"/>
    <w:lvl w:ilvl="0">
      <w:start w:val="1"/>
      <w:numFmt w:val="decimal"/>
      <w:lvlText w:val="%1."/>
      <w:lvlJc w:val="left"/>
      <w:pPr>
        <w:tabs>
          <w:tab w:val="left" w:pos="720"/>
        </w:tabs>
        <w:ind w:left="720" w:hanging="72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10E0430"/>
    <w:multiLevelType w:val="hybridMultilevel"/>
    <w:tmpl w:val="A2A4EB24"/>
    <w:lvl w:ilvl="0" w:tplc="BA421F36">
      <w:start w:val="1"/>
      <w:numFmt w:val="bullet"/>
      <w:lvlText w:val=""/>
      <w:lvlJc w:val="left"/>
      <w:pPr>
        <w:ind w:left="720" w:hanging="360"/>
      </w:pPr>
      <w:rPr>
        <w:rFonts w:ascii="Wingdings" w:eastAsiaTheme="minorHAnsi" w:hAnsi="Wingdings"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6" w15:restartNumberingAfterBreak="0">
    <w:nsid w:val="77677823"/>
    <w:multiLevelType w:val="multilevel"/>
    <w:tmpl w:val="7382E322"/>
    <w:lvl w:ilvl="0">
      <w:start w:val="1"/>
      <w:numFmt w:val="decimal"/>
      <w:lvlText w:val="%1."/>
      <w:lvlJc w:val="left"/>
      <w:pPr>
        <w:tabs>
          <w:tab w:val="left" w:pos="720"/>
        </w:tabs>
        <w:ind w:left="720" w:hanging="72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7"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8" w15:restartNumberingAfterBreak="0">
    <w:nsid w:val="7BB81E68"/>
    <w:multiLevelType w:val="hybridMultilevel"/>
    <w:tmpl w:val="88883272"/>
    <w:lvl w:ilvl="0" w:tplc="A9026058">
      <w:start w:val="7"/>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29" w15:restartNumberingAfterBreak="0">
    <w:nsid w:val="7D306367"/>
    <w:multiLevelType w:val="hybridMultilevel"/>
    <w:tmpl w:val="46CC9526"/>
    <w:lvl w:ilvl="0" w:tplc="2000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23"/>
  </w:num>
  <w:num w:numId="2">
    <w:abstractNumId w:val="10"/>
  </w:num>
  <w:num w:numId="3">
    <w:abstractNumId w:val="2"/>
  </w:num>
  <w:num w:numId="4">
    <w:abstractNumId w:val="5"/>
  </w:num>
  <w:num w:numId="5">
    <w:abstractNumId w:val="4"/>
  </w:num>
  <w:num w:numId="6">
    <w:abstractNumId w:val="20"/>
  </w:num>
  <w:num w:numId="7">
    <w:abstractNumId w:val="0"/>
  </w:num>
  <w:num w:numId="8">
    <w:abstractNumId w:val="25"/>
  </w:num>
  <w:num w:numId="9">
    <w:abstractNumId w:val="14"/>
  </w:num>
  <w:num w:numId="10">
    <w:abstractNumId w:val="22"/>
  </w:num>
  <w:num w:numId="11">
    <w:abstractNumId w:val="16"/>
  </w:num>
  <w:num w:numId="12">
    <w:abstractNumId w:val="18"/>
  </w:num>
  <w:num w:numId="13">
    <w:abstractNumId w:val="27"/>
  </w:num>
  <w:num w:numId="14">
    <w:abstractNumId w:val="6"/>
  </w:num>
  <w:num w:numId="15">
    <w:abstractNumId w:val="21"/>
  </w:num>
  <w:num w:numId="16">
    <w:abstractNumId w:val="13"/>
  </w:num>
  <w:num w:numId="17">
    <w:abstractNumId w:val="19"/>
  </w:num>
  <w:num w:numId="18">
    <w:abstractNumId w:val="22"/>
  </w:num>
  <w:num w:numId="19">
    <w:abstractNumId w:val="9"/>
  </w:num>
  <w:num w:numId="20">
    <w:abstractNumId w:val="26"/>
  </w:num>
  <w:num w:numId="21">
    <w:abstractNumId w:val="7"/>
  </w:num>
  <w:num w:numId="22">
    <w:abstractNumId w:val="29"/>
  </w:num>
  <w:num w:numId="23">
    <w:abstractNumId w:val="24"/>
  </w:num>
  <w:num w:numId="24">
    <w:abstractNumId w:val="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8"/>
  </w:num>
  <w:num w:numId="28">
    <w:abstractNumId w:val="17"/>
  </w:num>
  <w:num w:numId="29">
    <w:abstractNumId w:val="8"/>
  </w:num>
  <w:num w:numId="30">
    <w:abstractNumId w:val="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F5F2A268"/>
    <w:rsid w:val="FFDC556A"/>
    <w:rsid w:val="000006E1"/>
    <w:rsid w:val="00000E16"/>
    <w:rsid w:val="00002A37"/>
    <w:rsid w:val="0000355C"/>
    <w:rsid w:val="0000404C"/>
    <w:rsid w:val="0000546F"/>
    <w:rsid w:val="0000564C"/>
    <w:rsid w:val="00006446"/>
    <w:rsid w:val="00006896"/>
    <w:rsid w:val="00007CDC"/>
    <w:rsid w:val="00010E0D"/>
    <w:rsid w:val="00011B28"/>
    <w:rsid w:val="00015D15"/>
    <w:rsid w:val="00020BA6"/>
    <w:rsid w:val="0002564D"/>
    <w:rsid w:val="00025ECA"/>
    <w:rsid w:val="00031D3A"/>
    <w:rsid w:val="000325B8"/>
    <w:rsid w:val="00032E71"/>
    <w:rsid w:val="00034C15"/>
    <w:rsid w:val="00035BA6"/>
    <w:rsid w:val="00036BA1"/>
    <w:rsid w:val="00041C99"/>
    <w:rsid w:val="000422E2"/>
    <w:rsid w:val="00042F22"/>
    <w:rsid w:val="000444EF"/>
    <w:rsid w:val="00047FEA"/>
    <w:rsid w:val="0005210A"/>
    <w:rsid w:val="00052A07"/>
    <w:rsid w:val="000534E3"/>
    <w:rsid w:val="0005606A"/>
    <w:rsid w:val="00056960"/>
    <w:rsid w:val="00057117"/>
    <w:rsid w:val="00060223"/>
    <w:rsid w:val="000616E7"/>
    <w:rsid w:val="0006487E"/>
    <w:rsid w:val="00065E1A"/>
    <w:rsid w:val="00072073"/>
    <w:rsid w:val="00073208"/>
    <w:rsid w:val="00077AA0"/>
    <w:rsid w:val="00077E5F"/>
    <w:rsid w:val="0008036A"/>
    <w:rsid w:val="00081AE6"/>
    <w:rsid w:val="00082C6E"/>
    <w:rsid w:val="00082E3C"/>
    <w:rsid w:val="0008365A"/>
    <w:rsid w:val="000855EB"/>
    <w:rsid w:val="00085B52"/>
    <w:rsid w:val="000866F2"/>
    <w:rsid w:val="0009009F"/>
    <w:rsid w:val="00090931"/>
    <w:rsid w:val="00091557"/>
    <w:rsid w:val="000924C1"/>
    <w:rsid w:val="000924F0"/>
    <w:rsid w:val="00093474"/>
    <w:rsid w:val="0009510F"/>
    <w:rsid w:val="000956AF"/>
    <w:rsid w:val="0009579E"/>
    <w:rsid w:val="000A1B7B"/>
    <w:rsid w:val="000A2A49"/>
    <w:rsid w:val="000A4486"/>
    <w:rsid w:val="000A4AC4"/>
    <w:rsid w:val="000A56F2"/>
    <w:rsid w:val="000A7781"/>
    <w:rsid w:val="000B2719"/>
    <w:rsid w:val="000B3A8F"/>
    <w:rsid w:val="000B4AB9"/>
    <w:rsid w:val="000B58C3"/>
    <w:rsid w:val="000B61E9"/>
    <w:rsid w:val="000C077B"/>
    <w:rsid w:val="000C165A"/>
    <w:rsid w:val="000C1FC1"/>
    <w:rsid w:val="000C2E19"/>
    <w:rsid w:val="000C3DFF"/>
    <w:rsid w:val="000C42F5"/>
    <w:rsid w:val="000D0D07"/>
    <w:rsid w:val="000D29AF"/>
    <w:rsid w:val="000D4797"/>
    <w:rsid w:val="000E0527"/>
    <w:rsid w:val="000E1E92"/>
    <w:rsid w:val="000E2B6E"/>
    <w:rsid w:val="000E5E07"/>
    <w:rsid w:val="000E5F38"/>
    <w:rsid w:val="000F06B3"/>
    <w:rsid w:val="000F06D6"/>
    <w:rsid w:val="000F0EB1"/>
    <w:rsid w:val="000F1106"/>
    <w:rsid w:val="000F3BE9"/>
    <w:rsid w:val="000F3F6C"/>
    <w:rsid w:val="000F50DB"/>
    <w:rsid w:val="000F6DF3"/>
    <w:rsid w:val="001005FF"/>
    <w:rsid w:val="00101CED"/>
    <w:rsid w:val="0010274D"/>
    <w:rsid w:val="00103971"/>
    <w:rsid w:val="001062FB"/>
    <w:rsid w:val="001063E6"/>
    <w:rsid w:val="00113CF4"/>
    <w:rsid w:val="001153EA"/>
    <w:rsid w:val="00115643"/>
    <w:rsid w:val="00116765"/>
    <w:rsid w:val="00120440"/>
    <w:rsid w:val="001219F5"/>
    <w:rsid w:val="00121A20"/>
    <w:rsid w:val="0012377F"/>
    <w:rsid w:val="00124314"/>
    <w:rsid w:val="00126B4A"/>
    <w:rsid w:val="001275B9"/>
    <w:rsid w:val="001277A5"/>
    <w:rsid w:val="00132FD0"/>
    <w:rsid w:val="001343F3"/>
    <w:rsid w:val="001344C0"/>
    <w:rsid w:val="001346FA"/>
    <w:rsid w:val="00135252"/>
    <w:rsid w:val="00137AB5"/>
    <w:rsid w:val="00137F0B"/>
    <w:rsid w:val="00151E23"/>
    <w:rsid w:val="001526E0"/>
    <w:rsid w:val="00152CEE"/>
    <w:rsid w:val="00152FAA"/>
    <w:rsid w:val="00153F8B"/>
    <w:rsid w:val="001551B5"/>
    <w:rsid w:val="0015607B"/>
    <w:rsid w:val="001629A1"/>
    <w:rsid w:val="001659C1"/>
    <w:rsid w:val="001720CF"/>
    <w:rsid w:val="00173A8E"/>
    <w:rsid w:val="00174AF3"/>
    <w:rsid w:val="0017502C"/>
    <w:rsid w:val="001764D4"/>
    <w:rsid w:val="0018143F"/>
    <w:rsid w:val="00181FF8"/>
    <w:rsid w:val="00182AB3"/>
    <w:rsid w:val="001861F8"/>
    <w:rsid w:val="00190AC1"/>
    <w:rsid w:val="00192EF1"/>
    <w:rsid w:val="0019341A"/>
    <w:rsid w:val="00197DF9"/>
    <w:rsid w:val="001A1987"/>
    <w:rsid w:val="001A1E40"/>
    <w:rsid w:val="001A2564"/>
    <w:rsid w:val="001A6173"/>
    <w:rsid w:val="001A6CBA"/>
    <w:rsid w:val="001B0D97"/>
    <w:rsid w:val="001B5A5D"/>
    <w:rsid w:val="001C1CE5"/>
    <w:rsid w:val="001C3D2A"/>
    <w:rsid w:val="001D3699"/>
    <w:rsid w:val="001D4871"/>
    <w:rsid w:val="001D51BA"/>
    <w:rsid w:val="001D53E7"/>
    <w:rsid w:val="001D6342"/>
    <w:rsid w:val="001D6D53"/>
    <w:rsid w:val="001E58E2"/>
    <w:rsid w:val="001E64D9"/>
    <w:rsid w:val="001E6F8B"/>
    <w:rsid w:val="001E7AED"/>
    <w:rsid w:val="001E7F5C"/>
    <w:rsid w:val="001F3916"/>
    <w:rsid w:val="001F4C59"/>
    <w:rsid w:val="001F54C5"/>
    <w:rsid w:val="001F662C"/>
    <w:rsid w:val="001F7074"/>
    <w:rsid w:val="00200490"/>
    <w:rsid w:val="00201F3A"/>
    <w:rsid w:val="00203F96"/>
    <w:rsid w:val="002069B2"/>
    <w:rsid w:val="002074FC"/>
    <w:rsid w:val="00207FA3"/>
    <w:rsid w:val="00214DA8"/>
    <w:rsid w:val="00215423"/>
    <w:rsid w:val="002158FA"/>
    <w:rsid w:val="0021697D"/>
    <w:rsid w:val="00217B36"/>
    <w:rsid w:val="00220600"/>
    <w:rsid w:val="00220FA9"/>
    <w:rsid w:val="0022182A"/>
    <w:rsid w:val="002224DB"/>
    <w:rsid w:val="00223FCB"/>
    <w:rsid w:val="002252C3"/>
    <w:rsid w:val="00225C54"/>
    <w:rsid w:val="00230765"/>
    <w:rsid w:val="00230D18"/>
    <w:rsid w:val="002319E4"/>
    <w:rsid w:val="00235632"/>
    <w:rsid w:val="00235872"/>
    <w:rsid w:val="00241559"/>
    <w:rsid w:val="002435B3"/>
    <w:rsid w:val="002458EB"/>
    <w:rsid w:val="002500C8"/>
    <w:rsid w:val="0025102F"/>
    <w:rsid w:val="00257543"/>
    <w:rsid w:val="002617E7"/>
    <w:rsid w:val="00261CB9"/>
    <w:rsid w:val="002626C9"/>
    <w:rsid w:val="00263315"/>
    <w:rsid w:val="00264228"/>
    <w:rsid w:val="00264334"/>
    <w:rsid w:val="0026473E"/>
    <w:rsid w:val="00266214"/>
    <w:rsid w:val="00267C83"/>
    <w:rsid w:val="00270970"/>
    <w:rsid w:val="0027144F"/>
    <w:rsid w:val="00271813"/>
    <w:rsid w:val="00271F3A"/>
    <w:rsid w:val="00273278"/>
    <w:rsid w:val="002737F4"/>
    <w:rsid w:val="00275968"/>
    <w:rsid w:val="002805F5"/>
    <w:rsid w:val="00280751"/>
    <w:rsid w:val="00281909"/>
    <w:rsid w:val="0028280A"/>
    <w:rsid w:val="00282E07"/>
    <w:rsid w:val="00286ACD"/>
    <w:rsid w:val="00287838"/>
    <w:rsid w:val="002907B5"/>
    <w:rsid w:val="002927AC"/>
    <w:rsid w:val="00292EB7"/>
    <w:rsid w:val="00296227"/>
    <w:rsid w:val="00296F44"/>
    <w:rsid w:val="00296FAA"/>
    <w:rsid w:val="0029777D"/>
    <w:rsid w:val="00297B19"/>
    <w:rsid w:val="002A055E"/>
    <w:rsid w:val="002A1D4E"/>
    <w:rsid w:val="002A2869"/>
    <w:rsid w:val="002B103D"/>
    <w:rsid w:val="002B24D6"/>
    <w:rsid w:val="002B3BB5"/>
    <w:rsid w:val="002B3EBD"/>
    <w:rsid w:val="002B69AF"/>
    <w:rsid w:val="002C41E6"/>
    <w:rsid w:val="002C6674"/>
    <w:rsid w:val="002D071A"/>
    <w:rsid w:val="002D0A9E"/>
    <w:rsid w:val="002D27AC"/>
    <w:rsid w:val="002D34B2"/>
    <w:rsid w:val="002D48B0"/>
    <w:rsid w:val="002D5B37"/>
    <w:rsid w:val="002D62BB"/>
    <w:rsid w:val="002D7637"/>
    <w:rsid w:val="002E151B"/>
    <w:rsid w:val="002E17F2"/>
    <w:rsid w:val="002E7CAE"/>
    <w:rsid w:val="002F0227"/>
    <w:rsid w:val="002F2771"/>
    <w:rsid w:val="002F37A9"/>
    <w:rsid w:val="00301CE6"/>
    <w:rsid w:val="0030256B"/>
    <w:rsid w:val="003028FB"/>
    <w:rsid w:val="0030350E"/>
    <w:rsid w:val="0030501F"/>
    <w:rsid w:val="00307BA1"/>
    <w:rsid w:val="00310A50"/>
    <w:rsid w:val="00311702"/>
    <w:rsid w:val="00311E82"/>
    <w:rsid w:val="00313FD6"/>
    <w:rsid w:val="003143BD"/>
    <w:rsid w:val="00314D8D"/>
    <w:rsid w:val="00315363"/>
    <w:rsid w:val="0032012D"/>
    <w:rsid w:val="003203ED"/>
    <w:rsid w:val="00321BDB"/>
    <w:rsid w:val="003223AE"/>
    <w:rsid w:val="00322C9F"/>
    <w:rsid w:val="00324D23"/>
    <w:rsid w:val="003253F8"/>
    <w:rsid w:val="003279C1"/>
    <w:rsid w:val="003279D3"/>
    <w:rsid w:val="00331751"/>
    <w:rsid w:val="003322D1"/>
    <w:rsid w:val="00334579"/>
    <w:rsid w:val="00335858"/>
    <w:rsid w:val="00335AA3"/>
    <w:rsid w:val="00336BDA"/>
    <w:rsid w:val="0034204E"/>
    <w:rsid w:val="00342BD7"/>
    <w:rsid w:val="00343C5C"/>
    <w:rsid w:val="00346DB5"/>
    <w:rsid w:val="003477B1"/>
    <w:rsid w:val="00350799"/>
    <w:rsid w:val="00355714"/>
    <w:rsid w:val="00357380"/>
    <w:rsid w:val="003602D9"/>
    <w:rsid w:val="003604CE"/>
    <w:rsid w:val="00361DEE"/>
    <w:rsid w:val="00365611"/>
    <w:rsid w:val="0037086E"/>
    <w:rsid w:val="00370E47"/>
    <w:rsid w:val="00372071"/>
    <w:rsid w:val="003742AC"/>
    <w:rsid w:val="00377CE1"/>
    <w:rsid w:val="003853C9"/>
    <w:rsid w:val="00385BF0"/>
    <w:rsid w:val="003939FF"/>
    <w:rsid w:val="003A10AE"/>
    <w:rsid w:val="003A2223"/>
    <w:rsid w:val="003A2A0F"/>
    <w:rsid w:val="003A3715"/>
    <w:rsid w:val="003A3D25"/>
    <w:rsid w:val="003A45A1"/>
    <w:rsid w:val="003A5B0A"/>
    <w:rsid w:val="003A6BAC"/>
    <w:rsid w:val="003A70A4"/>
    <w:rsid w:val="003A7253"/>
    <w:rsid w:val="003A7EF3"/>
    <w:rsid w:val="003B03EB"/>
    <w:rsid w:val="003B159C"/>
    <w:rsid w:val="003B29A7"/>
    <w:rsid w:val="003B369F"/>
    <w:rsid w:val="003B36A3"/>
    <w:rsid w:val="003B5FBC"/>
    <w:rsid w:val="003B64BB"/>
    <w:rsid w:val="003B7FE5"/>
    <w:rsid w:val="003C11C8"/>
    <w:rsid w:val="003C2702"/>
    <w:rsid w:val="003C7806"/>
    <w:rsid w:val="003D109F"/>
    <w:rsid w:val="003D1633"/>
    <w:rsid w:val="003D1A6B"/>
    <w:rsid w:val="003D2478"/>
    <w:rsid w:val="003D3C45"/>
    <w:rsid w:val="003D5B1F"/>
    <w:rsid w:val="003D5E41"/>
    <w:rsid w:val="003E1329"/>
    <w:rsid w:val="003E15FA"/>
    <w:rsid w:val="003E55E4"/>
    <w:rsid w:val="003E74E3"/>
    <w:rsid w:val="003F05C7"/>
    <w:rsid w:val="003F1561"/>
    <w:rsid w:val="003F16B1"/>
    <w:rsid w:val="003F2CD4"/>
    <w:rsid w:val="003F6B51"/>
    <w:rsid w:val="003F6BBE"/>
    <w:rsid w:val="004000E8"/>
    <w:rsid w:val="00402E2B"/>
    <w:rsid w:val="00404AF5"/>
    <w:rsid w:val="0040512B"/>
    <w:rsid w:val="00405CA5"/>
    <w:rsid w:val="00407CD3"/>
    <w:rsid w:val="00407E84"/>
    <w:rsid w:val="00410134"/>
    <w:rsid w:val="00410B72"/>
    <w:rsid w:val="00410F18"/>
    <w:rsid w:val="00410F4F"/>
    <w:rsid w:val="0041263E"/>
    <w:rsid w:val="00413AAC"/>
    <w:rsid w:val="00413E92"/>
    <w:rsid w:val="004142B1"/>
    <w:rsid w:val="004201D8"/>
    <w:rsid w:val="00420E8B"/>
    <w:rsid w:val="00421105"/>
    <w:rsid w:val="00422AA4"/>
    <w:rsid w:val="00422EFF"/>
    <w:rsid w:val="00423956"/>
    <w:rsid w:val="004242F4"/>
    <w:rsid w:val="004265B0"/>
    <w:rsid w:val="00427248"/>
    <w:rsid w:val="00437447"/>
    <w:rsid w:val="00441A92"/>
    <w:rsid w:val="004431DC"/>
    <w:rsid w:val="00443B2D"/>
    <w:rsid w:val="00444F56"/>
    <w:rsid w:val="00446488"/>
    <w:rsid w:val="004517AA"/>
    <w:rsid w:val="00452CAC"/>
    <w:rsid w:val="00457565"/>
    <w:rsid w:val="00457B71"/>
    <w:rsid w:val="004669E2"/>
    <w:rsid w:val="00470C31"/>
    <w:rsid w:val="00471DE0"/>
    <w:rsid w:val="004722B4"/>
    <w:rsid w:val="004734D0"/>
    <w:rsid w:val="0047556B"/>
    <w:rsid w:val="00477768"/>
    <w:rsid w:val="004778BF"/>
    <w:rsid w:val="00480A66"/>
    <w:rsid w:val="00492BC5"/>
    <w:rsid w:val="004964F1"/>
    <w:rsid w:val="00497410"/>
    <w:rsid w:val="004A16BC"/>
    <w:rsid w:val="004A1872"/>
    <w:rsid w:val="004A2A38"/>
    <w:rsid w:val="004A2B94"/>
    <w:rsid w:val="004A3073"/>
    <w:rsid w:val="004A3909"/>
    <w:rsid w:val="004B1523"/>
    <w:rsid w:val="004B2109"/>
    <w:rsid w:val="004B3679"/>
    <w:rsid w:val="004B6F6A"/>
    <w:rsid w:val="004B7C0C"/>
    <w:rsid w:val="004C318A"/>
    <w:rsid w:val="004C3898"/>
    <w:rsid w:val="004D36B1"/>
    <w:rsid w:val="004D6852"/>
    <w:rsid w:val="004D7AF9"/>
    <w:rsid w:val="004D7EBD"/>
    <w:rsid w:val="004E1556"/>
    <w:rsid w:val="004E2680"/>
    <w:rsid w:val="004E28F9"/>
    <w:rsid w:val="004E2A04"/>
    <w:rsid w:val="004E462E"/>
    <w:rsid w:val="004E56DC"/>
    <w:rsid w:val="004E6FAB"/>
    <w:rsid w:val="004E76F4"/>
    <w:rsid w:val="004F0B4E"/>
    <w:rsid w:val="004F0B6C"/>
    <w:rsid w:val="004F2078"/>
    <w:rsid w:val="004F4DA3"/>
    <w:rsid w:val="004F648C"/>
    <w:rsid w:val="00500AC2"/>
    <w:rsid w:val="0050190B"/>
    <w:rsid w:val="00502BCB"/>
    <w:rsid w:val="0050323A"/>
    <w:rsid w:val="00506557"/>
    <w:rsid w:val="0050677A"/>
    <w:rsid w:val="005105AA"/>
    <w:rsid w:val="005108D8"/>
    <w:rsid w:val="005116F9"/>
    <w:rsid w:val="005153A7"/>
    <w:rsid w:val="00520448"/>
    <w:rsid w:val="00521506"/>
    <w:rsid w:val="005219CF"/>
    <w:rsid w:val="00531E79"/>
    <w:rsid w:val="00533C53"/>
    <w:rsid w:val="00534B59"/>
    <w:rsid w:val="00534B99"/>
    <w:rsid w:val="00536759"/>
    <w:rsid w:val="00536DF6"/>
    <w:rsid w:val="005376C9"/>
    <w:rsid w:val="00537C62"/>
    <w:rsid w:val="00541ECE"/>
    <w:rsid w:val="00546970"/>
    <w:rsid w:val="00547A3C"/>
    <w:rsid w:val="00552806"/>
    <w:rsid w:val="00554E19"/>
    <w:rsid w:val="0056121F"/>
    <w:rsid w:val="00563D7D"/>
    <w:rsid w:val="00567062"/>
    <w:rsid w:val="00570C82"/>
    <w:rsid w:val="00571A2B"/>
    <w:rsid w:val="00572505"/>
    <w:rsid w:val="00574B90"/>
    <w:rsid w:val="00582809"/>
    <w:rsid w:val="00583EF2"/>
    <w:rsid w:val="0058798C"/>
    <w:rsid w:val="005900FA"/>
    <w:rsid w:val="005935A4"/>
    <w:rsid w:val="005948C2"/>
    <w:rsid w:val="00595DCA"/>
    <w:rsid w:val="005964EB"/>
    <w:rsid w:val="0059779B"/>
    <w:rsid w:val="005A209A"/>
    <w:rsid w:val="005A592A"/>
    <w:rsid w:val="005A662D"/>
    <w:rsid w:val="005B1409"/>
    <w:rsid w:val="005B35D7"/>
    <w:rsid w:val="005B3729"/>
    <w:rsid w:val="005B392A"/>
    <w:rsid w:val="005B3AA3"/>
    <w:rsid w:val="005B58CF"/>
    <w:rsid w:val="005B6F83"/>
    <w:rsid w:val="005C74FB"/>
    <w:rsid w:val="005D1602"/>
    <w:rsid w:val="005D5ADE"/>
    <w:rsid w:val="005E385F"/>
    <w:rsid w:val="005E5B81"/>
    <w:rsid w:val="005F2CB1"/>
    <w:rsid w:val="005F3025"/>
    <w:rsid w:val="005F4D76"/>
    <w:rsid w:val="005F618C"/>
    <w:rsid w:val="005F6F32"/>
    <w:rsid w:val="005F70BD"/>
    <w:rsid w:val="0060283C"/>
    <w:rsid w:val="0060358E"/>
    <w:rsid w:val="00604F14"/>
    <w:rsid w:val="006051FD"/>
    <w:rsid w:val="006053EE"/>
    <w:rsid w:val="00611B83"/>
    <w:rsid w:val="00613257"/>
    <w:rsid w:val="006200B2"/>
    <w:rsid w:val="00620A71"/>
    <w:rsid w:val="00620D80"/>
    <w:rsid w:val="006215F2"/>
    <w:rsid w:val="006234A6"/>
    <w:rsid w:val="00623BCF"/>
    <w:rsid w:val="00630001"/>
    <w:rsid w:val="00630C34"/>
    <w:rsid w:val="006311B3"/>
    <w:rsid w:val="0063284C"/>
    <w:rsid w:val="00634DEB"/>
    <w:rsid w:val="00635CBF"/>
    <w:rsid w:val="00636398"/>
    <w:rsid w:val="006368D3"/>
    <w:rsid w:val="006377EC"/>
    <w:rsid w:val="00640AD9"/>
    <w:rsid w:val="0064151F"/>
    <w:rsid w:val="00641533"/>
    <w:rsid w:val="0064208D"/>
    <w:rsid w:val="00643475"/>
    <w:rsid w:val="0064396A"/>
    <w:rsid w:val="0064546E"/>
    <w:rsid w:val="0064624E"/>
    <w:rsid w:val="00647442"/>
    <w:rsid w:val="006506F9"/>
    <w:rsid w:val="00650AB9"/>
    <w:rsid w:val="0065300E"/>
    <w:rsid w:val="006553CC"/>
    <w:rsid w:val="00655655"/>
    <w:rsid w:val="00655733"/>
    <w:rsid w:val="006558B0"/>
    <w:rsid w:val="00655ACD"/>
    <w:rsid w:val="00656A92"/>
    <w:rsid w:val="00656DDE"/>
    <w:rsid w:val="0066011D"/>
    <w:rsid w:val="006607C0"/>
    <w:rsid w:val="006613A6"/>
    <w:rsid w:val="006627A2"/>
    <w:rsid w:val="006634E6"/>
    <w:rsid w:val="00663A82"/>
    <w:rsid w:val="006655EE"/>
    <w:rsid w:val="00667EE7"/>
    <w:rsid w:val="00670922"/>
    <w:rsid w:val="00670BE1"/>
    <w:rsid w:val="006718CE"/>
    <w:rsid w:val="0067218F"/>
    <w:rsid w:val="00672961"/>
    <w:rsid w:val="006741F2"/>
    <w:rsid w:val="00674CC3"/>
    <w:rsid w:val="00675C72"/>
    <w:rsid w:val="006771F9"/>
    <w:rsid w:val="006776D7"/>
    <w:rsid w:val="00681003"/>
    <w:rsid w:val="006817C9"/>
    <w:rsid w:val="00683ECE"/>
    <w:rsid w:val="006922A2"/>
    <w:rsid w:val="00695FC2"/>
    <w:rsid w:val="00696949"/>
    <w:rsid w:val="00697052"/>
    <w:rsid w:val="006A46FB"/>
    <w:rsid w:val="006A5E28"/>
    <w:rsid w:val="006A697B"/>
    <w:rsid w:val="006A7044"/>
    <w:rsid w:val="006A7AFF"/>
    <w:rsid w:val="006B1816"/>
    <w:rsid w:val="006B1CF8"/>
    <w:rsid w:val="006B2099"/>
    <w:rsid w:val="006B50CF"/>
    <w:rsid w:val="006C03B8"/>
    <w:rsid w:val="006C2A37"/>
    <w:rsid w:val="006C5EC9"/>
    <w:rsid w:val="006C6059"/>
    <w:rsid w:val="006C7522"/>
    <w:rsid w:val="006D4316"/>
    <w:rsid w:val="006D6F08"/>
    <w:rsid w:val="006E062C"/>
    <w:rsid w:val="006E10B1"/>
    <w:rsid w:val="006E1C82"/>
    <w:rsid w:val="006E28B7"/>
    <w:rsid w:val="006E2A9B"/>
    <w:rsid w:val="006E3310"/>
    <w:rsid w:val="006E3B72"/>
    <w:rsid w:val="006E43E8"/>
    <w:rsid w:val="006E4DFA"/>
    <w:rsid w:val="006E4E39"/>
    <w:rsid w:val="006E565E"/>
    <w:rsid w:val="006E65BE"/>
    <w:rsid w:val="006E673D"/>
    <w:rsid w:val="006E7D3B"/>
    <w:rsid w:val="006F125E"/>
    <w:rsid w:val="006F1B70"/>
    <w:rsid w:val="006F341D"/>
    <w:rsid w:val="006F3AE0"/>
    <w:rsid w:val="006F3CDE"/>
    <w:rsid w:val="006F4ABC"/>
    <w:rsid w:val="006F50A8"/>
    <w:rsid w:val="006F58D4"/>
    <w:rsid w:val="006F6582"/>
    <w:rsid w:val="0070346E"/>
    <w:rsid w:val="00704EDB"/>
    <w:rsid w:val="00706101"/>
    <w:rsid w:val="00707072"/>
    <w:rsid w:val="00707D61"/>
    <w:rsid w:val="00711396"/>
    <w:rsid w:val="0071139D"/>
    <w:rsid w:val="00712287"/>
    <w:rsid w:val="00712772"/>
    <w:rsid w:val="007136D9"/>
    <w:rsid w:val="00713D02"/>
    <w:rsid w:val="007148D3"/>
    <w:rsid w:val="0071535A"/>
    <w:rsid w:val="00715B9A"/>
    <w:rsid w:val="0071645B"/>
    <w:rsid w:val="00722DCB"/>
    <w:rsid w:val="007235C7"/>
    <w:rsid w:val="007257D0"/>
    <w:rsid w:val="00726EA6"/>
    <w:rsid w:val="00727208"/>
    <w:rsid w:val="00727680"/>
    <w:rsid w:val="007348B1"/>
    <w:rsid w:val="007362A6"/>
    <w:rsid w:val="00736D7D"/>
    <w:rsid w:val="00740E58"/>
    <w:rsid w:val="007445A0"/>
    <w:rsid w:val="0074524B"/>
    <w:rsid w:val="00746FFD"/>
    <w:rsid w:val="0074785E"/>
    <w:rsid w:val="00747D8B"/>
    <w:rsid w:val="00751228"/>
    <w:rsid w:val="007571E1"/>
    <w:rsid w:val="0075757C"/>
    <w:rsid w:val="00760364"/>
    <w:rsid w:val="007604B2"/>
    <w:rsid w:val="00762BE8"/>
    <w:rsid w:val="00764675"/>
    <w:rsid w:val="00765281"/>
    <w:rsid w:val="0076540C"/>
    <w:rsid w:val="00766BAD"/>
    <w:rsid w:val="007729A2"/>
    <w:rsid w:val="007755F2"/>
    <w:rsid w:val="00776971"/>
    <w:rsid w:val="00780A80"/>
    <w:rsid w:val="0078177E"/>
    <w:rsid w:val="0078304C"/>
    <w:rsid w:val="00783673"/>
    <w:rsid w:val="0078370E"/>
    <w:rsid w:val="00785490"/>
    <w:rsid w:val="007925EA"/>
    <w:rsid w:val="00793CD8"/>
    <w:rsid w:val="00794830"/>
    <w:rsid w:val="00795C92"/>
    <w:rsid w:val="00796231"/>
    <w:rsid w:val="00796BD6"/>
    <w:rsid w:val="00797460"/>
    <w:rsid w:val="007A168C"/>
    <w:rsid w:val="007A1CB3"/>
    <w:rsid w:val="007A306F"/>
    <w:rsid w:val="007A43A6"/>
    <w:rsid w:val="007A58A6"/>
    <w:rsid w:val="007B315D"/>
    <w:rsid w:val="007B3D2D"/>
    <w:rsid w:val="007B4241"/>
    <w:rsid w:val="007B50AE"/>
    <w:rsid w:val="007B51DF"/>
    <w:rsid w:val="007B6605"/>
    <w:rsid w:val="007B7E9E"/>
    <w:rsid w:val="007C02DE"/>
    <w:rsid w:val="007C05DD"/>
    <w:rsid w:val="007C1387"/>
    <w:rsid w:val="007C394D"/>
    <w:rsid w:val="007C3D18"/>
    <w:rsid w:val="007C4748"/>
    <w:rsid w:val="007C60BF"/>
    <w:rsid w:val="007C6A07"/>
    <w:rsid w:val="007C75A1"/>
    <w:rsid w:val="007C77A5"/>
    <w:rsid w:val="007D04E5"/>
    <w:rsid w:val="007D3A4D"/>
    <w:rsid w:val="007D53D8"/>
    <w:rsid w:val="007D5901"/>
    <w:rsid w:val="007D7526"/>
    <w:rsid w:val="007E4610"/>
    <w:rsid w:val="007E4715"/>
    <w:rsid w:val="007E505B"/>
    <w:rsid w:val="007E53A5"/>
    <w:rsid w:val="007E7091"/>
    <w:rsid w:val="00802DC1"/>
    <w:rsid w:val="00803FAE"/>
    <w:rsid w:val="0080605F"/>
    <w:rsid w:val="008067FC"/>
    <w:rsid w:val="00807786"/>
    <w:rsid w:val="00811743"/>
    <w:rsid w:val="00811769"/>
    <w:rsid w:val="00811FCB"/>
    <w:rsid w:val="008120D8"/>
    <w:rsid w:val="00812A95"/>
    <w:rsid w:val="00812B20"/>
    <w:rsid w:val="008158D6"/>
    <w:rsid w:val="00817196"/>
    <w:rsid w:val="008235DB"/>
    <w:rsid w:val="00824AB4"/>
    <w:rsid w:val="00825C42"/>
    <w:rsid w:val="00825D25"/>
    <w:rsid w:val="00827392"/>
    <w:rsid w:val="00827D6F"/>
    <w:rsid w:val="00830A40"/>
    <w:rsid w:val="008376AC"/>
    <w:rsid w:val="00843991"/>
    <w:rsid w:val="008444E8"/>
    <w:rsid w:val="00844D06"/>
    <w:rsid w:val="00844E80"/>
    <w:rsid w:val="00846FE7"/>
    <w:rsid w:val="008510C5"/>
    <w:rsid w:val="00855ABF"/>
    <w:rsid w:val="00856911"/>
    <w:rsid w:val="00857DE1"/>
    <w:rsid w:val="008621C1"/>
    <w:rsid w:val="00864A41"/>
    <w:rsid w:val="008677FD"/>
    <w:rsid w:val="008706D4"/>
    <w:rsid w:val="00870F8A"/>
    <w:rsid w:val="008719A4"/>
    <w:rsid w:val="00871D23"/>
    <w:rsid w:val="00874312"/>
    <w:rsid w:val="0087437C"/>
    <w:rsid w:val="00875CD7"/>
    <w:rsid w:val="00876636"/>
    <w:rsid w:val="00876B4D"/>
    <w:rsid w:val="00876BEA"/>
    <w:rsid w:val="00877F18"/>
    <w:rsid w:val="00880D89"/>
    <w:rsid w:val="00885463"/>
    <w:rsid w:val="00890579"/>
    <w:rsid w:val="008941E3"/>
    <w:rsid w:val="00894A88"/>
    <w:rsid w:val="00895386"/>
    <w:rsid w:val="008A1FF3"/>
    <w:rsid w:val="008A21FF"/>
    <w:rsid w:val="008A2CE2"/>
    <w:rsid w:val="008A30AC"/>
    <w:rsid w:val="008A44B8"/>
    <w:rsid w:val="008A51A8"/>
    <w:rsid w:val="008A54C7"/>
    <w:rsid w:val="008A77D8"/>
    <w:rsid w:val="008B0483"/>
    <w:rsid w:val="008B120C"/>
    <w:rsid w:val="008B1A37"/>
    <w:rsid w:val="008B451A"/>
    <w:rsid w:val="008B51A0"/>
    <w:rsid w:val="008B592A"/>
    <w:rsid w:val="008B672B"/>
    <w:rsid w:val="008B7B5C"/>
    <w:rsid w:val="008C0C99"/>
    <w:rsid w:val="008C2017"/>
    <w:rsid w:val="008C4958"/>
    <w:rsid w:val="008C4BAA"/>
    <w:rsid w:val="008C6AE8"/>
    <w:rsid w:val="008C7573"/>
    <w:rsid w:val="008D00A5"/>
    <w:rsid w:val="008D34F1"/>
    <w:rsid w:val="008D39D8"/>
    <w:rsid w:val="008D6497"/>
    <w:rsid w:val="008D6D1A"/>
    <w:rsid w:val="008E065E"/>
    <w:rsid w:val="008E0927"/>
    <w:rsid w:val="008E0F69"/>
    <w:rsid w:val="008E1909"/>
    <w:rsid w:val="008E5088"/>
    <w:rsid w:val="008F1C4E"/>
    <w:rsid w:val="008F1EAB"/>
    <w:rsid w:val="008F33DC"/>
    <w:rsid w:val="008F3AAE"/>
    <w:rsid w:val="008F477F"/>
    <w:rsid w:val="008F57AE"/>
    <w:rsid w:val="008F5C61"/>
    <w:rsid w:val="008F5D99"/>
    <w:rsid w:val="008F6579"/>
    <w:rsid w:val="00901BDE"/>
    <w:rsid w:val="00902350"/>
    <w:rsid w:val="0090336B"/>
    <w:rsid w:val="00903CB8"/>
    <w:rsid w:val="009053AA"/>
    <w:rsid w:val="00906939"/>
    <w:rsid w:val="00910B7D"/>
    <w:rsid w:val="00911DFB"/>
    <w:rsid w:val="009139D9"/>
    <w:rsid w:val="00914AD8"/>
    <w:rsid w:val="0091577C"/>
    <w:rsid w:val="00916079"/>
    <w:rsid w:val="00917CE9"/>
    <w:rsid w:val="00920BF2"/>
    <w:rsid w:val="00922010"/>
    <w:rsid w:val="00924196"/>
    <w:rsid w:val="00926F72"/>
    <w:rsid w:val="00930D0E"/>
    <w:rsid w:val="00931BD9"/>
    <w:rsid w:val="0093646C"/>
    <w:rsid w:val="009368F3"/>
    <w:rsid w:val="0093724C"/>
    <w:rsid w:val="00940B2B"/>
    <w:rsid w:val="00941636"/>
    <w:rsid w:val="00941A56"/>
    <w:rsid w:val="00942137"/>
    <w:rsid w:val="00943742"/>
    <w:rsid w:val="009446EF"/>
    <w:rsid w:val="0094564A"/>
    <w:rsid w:val="00945C05"/>
    <w:rsid w:val="00946945"/>
    <w:rsid w:val="00947713"/>
    <w:rsid w:val="00950DE7"/>
    <w:rsid w:val="00953920"/>
    <w:rsid w:val="00953D47"/>
    <w:rsid w:val="0095681E"/>
    <w:rsid w:val="009572D4"/>
    <w:rsid w:val="00961921"/>
    <w:rsid w:val="009634DE"/>
    <w:rsid w:val="0096430A"/>
    <w:rsid w:val="0096554B"/>
    <w:rsid w:val="0096584A"/>
    <w:rsid w:val="00971F08"/>
    <w:rsid w:val="00975949"/>
    <w:rsid w:val="0097603D"/>
    <w:rsid w:val="00976949"/>
    <w:rsid w:val="00980477"/>
    <w:rsid w:val="0098068E"/>
    <w:rsid w:val="00980B7E"/>
    <w:rsid w:val="00984089"/>
    <w:rsid w:val="00985253"/>
    <w:rsid w:val="009853B3"/>
    <w:rsid w:val="00990630"/>
    <w:rsid w:val="00991761"/>
    <w:rsid w:val="00993550"/>
    <w:rsid w:val="00994DCA"/>
    <w:rsid w:val="009960EC"/>
    <w:rsid w:val="009970DD"/>
    <w:rsid w:val="009A0FBA"/>
    <w:rsid w:val="009A1601"/>
    <w:rsid w:val="009A2939"/>
    <w:rsid w:val="009A3BB6"/>
    <w:rsid w:val="009A462D"/>
    <w:rsid w:val="009A5CBA"/>
    <w:rsid w:val="009B00AE"/>
    <w:rsid w:val="009B1F30"/>
    <w:rsid w:val="009B3AC2"/>
    <w:rsid w:val="009B4A78"/>
    <w:rsid w:val="009B4DF4"/>
    <w:rsid w:val="009B564E"/>
    <w:rsid w:val="009B7E87"/>
    <w:rsid w:val="009C0169"/>
    <w:rsid w:val="009C403E"/>
    <w:rsid w:val="009D4FF0"/>
    <w:rsid w:val="009D703C"/>
    <w:rsid w:val="009D718F"/>
    <w:rsid w:val="009D7E59"/>
    <w:rsid w:val="009E068F"/>
    <w:rsid w:val="009E14E0"/>
    <w:rsid w:val="009E1A15"/>
    <w:rsid w:val="009E35DB"/>
    <w:rsid w:val="009E47A3"/>
    <w:rsid w:val="009E69FB"/>
    <w:rsid w:val="009E79FB"/>
    <w:rsid w:val="009F08F3"/>
    <w:rsid w:val="009F0D5E"/>
    <w:rsid w:val="009F1DA3"/>
    <w:rsid w:val="009F344F"/>
    <w:rsid w:val="00A031D8"/>
    <w:rsid w:val="00A048A8"/>
    <w:rsid w:val="00A04F49"/>
    <w:rsid w:val="00A1295B"/>
    <w:rsid w:val="00A13E54"/>
    <w:rsid w:val="00A14308"/>
    <w:rsid w:val="00A14B39"/>
    <w:rsid w:val="00A17F63"/>
    <w:rsid w:val="00A2193B"/>
    <w:rsid w:val="00A2351A"/>
    <w:rsid w:val="00A264A9"/>
    <w:rsid w:val="00A26DCF"/>
    <w:rsid w:val="00A274C4"/>
    <w:rsid w:val="00A27785"/>
    <w:rsid w:val="00A278A8"/>
    <w:rsid w:val="00A30187"/>
    <w:rsid w:val="00A319B6"/>
    <w:rsid w:val="00A3448A"/>
    <w:rsid w:val="00A36297"/>
    <w:rsid w:val="00A36F39"/>
    <w:rsid w:val="00A40D11"/>
    <w:rsid w:val="00A41E2B"/>
    <w:rsid w:val="00A45B74"/>
    <w:rsid w:val="00A52453"/>
    <w:rsid w:val="00A52E1D"/>
    <w:rsid w:val="00A5759B"/>
    <w:rsid w:val="00A6101D"/>
    <w:rsid w:val="00A61499"/>
    <w:rsid w:val="00A62A77"/>
    <w:rsid w:val="00A62BF2"/>
    <w:rsid w:val="00A63483"/>
    <w:rsid w:val="00A657D7"/>
    <w:rsid w:val="00A660AC"/>
    <w:rsid w:val="00A67E6C"/>
    <w:rsid w:val="00A711E2"/>
    <w:rsid w:val="00A71B99"/>
    <w:rsid w:val="00A739D0"/>
    <w:rsid w:val="00A761D4"/>
    <w:rsid w:val="00A77EC4"/>
    <w:rsid w:val="00A81825"/>
    <w:rsid w:val="00A85552"/>
    <w:rsid w:val="00A8611E"/>
    <w:rsid w:val="00A8680D"/>
    <w:rsid w:val="00A90D3B"/>
    <w:rsid w:val="00A91DC4"/>
    <w:rsid w:val="00A92879"/>
    <w:rsid w:val="00A9442A"/>
    <w:rsid w:val="00A955E1"/>
    <w:rsid w:val="00A97827"/>
    <w:rsid w:val="00AA016F"/>
    <w:rsid w:val="00AA02A9"/>
    <w:rsid w:val="00AA1ED6"/>
    <w:rsid w:val="00AA2A77"/>
    <w:rsid w:val="00AA51D6"/>
    <w:rsid w:val="00AB0BC8"/>
    <w:rsid w:val="00AB11A6"/>
    <w:rsid w:val="00AB11CA"/>
    <w:rsid w:val="00AB126D"/>
    <w:rsid w:val="00AB14D9"/>
    <w:rsid w:val="00AB30D9"/>
    <w:rsid w:val="00AB36B7"/>
    <w:rsid w:val="00AB4AB8"/>
    <w:rsid w:val="00AB655E"/>
    <w:rsid w:val="00AC007F"/>
    <w:rsid w:val="00AC129C"/>
    <w:rsid w:val="00AC2ECD"/>
    <w:rsid w:val="00AC3119"/>
    <w:rsid w:val="00AC4038"/>
    <w:rsid w:val="00AC49FB"/>
    <w:rsid w:val="00AC4CBE"/>
    <w:rsid w:val="00AC5A10"/>
    <w:rsid w:val="00AD0AA3"/>
    <w:rsid w:val="00AD2DAC"/>
    <w:rsid w:val="00AD2ED0"/>
    <w:rsid w:val="00AD3F94"/>
    <w:rsid w:val="00AD4A5A"/>
    <w:rsid w:val="00AD4DDB"/>
    <w:rsid w:val="00AE27AC"/>
    <w:rsid w:val="00AE40E0"/>
    <w:rsid w:val="00AE4DBA"/>
    <w:rsid w:val="00AE4F07"/>
    <w:rsid w:val="00AF1359"/>
    <w:rsid w:val="00AF1C5D"/>
    <w:rsid w:val="00AF42D7"/>
    <w:rsid w:val="00AF76B6"/>
    <w:rsid w:val="00B006FE"/>
    <w:rsid w:val="00B007CB"/>
    <w:rsid w:val="00B02AA9"/>
    <w:rsid w:val="00B02FA3"/>
    <w:rsid w:val="00B05084"/>
    <w:rsid w:val="00B07221"/>
    <w:rsid w:val="00B10D44"/>
    <w:rsid w:val="00B10F97"/>
    <w:rsid w:val="00B11C67"/>
    <w:rsid w:val="00B157F9"/>
    <w:rsid w:val="00B163CA"/>
    <w:rsid w:val="00B20256"/>
    <w:rsid w:val="00B20C32"/>
    <w:rsid w:val="00B20D09"/>
    <w:rsid w:val="00B21B3A"/>
    <w:rsid w:val="00B237EC"/>
    <w:rsid w:val="00B26E9B"/>
    <w:rsid w:val="00B2763F"/>
    <w:rsid w:val="00B27AAC"/>
    <w:rsid w:val="00B30929"/>
    <w:rsid w:val="00B372AA"/>
    <w:rsid w:val="00B40445"/>
    <w:rsid w:val="00B409E0"/>
    <w:rsid w:val="00B41333"/>
    <w:rsid w:val="00B41888"/>
    <w:rsid w:val="00B4236C"/>
    <w:rsid w:val="00B45A52"/>
    <w:rsid w:val="00B46175"/>
    <w:rsid w:val="00B50172"/>
    <w:rsid w:val="00B548B7"/>
    <w:rsid w:val="00B55F6C"/>
    <w:rsid w:val="00B664C7"/>
    <w:rsid w:val="00B6729F"/>
    <w:rsid w:val="00B739F6"/>
    <w:rsid w:val="00B75746"/>
    <w:rsid w:val="00B81A6C"/>
    <w:rsid w:val="00B83FC1"/>
    <w:rsid w:val="00B85DE5"/>
    <w:rsid w:val="00B90F73"/>
    <w:rsid w:val="00B914B1"/>
    <w:rsid w:val="00B9286B"/>
    <w:rsid w:val="00B93B59"/>
    <w:rsid w:val="00B9406A"/>
    <w:rsid w:val="00BA203D"/>
    <w:rsid w:val="00BA2280"/>
    <w:rsid w:val="00BA2A08"/>
    <w:rsid w:val="00BA3109"/>
    <w:rsid w:val="00BA3984"/>
    <w:rsid w:val="00BA4106"/>
    <w:rsid w:val="00BA56D2"/>
    <w:rsid w:val="00BA76E0"/>
    <w:rsid w:val="00BB13FB"/>
    <w:rsid w:val="00BB2A25"/>
    <w:rsid w:val="00BB353E"/>
    <w:rsid w:val="00BB51E9"/>
    <w:rsid w:val="00BC0FDC"/>
    <w:rsid w:val="00BC3053"/>
    <w:rsid w:val="00BC4592"/>
    <w:rsid w:val="00BC4D2E"/>
    <w:rsid w:val="00BC56ED"/>
    <w:rsid w:val="00BD4037"/>
    <w:rsid w:val="00BD48AC"/>
    <w:rsid w:val="00BD5F1A"/>
    <w:rsid w:val="00BD64EF"/>
    <w:rsid w:val="00BE1234"/>
    <w:rsid w:val="00BE2FA6"/>
    <w:rsid w:val="00BE333F"/>
    <w:rsid w:val="00BE7406"/>
    <w:rsid w:val="00BE7603"/>
    <w:rsid w:val="00BF3222"/>
    <w:rsid w:val="00BF3279"/>
    <w:rsid w:val="00BF3EA2"/>
    <w:rsid w:val="00BF74C7"/>
    <w:rsid w:val="00C015F1"/>
    <w:rsid w:val="00C01F33"/>
    <w:rsid w:val="00C02CC6"/>
    <w:rsid w:val="00C02DB1"/>
    <w:rsid w:val="00C040F7"/>
    <w:rsid w:val="00C044AB"/>
    <w:rsid w:val="00C05706"/>
    <w:rsid w:val="00C07377"/>
    <w:rsid w:val="00C10478"/>
    <w:rsid w:val="00C12107"/>
    <w:rsid w:val="00C14011"/>
    <w:rsid w:val="00C14D4B"/>
    <w:rsid w:val="00C154BB"/>
    <w:rsid w:val="00C17D77"/>
    <w:rsid w:val="00C216CE"/>
    <w:rsid w:val="00C21C04"/>
    <w:rsid w:val="00C279B5"/>
    <w:rsid w:val="00C27C45"/>
    <w:rsid w:val="00C35D83"/>
    <w:rsid w:val="00C3719D"/>
    <w:rsid w:val="00C37CB2"/>
    <w:rsid w:val="00C473A5"/>
    <w:rsid w:val="00C51B81"/>
    <w:rsid w:val="00C54995"/>
    <w:rsid w:val="00C54D41"/>
    <w:rsid w:val="00C60783"/>
    <w:rsid w:val="00C62DF0"/>
    <w:rsid w:val="00C645ED"/>
    <w:rsid w:val="00C64672"/>
    <w:rsid w:val="00C660D2"/>
    <w:rsid w:val="00C679D5"/>
    <w:rsid w:val="00C70697"/>
    <w:rsid w:val="00C71036"/>
    <w:rsid w:val="00C72093"/>
    <w:rsid w:val="00C72EF4"/>
    <w:rsid w:val="00C744FE"/>
    <w:rsid w:val="00C75D2F"/>
    <w:rsid w:val="00C767BE"/>
    <w:rsid w:val="00C7688B"/>
    <w:rsid w:val="00C76E3C"/>
    <w:rsid w:val="00C81568"/>
    <w:rsid w:val="00C9027A"/>
    <w:rsid w:val="00C9058D"/>
    <w:rsid w:val="00C9068E"/>
    <w:rsid w:val="00C93577"/>
    <w:rsid w:val="00C93814"/>
    <w:rsid w:val="00C93C4B"/>
    <w:rsid w:val="00C944AB"/>
    <w:rsid w:val="00C95B40"/>
    <w:rsid w:val="00CA1ED8"/>
    <w:rsid w:val="00CA6608"/>
    <w:rsid w:val="00CB1F63"/>
    <w:rsid w:val="00CB3C12"/>
    <w:rsid w:val="00CB7170"/>
    <w:rsid w:val="00CC040E"/>
    <w:rsid w:val="00CC111F"/>
    <w:rsid w:val="00CC2011"/>
    <w:rsid w:val="00CC3EA0"/>
    <w:rsid w:val="00CC7B45"/>
    <w:rsid w:val="00CD04DB"/>
    <w:rsid w:val="00CD1188"/>
    <w:rsid w:val="00CD1CC5"/>
    <w:rsid w:val="00CD2ED1"/>
    <w:rsid w:val="00CD337B"/>
    <w:rsid w:val="00CE0424"/>
    <w:rsid w:val="00CE2DE6"/>
    <w:rsid w:val="00CE7561"/>
    <w:rsid w:val="00CF1354"/>
    <w:rsid w:val="00CF2275"/>
    <w:rsid w:val="00CF3B1F"/>
    <w:rsid w:val="00CF3BF6"/>
    <w:rsid w:val="00CF5505"/>
    <w:rsid w:val="00CF625B"/>
    <w:rsid w:val="00CF687E"/>
    <w:rsid w:val="00D0349B"/>
    <w:rsid w:val="00D10249"/>
    <w:rsid w:val="00D115C3"/>
    <w:rsid w:val="00D11897"/>
    <w:rsid w:val="00D128F4"/>
    <w:rsid w:val="00D13135"/>
    <w:rsid w:val="00D13E4E"/>
    <w:rsid w:val="00D14F02"/>
    <w:rsid w:val="00D21B94"/>
    <w:rsid w:val="00D239A7"/>
    <w:rsid w:val="00D23F47"/>
    <w:rsid w:val="00D32C5C"/>
    <w:rsid w:val="00D3545B"/>
    <w:rsid w:val="00D36E71"/>
    <w:rsid w:val="00D37D87"/>
    <w:rsid w:val="00D40784"/>
    <w:rsid w:val="00D40B33"/>
    <w:rsid w:val="00D40F67"/>
    <w:rsid w:val="00D427B1"/>
    <w:rsid w:val="00D4318F"/>
    <w:rsid w:val="00D438BF"/>
    <w:rsid w:val="00D440F8"/>
    <w:rsid w:val="00D512B4"/>
    <w:rsid w:val="00D535D3"/>
    <w:rsid w:val="00D546FF"/>
    <w:rsid w:val="00D5492E"/>
    <w:rsid w:val="00D55AD5"/>
    <w:rsid w:val="00D55EBC"/>
    <w:rsid w:val="00D576CA"/>
    <w:rsid w:val="00D61AF5"/>
    <w:rsid w:val="00D620AF"/>
    <w:rsid w:val="00D652B5"/>
    <w:rsid w:val="00D65C4D"/>
    <w:rsid w:val="00D66155"/>
    <w:rsid w:val="00D708B0"/>
    <w:rsid w:val="00D71207"/>
    <w:rsid w:val="00D77B1D"/>
    <w:rsid w:val="00D8021F"/>
    <w:rsid w:val="00D80383"/>
    <w:rsid w:val="00D80437"/>
    <w:rsid w:val="00D823C6"/>
    <w:rsid w:val="00D8327F"/>
    <w:rsid w:val="00D8610C"/>
    <w:rsid w:val="00D86CA3"/>
    <w:rsid w:val="00D871CE"/>
    <w:rsid w:val="00D906A4"/>
    <w:rsid w:val="00D9196D"/>
    <w:rsid w:val="00D92982"/>
    <w:rsid w:val="00DA1F0B"/>
    <w:rsid w:val="00DA305E"/>
    <w:rsid w:val="00DA5417"/>
    <w:rsid w:val="00DA56E8"/>
    <w:rsid w:val="00DA79AA"/>
    <w:rsid w:val="00DB0A9F"/>
    <w:rsid w:val="00DB377D"/>
    <w:rsid w:val="00DC05F7"/>
    <w:rsid w:val="00DC1AEC"/>
    <w:rsid w:val="00DC2473"/>
    <w:rsid w:val="00DC2D36"/>
    <w:rsid w:val="00DC39AB"/>
    <w:rsid w:val="00DC4A62"/>
    <w:rsid w:val="00DC53EF"/>
    <w:rsid w:val="00DD1D09"/>
    <w:rsid w:val="00DE26F7"/>
    <w:rsid w:val="00DE5608"/>
    <w:rsid w:val="00DE58D0"/>
    <w:rsid w:val="00DE654F"/>
    <w:rsid w:val="00DF0B6E"/>
    <w:rsid w:val="00DF15E0"/>
    <w:rsid w:val="00DF37A0"/>
    <w:rsid w:val="00E10C78"/>
    <w:rsid w:val="00E110E7"/>
    <w:rsid w:val="00E11B20"/>
    <w:rsid w:val="00E12DAC"/>
    <w:rsid w:val="00E14614"/>
    <w:rsid w:val="00E15278"/>
    <w:rsid w:val="00E17FA2"/>
    <w:rsid w:val="00E22330"/>
    <w:rsid w:val="00E26920"/>
    <w:rsid w:val="00E26EF8"/>
    <w:rsid w:val="00E30B5A"/>
    <w:rsid w:val="00E30D5E"/>
    <w:rsid w:val="00E3123D"/>
    <w:rsid w:val="00E31461"/>
    <w:rsid w:val="00E31D43"/>
    <w:rsid w:val="00E32608"/>
    <w:rsid w:val="00E34188"/>
    <w:rsid w:val="00E34B6E"/>
    <w:rsid w:val="00E35559"/>
    <w:rsid w:val="00E35FC7"/>
    <w:rsid w:val="00E3723A"/>
    <w:rsid w:val="00E37860"/>
    <w:rsid w:val="00E4439E"/>
    <w:rsid w:val="00E446F1"/>
    <w:rsid w:val="00E4560D"/>
    <w:rsid w:val="00E45883"/>
    <w:rsid w:val="00E46886"/>
    <w:rsid w:val="00E47AEF"/>
    <w:rsid w:val="00E5212D"/>
    <w:rsid w:val="00E52485"/>
    <w:rsid w:val="00E53B75"/>
    <w:rsid w:val="00E54E3B"/>
    <w:rsid w:val="00E56861"/>
    <w:rsid w:val="00E57565"/>
    <w:rsid w:val="00E63838"/>
    <w:rsid w:val="00E64434"/>
    <w:rsid w:val="00E67C51"/>
    <w:rsid w:val="00E72EFC"/>
    <w:rsid w:val="00E758EC"/>
    <w:rsid w:val="00E77037"/>
    <w:rsid w:val="00E8234C"/>
    <w:rsid w:val="00E83AA9"/>
    <w:rsid w:val="00E85928"/>
    <w:rsid w:val="00E86DD0"/>
    <w:rsid w:val="00E87822"/>
    <w:rsid w:val="00E90395"/>
    <w:rsid w:val="00E90E49"/>
    <w:rsid w:val="00E917F9"/>
    <w:rsid w:val="00E91F90"/>
    <w:rsid w:val="00E9291C"/>
    <w:rsid w:val="00E93FFE"/>
    <w:rsid w:val="00E94F8A"/>
    <w:rsid w:val="00EA4696"/>
    <w:rsid w:val="00EA4CDD"/>
    <w:rsid w:val="00EA7A41"/>
    <w:rsid w:val="00EB077B"/>
    <w:rsid w:val="00EB4EA2"/>
    <w:rsid w:val="00EB534E"/>
    <w:rsid w:val="00EC24D5"/>
    <w:rsid w:val="00EC27C6"/>
    <w:rsid w:val="00EC32DA"/>
    <w:rsid w:val="00EC4207"/>
    <w:rsid w:val="00EC5653"/>
    <w:rsid w:val="00EC71CE"/>
    <w:rsid w:val="00ED1006"/>
    <w:rsid w:val="00ED33C7"/>
    <w:rsid w:val="00EE1A22"/>
    <w:rsid w:val="00EF1100"/>
    <w:rsid w:val="00EF11D3"/>
    <w:rsid w:val="00EF18FE"/>
    <w:rsid w:val="00EF4168"/>
    <w:rsid w:val="00EF5787"/>
    <w:rsid w:val="00EF60D0"/>
    <w:rsid w:val="00EF7153"/>
    <w:rsid w:val="00EF76A6"/>
    <w:rsid w:val="00F04692"/>
    <w:rsid w:val="00F0528D"/>
    <w:rsid w:val="00F06360"/>
    <w:rsid w:val="00F06C67"/>
    <w:rsid w:val="00F06DFD"/>
    <w:rsid w:val="00F071D1"/>
    <w:rsid w:val="00F07533"/>
    <w:rsid w:val="00F07DF1"/>
    <w:rsid w:val="00F10629"/>
    <w:rsid w:val="00F10935"/>
    <w:rsid w:val="00F15717"/>
    <w:rsid w:val="00F15FA5"/>
    <w:rsid w:val="00F16975"/>
    <w:rsid w:val="00F1711A"/>
    <w:rsid w:val="00F209B7"/>
    <w:rsid w:val="00F22FA7"/>
    <w:rsid w:val="00F2376F"/>
    <w:rsid w:val="00F243D8"/>
    <w:rsid w:val="00F30828"/>
    <w:rsid w:val="00F313D6"/>
    <w:rsid w:val="00F37534"/>
    <w:rsid w:val="00F378BC"/>
    <w:rsid w:val="00F409CE"/>
    <w:rsid w:val="00F40F0C"/>
    <w:rsid w:val="00F4421D"/>
    <w:rsid w:val="00F47330"/>
    <w:rsid w:val="00F4766C"/>
    <w:rsid w:val="00F47BA9"/>
    <w:rsid w:val="00F5060E"/>
    <w:rsid w:val="00F507D1"/>
    <w:rsid w:val="00F51048"/>
    <w:rsid w:val="00F514C5"/>
    <w:rsid w:val="00F519CE"/>
    <w:rsid w:val="00F51ADA"/>
    <w:rsid w:val="00F53F7F"/>
    <w:rsid w:val="00F56142"/>
    <w:rsid w:val="00F57FAF"/>
    <w:rsid w:val="00F60203"/>
    <w:rsid w:val="00F607C5"/>
    <w:rsid w:val="00F60DEA"/>
    <w:rsid w:val="00F61001"/>
    <w:rsid w:val="00F6302A"/>
    <w:rsid w:val="00F63950"/>
    <w:rsid w:val="00F64C2B"/>
    <w:rsid w:val="00F651BE"/>
    <w:rsid w:val="00F67F53"/>
    <w:rsid w:val="00F703BE"/>
    <w:rsid w:val="00F70B9A"/>
    <w:rsid w:val="00F713D3"/>
    <w:rsid w:val="00F71F4F"/>
    <w:rsid w:val="00F71F69"/>
    <w:rsid w:val="00F72B72"/>
    <w:rsid w:val="00F74BB9"/>
    <w:rsid w:val="00F75582"/>
    <w:rsid w:val="00F76EFA"/>
    <w:rsid w:val="00F804BE"/>
    <w:rsid w:val="00F80AC4"/>
    <w:rsid w:val="00F817CE"/>
    <w:rsid w:val="00F83359"/>
    <w:rsid w:val="00F8456C"/>
    <w:rsid w:val="00F859D8"/>
    <w:rsid w:val="00F868F5"/>
    <w:rsid w:val="00F9056A"/>
    <w:rsid w:val="00F90F8D"/>
    <w:rsid w:val="00F92782"/>
    <w:rsid w:val="00F93AA9"/>
    <w:rsid w:val="00F95137"/>
    <w:rsid w:val="00F96985"/>
    <w:rsid w:val="00F97838"/>
    <w:rsid w:val="00F97BB9"/>
    <w:rsid w:val="00FA01EA"/>
    <w:rsid w:val="00FA2BB3"/>
    <w:rsid w:val="00FA616E"/>
    <w:rsid w:val="00FB449A"/>
    <w:rsid w:val="00FB4C80"/>
    <w:rsid w:val="00FB6A6A"/>
    <w:rsid w:val="00FC6E88"/>
    <w:rsid w:val="00FC7429"/>
    <w:rsid w:val="00FD07F6"/>
    <w:rsid w:val="00FD1EC8"/>
    <w:rsid w:val="00FD47ED"/>
    <w:rsid w:val="00FD74DB"/>
    <w:rsid w:val="00FD7660"/>
    <w:rsid w:val="00FE0655"/>
    <w:rsid w:val="00FE12F1"/>
    <w:rsid w:val="00FE2365"/>
    <w:rsid w:val="00FE2A4A"/>
    <w:rsid w:val="00FE37D7"/>
    <w:rsid w:val="00FE3B48"/>
    <w:rsid w:val="00FE4C7B"/>
    <w:rsid w:val="00FE7336"/>
    <w:rsid w:val="00FE787C"/>
    <w:rsid w:val="00FF4421"/>
    <w:rsid w:val="00FF45A5"/>
    <w:rsid w:val="00FF5C91"/>
    <w:rsid w:val="1F140BD7"/>
    <w:rsid w:val="23582ED9"/>
    <w:rsid w:val="71E6415A"/>
    <w:rsid w:val="72A37E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2597E1"/>
  <w15:docId w15:val="{51531119-F68B-446C-94D5-D39CF882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B72"/>
    <w:pPr>
      <w:spacing w:after="160" w:line="259" w:lineRule="auto"/>
    </w:pPr>
    <w:rPr>
      <w:rFonts w:asciiTheme="minorHAnsi" w:eastAsiaTheme="minorEastAsia" w:hAnsiTheme="minorHAnsi" w:cstheme="minorBidi"/>
      <w:sz w:val="22"/>
      <w:szCs w:val="22"/>
      <w:lang w:val="fr-F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6E3B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3B72"/>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Normal"/>
    <w:link w:val="ProposalChar"/>
    <w:qFormat/>
    <w:pPr>
      <w:tabs>
        <w:tab w:val="left" w:pos="720"/>
      </w:tabs>
      <w:spacing w:after="180"/>
    </w:pPr>
    <w:rPr>
      <w:rFonts w:eastAsia="Batang" w:cs="Times New Roman"/>
      <w:b/>
      <w:szCs w:val="20"/>
      <w:lang w:val="en-GB"/>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Lista1,?? ??,?????,????,목록 단락,リスト段落,列出段落1,中等深浅网格 1 - 着色 21,1st level - Bullet List Paragraph,Lettre d'introduction,Paragrafo elenco,Normal bullet 2,Bullet list,Numbered List,¥¡¡¡¡ì¬º¥¹¥È¶ÎÂä,ÁÐ³ö¶ÎÂä,列表段落1,列,—ño’i—Ž,¥ê¥¹¥È¶ÎÂä"/>
    <w:basedOn w:val="Normal"/>
    <w:link w:val="ListParagraphChar"/>
    <w:uiPriority w:val="34"/>
    <w:qFormat/>
    <w:pPr>
      <w:ind w:left="720"/>
      <w:contextualSpacing/>
    </w:pPr>
  </w:style>
  <w:style w:type="character" w:customStyle="1" w:styleId="ListParagraphChar">
    <w:name w:val="List Paragraph Char"/>
    <w:aliases w:val="- Bullets Char,Lista1 Char,?? ?? Char,????? Char,???? Char,목록 단락 Char,リスト段落 Char,列出段落1 Char,中等深浅网格 1 - 着色 21 Char,1st level - Bullet List Paragraph Char,Lettre d'introduction Char,Paragrafo elenco Char,Normal bullet 2 Char,列表段落1 Char"/>
    <w:link w:val="ListParagraph"/>
    <w:uiPriority w:val="34"/>
    <w:qFormat/>
    <w:locked/>
    <w:rPr>
      <w:rFonts w:asciiTheme="minorHAnsi" w:eastAsiaTheme="minorHAnsi" w:hAnsiTheme="minorHAnsi" w:cstheme="minorBidi"/>
      <w:kern w:val="2"/>
      <w:sz w:val="22"/>
      <w:szCs w:val="22"/>
      <w14:ligatures w14:val="standardContextual"/>
    </w:rPr>
  </w:style>
  <w:style w:type="paragraph" w:customStyle="1" w:styleId="NF">
    <w:name w:val="NF"/>
    <w:basedOn w:val="NO"/>
    <w:pPr>
      <w:keepNext/>
    </w:pPr>
    <w:rPr>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eastAsia="Malgun Gothic"/>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table" w:customStyle="1" w:styleId="GridTable41">
    <w:name w:val="Grid Table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uiPriority w:val="48"/>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Revision1">
    <w:name w:val="Revision1"/>
    <w:hidden/>
    <w:uiPriority w:val="99"/>
    <w:semiHidden/>
    <w:rPr>
      <w:rFonts w:ascii="Arial" w:hAnsi="Arial"/>
      <w:lang w:val="en-GB" w:eastAsia="ja-JP"/>
    </w:rPr>
  </w:style>
  <w:style w:type="paragraph" w:customStyle="1" w:styleId="Comments">
    <w:name w:val="Comments"/>
    <w:basedOn w:val="ListParagraph"/>
    <w:link w:val="CommentsChar"/>
    <w:qFormat/>
    <w:pPr>
      <w:numPr>
        <w:numId w:val="13"/>
      </w:numPr>
    </w:pPr>
    <w:rPr>
      <w:rFonts w:ascii="Arial Narrow" w:hAnsi="Arial Narrow"/>
      <w:color w:val="833C0B" w:themeColor="accent2" w:themeShade="80"/>
    </w:rPr>
  </w:style>
  <w:style w:type="character" w:customStyle="1" w:styleId="CommentsChar">
    <w:name w:val="Comments Char"/>
    <w:basedOn w:val="DefaultParagraphFont"/>
    <w:link w:val="Comments"/>
    <w:qFormat/>
    <w:rPr>
      <w:rFonts w:ascii="Arial Narrow" w:eastAsiaTheme="minorHAnsi" w:hAnsi="Arial Narrow" w:cstheme="minorBidi"/>
      <w:color w:val="833C0B" w:themeColor="accent2" w:themeShade="80"/>
      <w:kern w:val="2"/>
      <w:sz w:val="22"/>
      <w:szCs w:val="22"/>
      <w14:ligatures w14:val="standardContextual"/>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DefaultParagraphFont"/>
    <w:link w:val="font14-underline-title"/>
    <w:rPr>
      <w:rFonts w:asciiTheme="minorHAnsi" w:eastAsiaTheme="minorHAnsi" w:hAnsiTheme="minorHAnsi" w:cstheme="minorBidi"/>
      <w:color w:val="2F5496" w:themeColor="accent1" w:themeShade="BF"/>
      <w:kern w:val="2"/>
      <w:sz w:val="28"/>
      <w:szCs w:val="28"/>
      <w:u w:val="single"/>
      <w14:ligatures w14:val="standardContextual"/>
    </w:rPr>
  </w:style>
  <w:style w:type="character" w:customStyle="1" w:styleId="ProposalChar">
    <w:name w:val="Proposal Char"/>
    <w:basedOn w:val="DefaultParagraphFont"/>
    <w:link w:val="Proposal"/>
    <w:qFormat/>
    <w:rPr>
      <w:rFonts w:ascii="Times New Roman" w:eastAsia="Batang" w:hAnsi="Times New Roman"/>
      <w:b/>
      <w:kern w:val="2"/>
      <w:lang w:val="en-GB"/>
      <w14:ligatures w14:val="standardContextual"/>
    </w:rPr>
  </w:style>
  <w:style w:type="paragraph" w:customStyle="1" w:styleId="Comment-2">
    <w:name w:val="Comment-2"/>
    <w:basedOn w:val="Comments"/>
    <w:link w:val="Comment-2Char"/>
    <w:qFormat/>
    <w:pPr>
      <w:numPr>
        <w:numId w:val="0"/>
      </w:numPr>
      <w:ind w:left="360" w:hanging="360"/>
    </w:pPr>
    <w:rPr>
      <w:color w:val="2F5496" w:themeColor="accent1" w:themeShade="BF"/>
    </w:rPr>
  </w:style>
  <w:style w:type="character" w:customStyle="1" w:styleId="Comment-2Char">
    <w:name w:val="Comment-2 Char"/>
    <w:basedOn w:val="CommentsChar"/>
    <w:link w:val="Comment-2"/>
    <w:rPr>
      <w:rFonts w:ascii="Arial Narrow" w:eastAsiaTheme="minorHAnsi" w:hAnsi="Arial Narrow" w:cstheme="minorBidi"/>
      <w:color w:val="2F5496" w:themeColor="accent1" w:themeShade="BF"/>
      <w:kern w:val="2"/>
      <w:sz w:val="22"/>
      <w:szCs w:val="22"/>
      <w14:ligatures w14:val="standardContextual"/>
    </w:rPr>
  </w:style>
  <w:style w:type="character" w:customStyle="1" w:styleId="EmailDiscussionChar">
    <w:name w:val="EmailDiscussion Char"/>
    <w:link w:val="EmailDiscussion"/>
    <w:qFormat/>
    <w:rsid w:val="00EF76A6"/>
    <w:rPr>
      <w:rFonts w:ascii="Times New Roman" w:eastAsia="MS Mincho" w:hAnsi="Times New Roman" w:cstheme="minorBidi"/>
      <w:b/>
      <w:szCs w:val="24"/>
      <w:lang w:val="en-US" w:eastAsia="en-GB"/>
    </w:rPr>
  </w:style>
  <w:style w:type="paragraph" w:customStyle="1" w:styleId="EmailDiscussion2">
    <w:name w:val="EmailDiscussion2"/>
    <w:basedOn w:val="Doc-text2"/>
    <w:uiPriority w:val="99"/>
    <w:qFormat/>
    <w:rsid w:val="00EF76A6"/>
    <w:pPr>
      <w:spacing w:after="0" w:line="240" w:lineRule="auto"/>
    </w:pPr>
    <w:rPr>
      <w:rFonts w:ascii="Arial" w:hAnsi="Arial" w:cs="Times New Roman"/>
      <w:lang w:val="en-GB" w:eastAsia="en-GB"/>
    </w:rPr>
  </w:style>
  <w:style w:type="paragraph" w:customStyle="1" w:styleId="INDENT3">
    <w:name w:val="INDENT3"/>
    <w:basedOn w:val="Normal"/>
    <w:rsid w:val="00372071"/>
    <w:pPr>
      <w:spacing w:after="180" w:line="240" w:lineRule="auto"/>
      <w:ind w:left="1701" w:hanging="567"/>
    </w:pPr>
    <w:rPr>
      <w:rFonts w:cs="Times New Roman"/>
      <w:szCs w:val="20"/>
      <w:lang w:val="en-GB"/>
    </w:rPr>
  </w:style>
  <w:style w:type="character" w:customStyle="1" w:styleId="TANChar">
    <w:name w:val="TAN Char"/>
    <w:basedOn w:val="TALCar"/>
    <w:link w:val="TAN"/>
    <w:rsid w:val="00372071"/>
    <w:rPr>
      <w:rFonts w:ascii="Times New Roman" w:eastAsiaTheme="minorHAnsi" w:hAnsi="Times New Roman" w:cstheme="minorBidi"/>
      <w:sz w:val="18"/>
      <w:szCs w:val="22"/>
      <w:lang w:val="zh-CN" w:eastAsia="en-US"/>
    </w:rPr>
  </w:style>
  <w:style w:type="paragraph" w:styleId="Revision">
    <w:name w:val="Revision"/>
    <w:hidden/>
    <w:uiPriority w:val="99"/>
    <w:semiHidden/>
    <w:rsid w:val="00082E3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91326">
      <w:bodyDiv w:val="1"/>
      <w:marLeft w:val="0"/>
      <w:marRight w:val="0"/>
      <w:marTop w:val="0"/>
      <w:marBottom w:val="0"/>
      <w:divBdr>
        <w:top w:val="none" w:sz="0" w:space="0" w:color="auto"/>
        <w:left w:val="none" w:sz="0" w:space="0" w:color="auto"/>
        <w:bottom w:val="none" w:sz="0" w:space="0" w:color="auto"/>
        <w:right w:val="none" w:sz="0" w:space="0" w:color="auto"/>
      </w:divBdr>
    </w:div>
    <w:div w:id="411195017">
      <w:bodyDiv w:val="1"/>
      <w:marLeft w:val="0"/>
      <w:marRight w:val="0"/>
      <w:marTop w:val="0"/>
      <w:marBottom w:val="0"/>
      <w:divBdr>
        <w:top w:val="none" w:sz="0" w:space="0" w:color="auto"/>
        <w:left w:val="none" w:sz="0" w:space="0" w:color="auto"/>
        <w:bottom w:val="none" w:sz="0" w:space="0" w:color="auto"/>
        <w:right w:val="none" w:sz="0" w:space="0" w:color="auto"/>
      </w:divBdr>
    </w:div>
    <w:div w:id="524904051">
      <w:bodyDiv w:val="1"/>
      <w:marLeft w:val="0"/>
      <w:marRight w:val="0"/>
      <w:marTop w:val="0"/>
      <w:marBottom w:val="0"/>
      <w:divBdr>
        <w:top w:val="none" w:sz="0" w:space="0" w:color="auto"/>
        <w:left w:val="none" w:sz="0" w:space="0" w:color="auto"/>
        <w:bottom w:val="none" w:sz="0" w:space="0" w:color="auto"/>
        <w:right w:val="none" w:sz="0" w:space="0" w:color="auto"/>
      </w:divBdr>
    </w:div>
    <w:div w:id="912617300">
      <w:bodyDiv w:val="1"/>
      <w:marLeft w:val="0"/>
      <w:marRight w:val="0"/>
      <w:marTop w:val="0"/>
      <w:marBottom w:val="0"/>
      <w:divBdr>
        <w:top w:val="none" w:sz="0" w:space="0" w:color="auto"/>
        <w:left w:val="none" w:sz="0" w:space="0" w:color="auto"/>
        <w:bottom w:val="none" w:sz="0" w:space="0" w:color="auto"/>
        <w:right w:val="none" w:sz="0" w:space="0" w:color="auto"/>
      </w:divBdr>
    </w:div>
    <w:div w:id="1155951570">
      <w:bodyDiv w:val="1"/>
      <w:marLeft w:val="0"/>
      <w:marRight w:val="0"/>
      <w:marTop w:val="0"/>
      <w:marBottom w:val="0"/>
      <w:divBdr>
        <w:top w:val="none" w:sz="0" w:space="0" w:color="auto"/>
        <w:left w:val="none" w:sz="0" w:space="0" w:color="auto"/>
        <w:bottom w:val="none" w:sz="0" w:space="0" w:color="auto"/>
        <w:right w:val="none" w:sz="0" w:space="0" w:color="auto"/>
      </w:divBdr>
    </w:div>
    <w:div w:id="1445465883">
      <w:bodyDiv w:val="1"/>
      <w:marLeft w:val="0"/>
      <w:marRight w:val="0"/>
      <w:marTop w:val="0"/>
      <w:marBottom w:val="0"/>
      <w:divBdr>
        <w:top w:val="none" w:sz="0" w:space="0" w:color="auto"/>
        <w:left w:val="none" w:sz="0" w:space="0" w:color="auto"/>
        <w:bottom w:val="none" w:sz="0" w:space="0" w:color="auto"/>
        <w:right w:val="none" w:sz="0" w:space="0" w:color="auto"/>
      </w:divBdr>
    </w:div>
    <w:div w:id="1814249992">
      <w:bodyDiv w:val="1"/>
      <w:marLeft w:val="0"/>
      <w:marRight w:val="0"/>
      <w:marTop w:val="0"/>
      <w:marBottom w:val="0"/>
      <w:divBdr>
        <w:top w:val="none" w:sz="0" w:space="0" w:color="auto"/>
        <w:left w:val="none" w:sz="0" w:space="0" w:color="auto"/>
        <w:bottom w:val="none" w:sz="0" w:space="0" w:color="auto"/>
        <w:right w:val="none" w:sz="0" w:space="0" w:color="auto"/>
      </w:divBdr>
    </w:div>
    <w:div w:id="1842087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A8A1A-4FCB-4C10-8643-567AB157AFFC}">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E19A4DA7-3A09-4758-BD38-8FA0D336FDE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8709C10-76E2-40B9-AAA6-1ADCB7F95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D3CFA6-1924-4C0A-992C-956429DB6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1480</Words>
  <Characters>8143</Characters>
  <Application>Microsoft Office Word</Application>
  <DocSecurity>0</DocSecurity>
  <Lines>67</Lines>
  <Paragraphs>19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Ericsson</vt:lpstr>
      <vt:lpstr>1	Introduction</vt:lpstr>
      <vt:lpstr>2	Remaining issues</vt:lpstr>
      <vt:lpstr>    2.1	CP latency</vt:lpstr>
      <vt:lpstr>    2.2	UP latency DL</vt:lpstr>
      <vt:lpstr>    2.3	UP latency UL</vt:lpstr>
      <vt:lpstr>    2.4	LS to RAN1</vt:lpstr>
      <vt:lpstr>4	Conclusions</vt:lpstr>
      <vt:lpstr>5	References</vt:lpstr>
    </vt:vector>
  </TitlesOfParts>
  <Company>Ericsson</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Thales, Flavien Ronteix</cp:lastModifiedBy>
  <cp:revision>3</cp:revision>
  <cp:lastPrinted>2008-02-01T02:09:00Z</cp:lastPrinted>
  <dcterms:created xsi:type="dcterms:W3CDTF">2023-09-12T12:42:00Z</dcterms:created>
  <dcterms:modified xsi:type="dcterms:W3CDTF">2023-09-21T15:05:00Z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ediaServiceImageTags">
    <vt:lpwstr/>
  </property>
  <property fmtid="{D5CDD505-2E9C-101B-9397-08002B2CF9AE}" pid="15" name="KSOProductBuildVer">
    <vt:lpwstr>2052-11.8.2.9022</vt:lpwstr>
  </property>
  <property fmtid="{D5CDD505-2E9C-101B-9397-08002B2CF9AE}" pid="16" name="CWM13e644c0419311ee8000253600002436">
    <vt:lpwstr>CWM3H4ULtIaAnUMqyQ5qgWZ1bmQrwezsapC9F1weJVynBFwVoklwc9wJ5p8JM6jy7Js+iLOFI5lc8zeDCu4V8HPGA==</vt:lpwstr>
  </property>
  <property fmtid="{D5CDD505-2E9C-101B-9397-08002B2CF9AE}" pid="17" name="MSIP_Label_83bcef13-7cac-433f-ba1d-47a323951816_Enabled">
    <vt:lpwstr>true</vt:lpwstr>
  </property>
  <property fmtid="{D5CDD505-2E9C-101B-9397-08002B2CF9AE}" pid="18" name="MSIP_Label_83bcef13-7cac-433f-ba1d-47a323951816_SetDate">
    <vt:lpwstr>2023-08-23T11:57:22Z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be579d30-4be0-4e22-94f6-cd1b979c120d</vt:lpwstr>
  </property>
  <property fmtid="{D5CDD505-2E9C-101B-9397-08002B2CF9AE}" pid="23" name="MSIP_Label_83bcef13-7cac-433f-ba1d-47a323951816_ContentBits">
    <vt:lpwstr>0</vt:lpwstr>
  </property>
</Properties>
</file>