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AB51D" w14:textId="40A46463" w:rsidR="0094357C" w:rsidRDefault="00000000">
      <w:pPr>
        <w:pStyle w:val="Header"/>
        <w:tabs>
          <w:tab w:val="right" w:pos="9639"/>
        </w:tabs>
        <w:rPr>
          <w:bCs/>
          <w:i/>
          <w:sz w:val="24"/>
          <w:szCs w:val="24"/>
        </w:rPr>
      </w:pPr>
      <w:r>
        <w:rPr>
          <w:bCs/>
          <w:sz w:val="24"/>
          <w:szCs w:val="24"/>
        </w:rPr>
        <w:t>3GPP TSG-RAN WG2 Meeting #123</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026AB51E" w14:textId="77777777" w:rsidR="0094357C" w:rsidRDefault="00000000">
      <w:pPr>
        <w:pStyle w:val="Header"/>
        <w:tabs>
          <w:tab w:val="right" w:pos="9639"/>
        </w:tabs>
        <w:rPr>
          <w:bCs/>
          <w:sz w:val="24"/>
          <w:szCs w:val="24"/>
          <w:lang w:eastAsia="zh-CN"/>
        </w:rPr>
      </w:pPr>
      <w:r>
        <w:rPr>
          <w:bCs/>
          <w:sz w:val="24"/>
          <w:szCs w:val="24"/>
          <w:lang w:eastAsia="zh-CN"/>
        </w:rPr>
        <w:t>Toulouse, France, 21– 25 August 2023</w:t>
      </w:r>
    </w:p>
    <w:p w14:paraId="026AB51F" w14:textId="77777777" w:rsidR="0094357C" w:rsidRDefault="0094357C">
      <w:pPr>
        <w:pStyle w:val="Header"/>
        <w:rPr>
          <w:bCs/>
          <w:sz w:val="24"/>
        </w:rPr>
      </w:pPr>
    </w:p>
    <w:p w14:paraId="026AB520" w14:textId="77777777" w:rsidR="0094357C" w:rsidRDefault="0094357C">
      <w:pPr>
        <w:pStyle w:val="Header"/>
        <w:rPr>
          <w:bCs/>
          <w:sz w:val="24"/>
        </w:rPr>
      </w:pPr>
    </w:p>
    <w:p w14:paraId="026AB521" w14:textId="77777777" w:rsidR="0094357C" w:rsidRDefault="00000000">
      <w:pPr>
        <w:pStyle w:val="CRCoverPage"/>
        <w:tabs>
          <w:tab w:val="left" w:pos="1985"/>
        </w:tabs>
        <w:rPr>
          <w:rFonts w:cs="Arial"/>
          <w:b/>
          <w:bCs/>
          <w:sz w:val="24"/>
          <w:lang w:eastAsia="ja-JP"/>
        </w:rPr>
      </w:pPr>
      <w:r>
        <w:rPr>
          <w:rFonts w:cs="Arial"/>
          <w:b/>
          <w:bCs/>
          <w:sz w:val="24"/>
        </w:rPr>
        <w:t>Agenda item:</w:t>
      </w:r>
      <w:r>
        <w:rPr>
          <w:rFonts w:cs="Arial"/>
          <w:b/>
          <w:bCs/>
          <w:sz w:val="24"/>
        </w:rPr>
        <w:tab/>
        <w:t>7.12</w:t>
      </w:r>
      <w:r>
        <w:rPr>
          <w:rFonts w:cs="Arial"/>
          <w:b/>
          <w:bCs/>
          <w:sz w:val="24"/>
          <w:lang w:eastAsia="ja-JP"/>
        </w:rPr>
        <w:t>.1</w:t>
      </w:r>
    </w:p>
    <w:p w14:paraId="026AB522" w14:textId="77777777" w:rsidR="0094357C" w:rsidRDefault="0000000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26AB523" w14:textId="200914CD" w:rsidR="0094357C" w:rsidRDefault="00000000">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ab/>
      </w:r>
      <w:r w:rsidR="001036D0">
        <w:rPr>
          <w:rFonts w:ascii="Arial" w:hAnsi="Arial" w:cs="Arial"/>
          <w:b/>
          <w:bCs/>
          <w:sz w:val="24"/>
        </w:rPr>
        <w:t xml:space="preserve">Summary of </w:t>
      </w:r>
      <w:r w:rsidR="001036D0" w:rsidRPr="001036D0">
        <w:rPr>
          <w:rFonts w:ascii="Arial" w:hAnsi="Arial" w:cs="Arial"/>
          <w:b/>
          <w:bCs/>
          <w:sz w:val="24"/>
        </w:rPr>
        <w:t>[Post123][</w:t>
      </w:r>
      <w:proofErr w:type="gramStart"/>
      <w:r w:rsidR="001036D0" w:rsidRPr="001036D0">
        <w:rPr>
          <w:rFonts w:ascii="Arial" w:hAnsi="Arial" w:cs="Arial"/>
          <w:b/>
          <w:bCs/>
          <w:sz w:val="24"/>
        </w:rPr>
        <w:t>051][</w:t>
      </w:r>
      <w:proofErr w:type="spellStart"/>
      <w:proofErr w:type="gramEnd"/>
      <w:r w:rsidR="001036D0" w:rsidRPr="001036D0">
        <w:rPr>
          <w:rFonts w:ascii="Arial" w:hAnsi="Arial" w:cs="Arial"/>
          <w:b/>
          <w:bCs/>
          <w:sz w:val="24"/>
        </w:rPr>
        <w:t>mIAB</w:t>
      </w:r>
      <w:proofErr w:type="spellEnd"/>
      <w:r w:rsidR="001036D0" w:rsidRPr="001036D0">
        <w:rPr>
          <w:rFonts w:ascii="Arial" w:hAnsi="Arial" w:cs="Arial"/>
          <w:b/>
          <w:bCs/>
          <w:sz w:val="24"/>
        </w:rPr>
        <w:t>] Running CRs UE caps (Nokia)</w:t>
      </w:r>
    </w:p>
    <w:p w14:paraId="026AB524" w14:textId="77777777" w:rsidR="0094357C" w:rsidRDefault="0000000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NR_mobile_IAB</w:t>
      </w:r>
      <w:proofErr w:type="spellEnd"/>
      <w:r>
        <w:rPr>
          <w:rFonts w:ascii="Arial" w:hAnsi="Arial" w:cs="Arial"/>
          <w:b/>
          <w:bCs/>
          <w:sz w:val="24"/>
        </w:rPr>
        <w:t>-Core - Release 18</w:t>
      </w:r>
    </w:p>
    <w:p w14:paraId="026AB525" w14:textId="77777777" w:rsidR="0094357C" w:rsidRDefault="0000000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26AB526" w14:textId="77777777" w:rsidR="0094357C" w:rsidRDefault="00000000">
      <w:pPr>
        <w:pStyle w:val="Heading1"/>
      </w:pPr>
      <w:r>
        <w:t>1</w:t>
      </w:r>
      <w:r>
        <w:tab/>
        <w:t>Introduction</w:t>
      </w:r>
    </w:p>
    <w:p w14:paraId="05C69F4F" w14:textId="77777777" w:rsidR="00997C62" w:rsidRDefault="00997C62" w:rsidP="00997C62">
      <w:r w:rsidRPr="003600FF">
        <w:t>This document is the report of the following email discussion:</w:t>
      </w:r>
    </w:p>
    <w:p w14:paraId="51F642C1" w14:textId="77777777" w:rsidR="000F7495" w:rsidRDefault="000F7495" w:rsidP="000F7495">
      <w:pPr>
        <w:pStyle w:val="EmailDiscussion"/>
        <w:numPr>
          <w:ilvl w:val="0"/>
          <w:numId w:val="3"/>
        </w:numPr>
        <w:tabs>
          <w:tab w:val="num" w:pos="1619"/>
        </w:tabs>
        <w:rPr>
          <w:lang w:val="fr-FR"/>
        </w:rPr>
      </w:pPr>
      <w:bookmarkStart w:id="0" w:name="OLE_LINK5"/>
      <w:r>
        <w:rPr>
          <w:lang w:val="fr-FR"/>
        </w:rPr>
        <w:t>[Post123][051][</w:t>
      </w:r>
      <w:proofErr w:type="spellStart"/>
      <w:r>
        <w:rPr>
          <w:lang w:val="fr-FR"/>
        </w:rPr>
        <w:t>mIAB</w:t>
      </w:r>
      <w:proofErr w:type="spellEnd"/>
      <w:r>
        <w:rPr>
          <w:lang w:val="fr-FR"/>
        </w:rPr>
        <w:t xml:space="preserve">] Running </w:t>
      </w:r>
      <w:proofErr w:type="spellStart"/>
      <w:r>
        <w:rPr>
          <w:lang w:val="fr-FR"/>
        </w:rPr>
        <w:t>CRs</w:t>
      </w:r>
      <w:proofErr w:type="spellEnd"/>
      <w:r>
        <w:rPr>
          <w:lang w:val="fr-FR"/>
        </w:rPr>
        <w:t xml:space="preserve"> UE caps (Nokia)</w:t>
      </w:r>
      <w:bookmarkEnd w:id="0"/>
    </w:p>
    <w:p w14:paraId="6F6BD754" w14:textId="77777777" w:rsidR="000F7495" w:rsidRDefault="000F7495" w:rsidP="000F7495">
      <w:pPr>
        <w:pStyle w:val="EmailDiscussion2"/>
        <w:rPr>
          <w:lang w:val="fr-FR"/>
        </w:rPr>
      </w:pPr>
      <w:r>
        <w:rPr>
          <w:lang w:val="fr-FR"/>
        </w:rPr>
        <w:t xml:space="preserve">      Scope: Running </w:t>
      </w:r>
      <w:proofErr w:type="spellStart"/>
      <w:r>
        <w:rPr>
          <w:lang w:val="fr-FR"/>
        </w:rPr>
        <w:t>CRs</w:t>
      </w:r>
      <w:proofErr w:type="spellEnd"/>
      <w:r>
        <w:rPr>
          <w:lang w:val="fr-FR"/>
        </w:rPr>
        <w:t xml:space="preserve"> for UE caps, a first </w:t>
      </w:r>
      <w:proofErr w:type="spellStart"/>
      <w:r>
        <w:rPr>
          <w:lang w:val="fr-FR"/>
        </w:rPr>
        <w:t>review</w:t>
      </w:r>
      <w:proofErr w:type="spellEnd"/>
      <w:r>
        <w:rPr>
          <w:lang w:val="fr-FR"/>
        </w:rPr>
        <w:t xml:space="preserve"> / discussion.  </w:t>
      </w:r>
    </w:p>
    <w:p w14:paraId="17309CF7" w14:textId="77777777" w:rsidR="000F7495" w:rsidRDefault="000F7495" w:rsidP="000F7495">
      <w:pPr>
        <w:pStyle w:val="EmailDiscussion2"/>
        <w:rPr>
          <w:lang w:val="fr-FR"/>
        </w:rPr>
      </w:pPr>
      <w:r>
        <w:rPr>
          <w:lang w:val="fr-FR"/>
        </w:rPr>
        <w:t xml:space="preserve">      </w:t>
      </w:r>
      <w:proofErr w:type="spellStart"/>
      <w:r>
        <w:rPr>
          <w:lang w:val="fr-FR"/>
        </w:rPr>
        <w:t>Intended</w:t>
      </w:r>
      <w:proofErr w:type="spellEnd"/>
      <w:r>
        <w:rPr>
          <w:lang w:val="fr-FR"/>
        </w:rPr>
        <w:t xml:space="preserve"> </w:t>
      </w:r>
      <w:proofErr w:type="spellStart"/>
      <w:r>
        <w:rPr>
          <w:lang w:val="fr-FR"/>
        </w:rPr>
        <w:t>outcome</w:t>
      </w:r>
      <w:proofErr w:type="spellEnd"/>
      <w:r>
        <w:rPr>
          <w:lang w:val="fr-FR"/>
        </w:rPr>
        <w:t xml:space="preserve">: Report if applicable, </w:t>
      </w:r>
      <w:proofErr w:type="spellStart"/>
      <w:r>
        <w:rPr>
          <w:lang w:val="fr-FR"/>
        </w:rPr>
        <w:t>Endorsable</w:t>
      </w:r>
      <w:proofErr w:type="spellEnd"/>
      <w:r>
        <w:rPr>
          <w:lang w:val="fr-FR"/>
        </w:rPr>
        <w:t xml:space="preserve"> </w:t>
      </w:r>
      <w:proofErr w:type="spellStart"/>
      <w:r>
        <w:rPr>
          <w:lang w:val="fr-FR"/>
        </w:rPr>
        <w:t>CRs</w:t>
      </w:r>
      <w:proofErr w:type="spellEnd"/>
      <w:r>
        <w:rPr>
          <w:lang w:val="fr-FR"/>
        </w:rPr>
        <w:t xml:space="preserve"> </w:t>
      </w:r>
    </w:p>
    <w:p w14:paraId="3F02757D" w14:textId="77777777" w:rsidR="000F7495" w:rsidRDefault="000F7495" w:rsidP="000F7495">
      <w:pPr>
        <w:pStyle w:val="EmailDiscussion2"/>
        <w:rPr>
          <w:lang w:val="fr-FR"/>
        </w:rPr>
      </w:pPr>
      <w:r>
        <w:rPr>
          <w:lang w:val="fr-FR"/>
        </w:rPr>
        <w:t>      Deadline: Long</w:t>
      </w:r>
    </w:p>
    <w:p w14:paraId="5296FF22" w14:textId="77777777" w:rsidR="00997C62" w:rsidRDefault="00997C62"/>
    <w:p w14:paraId="026AB527" w14:textId="43A2E862" w:rsidR="0094357C" w:rsidRDefault="00F46141">
      <w:r>
        <w:t>In Phase 1 of the discussion</w:t>
      </w:r>
      <w:r w:rsidR="00360FA3">
        <w:t>,</w:t>
      </w:r>
      <w:r>
        <w:t xml:space="preserve"> companies provided feedback on the issues outlined in Section 3</w:t>
      </w:r>
      <w:r w:rsidR="0076211E">
        <w:t>.1 through 3.4</w:t>
      </w:r>
      <w:r>
        <w:t xml:space="preserve"> below</w:t>
      </w:r>
      <w:r w:rsidR="004E51F5">
        <w:t>. Fo</w:t>
      </w:r>
      <w:r w:rsidR="00360FA3">
        <w:t xml:space="preserve">llowing </w:t>
      </w:r>
      <w:r w:rsidR="004E51F5">
        <w:t xml:space="preserve">Phase 1, the </w:t>
      </w:r>
      <w:r w:rsidR="00360FA3">
        <w:t>draft</w:t>
      </w:r>
      <w:r w:rsidR="004E51F5">
        <w:t xml:space="preserve"> CR</w:t>
      </w:r>
      <w:r w:rsidR="00360FA3">
        <w:t>s for UE capabilit</w:t>
      </w:r>
      <w:r w:rsidR="004E51F5">
        <w:t>ies w</w:t>
      </w:r>
      <w:r w:rsidR="00360FA3">
        <w:t>ere updated</w:t>
      </w:r>
      <w:r w:rsidR="004E51F5">
        <w:t xml:space="preserve"> and companies provided further comments</w:t>
      </w:r>
      <w:r>
        <w:t>.</w:t>
      </w:r>
      <w:r w:rsidR="00AA6825">
        <w:t xml:space="preserve"> It is noted</w:t>
      </w:r>
      <w:r w:rsidR="0076211E">
        <w:t>, following Phase 1,</w:t>
      </w:r>
      <w:r w:rsidR="00AA6825">
        <w:t xml:space="preserve"> </w:t>
      </w:r>
      <w:r w:rsidR="00FC5B44">
        <w:t>additional</w:t>
      </w:r>
      <w:r w:rsidR="00AA6825">
        <w:t xml:space="preserve"> comments </w:t>
      </w:r>
      <w:r w:rsidR="00BB1B68">
        <w:t xml:space="preserve">were provided </w:t>
      </w:r>
      <w:r w:rsidR="00A23FEA">
        <w:t xml:space="preserve">relevant to </w:t>
      </w:r>
      <w:r w:rsidR="00A933DF">
        <w:t>Section 3.1</w:t>
      </w:r>
      <w:r w:rsidR="00BB1B68">
        <w:t xml:space="preserve">, </w:t>
      </w:r>
      <w:r w:rsidR="00A933DF">
        <w:t xml:space="preserve">which is updated below. </w:t>
      </w:r>
      <w:r w:rsidR="0076211E">
        <w:t>A</w:t>
      </w:r>
      <w:r w:rsidR="00A933DF">
        <w:t xml:space="preserve">dditionally, another issue was raised, which is noted in Section </w:t>
      </w:r>
      <w:r w:rsidR="0076211E">
        <w:t>3.5.</w:t>
      </w:r>
    </w:p>
    <w:p w14:paraId="026AB528" w14:textId="77777777" w:rsidR="0094357C" w:rsidRDefault="00000000">
      <w:pPr>
        <w:pStyle w:val="Heading1"/>
      </w:pPr>
      <w:r>
        <w:t>2</w:t>
      </w:r>
      <w:r>
        <w:tab/>
        <w:t>Contact Points</w:t>
      </w:r>
    </w:p>
    <w:p w14:paraId="026AB529" w14:textId="77777777" w:rsidR="0094357C" w:rsidRDefault="0000000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4357C" w14:paraId="026AB52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26AB52A" w14:textId="77777777" w:rsidR="0094357C" w:rsidRDefault="0000000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6AB52B" w14:textId="77777777" w:rsidR="0094357C" w:rsidRDefault="0000000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26AB52C" w14:textId="77777777" w:rsidR="0094357C" w:rsidRDefault="00000000">
            <w:pPr>
              <w:pStyle w:val="TAH"/>
              <w:spacing w:before="20" w:after="20"/>
              <w:ind w:left="57" w:right="57"/>
              <w:jc w:val="left"/>
              <w:rPr>
                <w:color w:val="FFFFFF" w:themeColor="background1"/>
              </w:rPr>
            </w:pPr>
            <w:r>
              <w:rPr>
                <w:color w:val="FFFFFF" w:themeColor="background1"/>
              </w:rPr>
              <w:t>Email Address</w:t>
            </w:r>
          </w:p>
        </w:tc>
      </w:tr>
      <w:tr w:rsidR="0094357C" w14:paraId="026AB53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6AB52E" w14:textId="77777777" w:rsidR="0094357C" w:rsidRDefault="0000000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26AB52F" w14:textId="77777777" w:rsidR="0094357C" w:rsidRDefault="00000000">
            <w:pPr>
              <w:pStyle w:val="TAC"/>
              <w:spacing w:before="20" w:after="20"/>
              <w:ind w:left="57" w:right="57"/>
              <w:jc w:val="left"/>
              <w:rPr>
                <w:lang w:eastAsia="zh-CN"/>
              </w:rPr>
            </w:pPr>
            <w:r>
              <w:rPr>
                <w:lang w:eastAsia="zh-CN"/>
              </w:rPr>
              <w:t>Andrew Lappalainen</w:t>
            </w:r>
          </w:p>
        </w:tc>
        <w:tc>
          <w:tcPr>
            <w:tcW w:w="4391" w:type="dxa"/>
            <w:tcBorders>
              <w:top w:val="single" w:sz="4" w:space="0" w:color="auto"/>
              <w:left w:val="single" w:sz="4" w:space="0" w:color="auto"/>
              <w:bottom w:val="single" w:sz="4" w:space="0" w:color="auto"/>
              <w:right w:val="single" w:sz="4" w:space="0" w:color="auto"/>
            </w:tcBorders>
          </w:tcPr>
          <w:p w14:paraId="026AB530" w14:textId="77777777" w:rsidR="0094357C" w:rsidRDefault="00000000">
            <w:pPr>
              <w:pStyle w:val="TAC"/>
              <w:spacing w:before="20" w:after="20"/>
              <w:ind w:left="57" w:right="57"/>
              <w:jc w:val="left"/>
              <w:rPr>
                <w:lang w:eastAsia="zh-CN"/>
              </w:rPr>
            </w:pPr>
            <w:r>
              <w:rPr>
                <w:lang w:eastAsia="zh-CN"/>
              </w:rPr>
              <w:t>andrew.lappalainen@nokia.com</w:t>
            </w:r>
          </w:p>
        </w:tc>
      </w:tr>
      <w:tr w:rsidR="0094357C" w14:paraId="026AB5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6AB532" w14:textId="77777777" w:rsidR="0094357C" w:rsidRDefault="0000000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26AB533" w14:textId="77777777" w:rsidR="0094357C" w:rsidRDefault="00000000">
            <w:pPr>
              <w:pStyle w:val="TAC"/>
              <w:spacing w:before="20" w:after="20"/>
              <w:ind w:left="57" w:right="57"/>
              <w:jc w:val="left"/>
              <w:rPr>
                <w:lang w:eastAsia="zh-CN"/>
              </w:rPr>
            </w:pPr>
            <w:r>
              <w:rPr>
                <w:lang w:eastAsia="zh-CN"/>
              </w:rPr>
              <w:t>Peng</w:t>
            </w:r>
          </w:p>
        </w:tc>
        <w:tc>
          <w:tcPr>
            <w:tcW w:w="4391" w:type="dxa"/>
            <w:tcBorders>
              <w:top w:val="single" w:sz="4" w:space="0" w:color="auto"/>
              <w:left w:val="single" w:sz="4" w:space="0" w:color="auto"/>
              <w:bottom w:val="single" w:sz="4" w:space="0" w:color="auto"/>
              <w:right w:val="single" w:sz="4" w:space="0" w:color="auto"/>
            </w:tcBorders>
          </w:tcPr>
          <w:p w14:paraId="026AB534" w14:textId="77777777" w:rsidR="0094357C" w:rsidRDefault="00000000">
            <w:pPr>
              <w:pStyle w:val="TAC"/>
              <w:spacing w:before="20" w:after="20"/>
              <w:ind w:left="57" w:right="57"/>
              <w:jc w:val="left"/>
              <w:rPr>
                <w:lang w:eastAsia="zh-CN"/>
              </w:rPr>
            </w:pPr>
            <w:r>
              <w:rPr>
                <w:lang w:eastAsia="zh-CN"/>
              </w:rPr>
              <w:t>pcheng24@apple.com</w:t>
            </w:r>
          </w:p>
        </w:tc>
      </w:tr>
      <w:tr w:rsidR="0094357C" w14:paraId="026AB5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6AB536" w14:textId="77777777" w:rsidR="0094357C" w:rsidRDefault="00000000">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26AB537" w14:textId="77777777" w:rsidR="0094357C" w:rsidRDefault="00000000">
            <w:pPr>
              <w:pStyle w:val="TAC"/>
              <w:spacing w:before="20" w:after="20"/>
              <w:ind w:left="57" w:right="57"/>
              <w:jc w:val="left"/>
              <w:rPr>
                <w:lang w:eastAsia="zh-CN"/>
              </w:rPr>
            </w:pPr>
            <w:r>
              <w:rPr>
                <w:lang w:eastAsia="zh-CN"/>
              </w:rPr>
              <w:t>Ziyi Li</w:t>
            </w:r>
          </w:p>
        </w:tc>
        <w:tc>
          <w:tcPr>
            <w:tcW w:w="4391" w:type="dxa"/>
            <w:tcBorders>
              <w:top w:val="single" w:sz="4" w:space="0" w:color="auto"/>
              <w:left w:val="single" w:sz="4" w:space="0" w:color="auto"/>
              <w:bottom w:val="single" w:sz="4" w:space="0" w:color="auto"/>
              <w:right w:val="single" w:sz="4" w:space="0" w:color="auto"/>
            </w:tcBorders>
          </w:tcPr>
          <w:p w14:paraId="026AB538" w14:textId="77777777" w:rsidR="0094357C" w:rsidRDefault="00000000">
            <w:pPr>
              <w:pStyle w:val="TAC"/>
              <w:spacing w:before="20" w:after="20"/>
              <w:ind w:left="57" w:right="57"/>
              <w:jc w:val="left"/>
              <w:rPr>
                <w:lang w:eastAsia="zh-CN"/>
              </w:rPr>
            </w:pPr>
            <w:r>
              <w:rPr>
                <w:lang w:eastAsia="zh-CN"/>
              </w:rPr>
              <w:t>ziyi.li@intel.com</w:t>
            </w:r>
          </w:p>
        </w:tc>
      </w:tr>
      <w:tr w:rsidR="0094357C" w14:paraId="026AB5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6AB53A" w14:textId="77777777" w:rsidR="0094357C" w:rsidRDefault="0000000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26AB53B" w14:textId="77777777" w:rsidR="0094357C" w:rsidRDefault="00000000">
            <w:pPr>
              <w:pStyle w:val="TAC"/>
              <w:spacing w:before="20" w:after="20"/>
              <w:ind w:left="57" w:right="57"/>
              <w:jc w:val="left"/>
              <w:rPr>
                <w:lang w:eastAsia="zh-CN"/>
              </w:rPr>
            </w:pPr>
            <w:r>
              <w:rPr>
                <w:rFonts w:hint="eastAsia"/>
                <w:lang w:eastAsia="zh-CN"/>
              </w:rPr>
              <w:t>Y</w:t>
            </w:r>
            <w:r>
              <w:rPr>
                <w:lang w:eastAsia="zh-CN"/>
              </w:rPr>
              <w:t>ulong</w:t>
            </w:r>
          </w:p>
        </w:tc>
        <w:tc>
          <w:tcPr>
            <w:tcW w:w="4391" w:type="dxa"/>
            <w:tcBorders>
              <w:top w:val="single" w:sz="4" w:space="0" w:color="auto"/>
              <w:left w:val="single" w:sz="4" w:space="0" w:color="auto"/>
              <w:bottom w:val="single" w:sz="4" w:space="0" w:color="auto"/>
              <w:right w:val="single" w:sz="4" w:space="0" w:color="auto"/>
            </w:tcBorders>
          </w:tcPr>
          <w:p w14:paraId="026AB53C" w14:textId="77777777" w:rsidR="0094357C" w:rsidRDefault="00000000">
            <w:pPr>
              <w:pStyle w:val="TAC"/>
              <w:spacing w:before="20" w:after="20"/>
              <w:ind w:left="57" w:right="57"/>
              <w:jc w:val="left"/>
              <w:rPr>
                <w:lang w:eastAsia="zh-CN"/>
              </w:rPr>
            </w:pPr>
            <w:r>
              <w:rPr>
                <w:lang w:eastAsia="zh-CN"/>
              </w:rPr>
              <w:t>Shiyulong5@huawei.com</w:t>
            </w:r>
          </w:p>
        </w:tc>
      </w:tr>
      <w:tr w:rsidR="0094357C" w14:paraId="026AB5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6AB53E" w14:textId="77777777" w:rsidR="0094357C" w:rsidRDefault="00000000">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26AB53F" w14:textId="77777777" w:rsidR="0094357C" w:rsidRDefault="00000000">
            <w:pPr>
              <w:pStyle w:val="TAC"/>
              <w:spacing w:before="20" w:after="20"/>
              <w:ind w:left="57" w:right="57"/>
              <w:jc w:val="left"/>
              <w:rPr>
                <w:lang w:eastAsia="zh-CN"/>
              </w:rPr>
            </w:pPr>
            <w:r>
              <w:rPr>
                <w:lang w:eastAsia="zh-CN"/>
              </w:rPr>
              <w:t>Ericsson</w:t>
            </w:r>
          </w:p>
        </w:tc>
        <w:tc>
          <w:tcPr>
            <w:tcW w:w="4391" w:type="dxa"/>
            <w:tcBorders>
              <w:top w:val="single" w:sz="4" w:space="0" w:color="auto"/>
              <w:left w:val="single" w:sz="4" w:space="0" w:color="auto"/>
              <w:bottom w:val="single" w:sz="4" w:space="0" w:color="auto"/>
              <w:right w:val="single" w:sz="4" w:space="0" w:color="auto"/>
            </w:tcBorders>
          </w:tcPr>
          <w:p w14:paraId="026AB540" w14:textId="77777777" w:rsidR="0094357C" w:rsidRDefault="00000000">
            <w:pPr>
              <w:pStyle w:val="TAC"/>
              <w:spacing w:before="20" w:after="20"/>
              <w:ind w:left="57" w:right="57"/>
              <w:jc w:val="left"/>
              <w:rPr>
                <w:lang w:eastAsia="zh-CN"/>
              </w:rPr>
            </w:pPr>
            <w:r>
              <w:rPr>
                <w:lang w:eastAsia="zh-CN"/>
              </w:rPr>
              <w:t>j.sedin@samsung.com</w:t>
            </w:r>
          </w:p>
        </w:tc>
      </w:tr>
      <w:tr w:rsidR="0094357C" w14:paraId="026AB5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6AB542" w14:textId="77777777" w:rsidR="0094357C" w:rsidRDefault="0094357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6AB543" w14:textId="77777777" w:rsidR="0094357C" w:rsidRDefault="0094357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26AB544" w14:textId="77777777" w:rsidR="0094357C" w:rsidRDefault="0094357C">
            <w:pPr>
              <w:pStyle w:val="TAC"/>
              <w:spacing w:before="20" w:after="20"/>
              <w:ind w:left="57" w:right="57"/>
              <w:jc w:val="left"/>
              <w:rPr>
                <w:lang w:eastAsia="zh-CN"/>
              </w:rPr>
            </w:pPr>
          </w:p>
        </w:tc>
      </w:tr>
    </w:tbl>
    <w:p w14:paraId="026AB563" w14:textId="3850466C" w:rsidR="0094357C" w:rsidRDefault="00000000">
      <w:pPr>
        <w:pStyle w:val="Heading1"/>
      </w:pPr>
      <w:r>
        <w:t>3</w:t>
      </w:r>
      <w:r>
        <w:tab/>
        <w:t>Discussion</w:t>
      </w:r>
    </w:p>
    <w:p w14:paraId="026AB564" w14:textId="77777777" w:rsidR="0094357C" w:rsidRDefault="00000000">
      <w:pPr>
        <w:pStyle w:val="Heading2"/>
      </w:pPr>
      <w:r>
        <w:t>3.1</w:t>
      </w:r>
      <w:r>
        <w:tab/>
        <w:t>Need for mobile-IAB capability</w:t>
      </w:r>
    </w:p>
    <w:p w14:paraId="026AB565" w14:textId="77777777" w:rsidR="0094357C" w:rsidRDefault="00000000">
      <w:r>
        <w:t>In RAN2#119bis, the following was agreed:</w:t>
      </w:r>
    </w:p>
    <w:p w14:paraId="026AB566" w14:textId="77777777" w:rsidR="0094357C" w:rsidRDefault="00000000">
      <w:pPr>
        <w:pStyle w:val="Agreement"/>
        <w:overflowPunct/>
        <w:autoSpaceDE/>
        <w:adjustRightInd/>
        <w:ind w:left="1619" w:hanging="360"/>
        <w:rPr>
          <w:bCs/>
        </w:rPr>
      </w:pPr>
      <w:r>
        <w:rPr>
          <w:bCs/>
        </w:rPr>
        <w:t xml:space="preserve">UE capability signalling is the baseline to let CU know that the MT is a “mobile-IAB” type. FFS early mobile-IAB indication, </w:t>
      </w:r>
      <w:proofErr w:type="gramStart"/>
      <w:r>
        <w:rPr>
          <w:bCs/>
        </w:rPr>
        <w:t>e.g.</w:t>
      </w:r>
      <w:proofErr w:type="gramEnd"/>
      <w:r>
        <w:rPr>
          <w:bCs/>
        </w:rPr>
        <w:t xml:space="preserve"> in Msg5.</w:t>
      </w:r>
    </w:p>
    <w:p w14:paraId="026AB567" w14:textId="77777777" w:rsidR="0094357C" w:rsidRDefault="00000000">
      <w:pPr>
        <w:spacing w:before="240"/>
      </w:pPr>
      <w:r>
        <w:t>Later, in RAN2#121bis, we agreed to also include a mobile-IAB indication in Msg5:</w:t>
      </w:r>
    </w:p>
    <w:p w14:paraId="026AB568" w14:textId="77777777" w:rsidR="0094357C" w:rsidRDefault="00000000">
      <w:pPr>
        <w:pStyle w:val="Agreement"/>
        <w:tabs>
          <w:tab w:val="clear" w:pos="9990"/>
        </w:tabs>
        <w:overflowPunct/>
        <w:autoSpaceDE/>
        <w:autoSpaceDN/>
        <w:adjustRightInd/>
        <w:ind w:left="1619" w:hanging="360"/>
        <w:rPr>
          <w:bCs/>
        </w:rPr>
      </w:pPr>
      <w:r>
        <w:rPr>
          <w:bCs/>
        </w:rPr>
        <w:t>The mobile IAB-MT to include a mobile-IAB indication in Msg. 5.</w:t>
      </w:r>
    </w:p>
    <w:p w14:paraId="026AB569" w14:textId="77777777" w:rsidR="0094357C" w:rsidRDefault="00000000">
      <w:pPr>
        <w:spacing w:before="240"/>
      </w:pPr>
      <w:r>
        <w:t>This was to align with SA2 normative text in TS 23.501 that specifies that a mobile-IAB indication is provided to the donor CU to select an AMF that supports an IAB-node with mobility.</w:t>
      </w:r>
    </w:p>
    <w:p w14:paraId="026AB56A" w14:textId="77777777" w:rsidR="0094357C" w:rsidRDefault="00000000">
      <w:pPr>
        <w:pBdr>
          <w:top w:val="single" w:sz="4" w:space="1" w:color="auto"/>
          <w:left w:val="single" w:sz="4" w:space="4" w:color="auto"/>
          <w:bottom w:val="single" w:sz="4" w:space="1" w:color="auto"/>
          <w:right w:val="single" w:sz="4" w:space="4" w:color="auto"/>
        </w:pBdr>
      </w:pPr>
      <w:r>
        <w:rPr>
          <w:color w:val="FF0000"/>
        </w:rPr>
        <w:lastRenderedPageBreak/>
        <w:t>For a MBSR node to operate as a MBSR,</w:t>
      </w:r>
      <w:r>
        <w:t xml:space="preserve"> it provides a mobile IAB-indication to the IAB-donor-CU when the RRC connection is established as defined in TS 38.331 [28]. When the mobile IAB-indication is received, the IAB-donor-CU selects an AMF that supports IAB-node with mobility and includes the mobile IAB-indication in the N2 INITIAL UE MESSAGE as defined in TS 38.413 [34] so that the AMF can perform mobile IAB authorization as described in clause 5.35A.4.</w:t>
      </w:r>
    </w:p>
    <w:p w14:paraId="026AB56B" w14:textId="77777777" w:rsidR="0094357C" w:rsidRDefault="00000000">
      <w:r>
        <w:t>At first it may seem that keeping the mobile-IAB UE capability is not necessary since we already agreed to have a mobile IAB indication in Msg5. However, we wonder if there is some subtlety to the text from 23.501,</w:t>
      </w:r>
      <w:r>
        <w:rPr>
          <w:color w:val="FF0000"/>
        </w:rPr>
        <w:t xml:space="preserve"> specifically “for a MBSR node </w:t>
      </w:r>
      <w:r>
        <w:rPr>
          <w:b/>
          <w:bCs/>
          <w:i/>
          <w:iCs/>
          <w:color w:val="FF0000"/>
        </w:rPr>
        <w:t>to operate as a MBSR</w:t>
      </w:r>
      <w:r>
        <w:rPr>
          <w:color w:val="FF0000"/>
        </w:rPr>
        <w:t>”</w:t>
      </w:r>
      <w:r>
        <w:t xml:space="preserve">. It is unclear if the intention behind this text is to allow for a situation where </w:t>
      </w:r>
      <w:proofErr w:type="gramStart"/>
      <w:r>
        <w:t>a</w:t>
      </w:r>
      <w:proofErr w:type="gramEnd"/>
      <w:r>
        <w:t xml:space="preserve"> IAB-MT is </w:t>
      </w:r>
      <w:r>
        <w:rPr>
          <w:i/>
          <w:iCs/>
        </w:rPr>
        <w:t>capable</w:t>
      </w:r>
      <w:r>
        <w:t xml:space="preserve"> of acting as a mobile IAB-MT but does not wish to </w:t>
      </w:r>
      <w:r>
        <w:rPr>
          <w:i/>
          <w:iCs/>
        </w:rPr>
        <w:t xml:space="preserve">operate </w:t>
      </w:r>
      <w:r>
        <w:t>as a mobile IAB-MT, and therefore does not indicate as such during the RRC setup procedure. In that case, it could be necessary to keep the mobile IAB capability despite the Msg5 indication.</w:t>
      </w:r>
    </w:p>
    <w:p w14:paraId="026AB56C" w14:textId="77777777" w:rsidR="0094357C" w:rsidRDefault="00000000">
      <w:r>
        <w:t>Furthermore, we also clarified the following in RAN2#121bis:</w:t>
      </w:r>
    </w:p>
    <w:p w14:paraId="026AB56D" w14:textId="77777777" w:rsidR="0094357C" w:rsidRDefault="00000000">
      <w:pPr>
        <w:pStyle w:val="Agreement"/>
        <w:tabs>
          <w:tab w:val="clear" w:pos="9990"/>
        </w:tabs>
        <w:overflowPunct/>
        <w:autoSpaceDE/>
        <w:autoSpaceDN/>
        <w:adjustRightInd/>
        <w:ind w:left="1619" w:hanging="360"/>
        <w:rPr>
          <w:bCs/>
        </w:rPr>
      </w:pPr>
      <w:r>
        <w:rPr>
          <w:bCs/>
        </w:rPr>
        <w:t xml:space="preserve">R2 clarifies that A donor broadcasting the “supporting mobile-IAB” indication first checks the UE capability of an IAB node before configuring child nodes for the IAB node or sending a handover request for the node, no impact to RAN2 TS. </w:t>
      </w:r>
    </w:p>
    <w:p w14:paraId="026AB56E" w14:textId="77777777" w:rsidR="0094357C" w:rsidRDefault="00000000">
      <w:pPr>
        <w:spacing w:before="240"/>
      </w:pPr>
      <w:r>
        <w:t>The first part of this clarification is not essential if mobile-IAB indication is introduced in Msg5 as the donor would already know that the IAB is a mobile IAB. However, the second part of the clarification related to the handover was intended so that th</w:t>
      </w:r>
      <w:r>
        <w:rPr>
          <w:highlight w:val="yellow"/>
        </w:rPr>
        <w:t>e source CU would include the “mobile IAB capability” in the handover request message</w:t>
      </w:r>
      <w:r>
        <w:t xml:space="preserve"> to the target CU (as UE capabilities are anyway included in handover request messages). Therefore, if we forego the mobile IAB capability there could be some impact on RAN3 (</w:t>
      </w:r>
      <w:proofErr w:type="gramStart"/>
      <w:r>
        <w:t>e.g.</w:t>
      </w:r>
      <w:proofErr w:type="gramEnd"/>
      <w:r>
        <w:t xml:space="preserve"> possibly a need to include a mobile IAB indication in the handover request message).</w:t>
      </w:r>
    </w:p>
    <w:tbl>
      <w:tblPr>
        <w:tblpPr w:leftFromText="180" w:rightFromText="180" w:vertAnchor="text" w:horzAnchor="margin" w:tblpY="682"/>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67555" w14:paraId="33D2992D" w14:textId="77777777" w:rsidTr="00067555">
        <w:trPr>
          <w:trHeight w:val="240"/>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B67AFDD" w14:textId="77777777" w:rsidR="00067555" w:rsidRDefault="00067555" w:rsidP="00067555">
            <w:pPr>
              <w:pStyle w:val="TAH"/>
              <w:spacing w:before="20" w:after="20"/>
              <w:ind w:left="57" w:right="57"/>
              <w:jc w:val="left"/>
              <w:rPr>
                <w:color w:val="FFFFFF" w:themeColor="background1"/>
              </w:rPr>
            </w:pPr>
            <w:r>
              <w:rPr>
                <w:color w:val="FFFFFF" w:themeColor="background1"/>
              </w:rPr>
              <w:t>Answers to Question 1a</w:t>
            </w:r>
          </w:p>
        </w:tc>
      </w:tr>
      <w:tr w:rsidR="00067555" w14:paraId="35A5A99D" w14:textId="77777777" w:rsidTr="00067555">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4B1416" w14:textId="77777777" w:rsidR="00067555" w:rsidRDefault="00067555" w:rsidP="0006755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4E676F" w14:textId="77777777" w:rsidR="00067555" w:rsidRDefault="00067555" w:rsidP="0006755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E2E630" w14:textId="77777777" w:rsidR="00067555" w:rsidRDefault="00067555" w:rsidP="00067555">
            <w:pPr>
              <w:pStyle w:val="TAH"/>
              <w:spacing w:before="20" w:after="20"/>
              <w:ind w:left="57" w:right="57"/>
              <w:jc w:val="left"/>
            </w:pPr>
            <w:r>
              <w:t>Comments</w:t>
            </w:r>
          </w:p>
        </w:tc>
      </w:tr>
      <w:tr w:rsidR="00067555" w14:paraId="7B1751D9" w14:textId="77777777" w:rsidTr="00067555">
        <w:trPr>
          <w:trHeight w:val="240"/>
        </w:trPr>
        <w:tc>
          <w:tcPr>
            <w:tcW w:w="1695" w:type="dxa"/>
            <w:tcBorders>
              <w:top w:val="single" w:sz="4" w:space="0" w:color="auto"/>
              <w:left w:val="single" w:sz="4" w:space="0" w:color="auto"/>
              <w:bottom w:val="single" w:sz="4" w:space="0" w:color="auto"/>
              <w:right w:val="single" w:sz="4" w:space="0" w:color="auto"/>
            </w:tcBorders>
          </w:tcPr>
          <w:p w14:paraId="2F68AE46" w14:textId="77777777" w:rsidR="00067555" w:rsidRDefault="00067555" w:rsidP="0006755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DF27CC8" w14:textId="77777777" w:rsidR="00067555" w:rsidRDefault="00067555" w:rsidP="0006755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A9FE31" w14:textId="77777777" w:rsidR="00067555" w:rsidRDefault="00067555" w:rsidP="00067555">
            <w:pPr>
              <w:pStyle w:val="TAC"/>
              <w:spacing w:before="20" w:after="20"/>
              <w:ind w:left="57" w:right="57"/>
              <w:jc w:val="left"/>
              <w:rPr>
                <w:lang w:eastAsia="zh-CN"/>
              </w:rPr>
            </w:pPr>
            <w:r>
              <w:rPr>
                <w:lang w:eastAsia="zh-CN"/>
              </w:rPr>
              <w:t xml:space="preserve">We basically agree with Rapporteur's analysis. </w:t>
            </w:r>
          </w:p>
          <w:p w14:paraId="2689691B" w14:textId="77777777" w:rsidR="00067555" w:rsidRDefault="00067555" w:rsidP="00067555">
            <w:pPr>
              <w:pStyle w:val="TAC"/>
              <w:spacing w:before="20" w:after="20"/>
              <w:ind w:left="57" w:right="57"/>
              <w:jc w:val="left"/>
              <w:rPr>
                <w:lang w:eastAsia="zh-CN"/>
              </w:rPr>
            </w:pPr>
          </w:p>
          <w:p w14:paraId="0091F958" w14:textId="77777777" w:rsidR="00067555" w:rsidRDefault="00067555" w:rsidP="00067555">
            <w:pPr>
              <w:pStyle w:val="TAC"/>
              <w:spacing w:before="20" w:after="20"/>
              <w:ind w:left="57" w:right="57"/>
              <w:jc w:val="left"/>
              <w:rPr>
                <w:lang w:eastAsia="zh-CN"/>
              </w:rPr>
            </w:pPr>
            <w:r>
              <w:rPr>
                <w:lang w:eastAsia="zh-CN"/>
              </w:rPr>
              <w:t xml:space="preserve">In addition, we think UE capability and the indication bit in Msg5 are served for different purposes. So, the UE capability is anyway needed. </w:t>
            </w:r>
          </w:p>
        </w:tc>
      </w:tr>
      <w:tr w:rsidR="00067555" w14:paraId="21D0CC9D" w14:textId="77777777" w:rsidTr="00067555">
        <w:trPr>
          <w:trHeight w:val="240"/>
        </w:trPr>
        <w:tc>
          <w:tcPr>
            <w:tcW w:w="1695" w:type="dxa"/>
            <w:tcBorders>
              <w:top w:val="single" w:sz="4" w:space="0" w:color="auto"/>
              <w:left w:val="single" w:sz="4" w:space="0" w:color="auto"/>
              <w:bottom w:val="single" w:sz="4" w:space="0" w:color="auto"/>
              <w:right w:val="single" w:sz="4" w:space="0" w:color="auto"/>
            </w:tcBorders>
          </w:tcPr>
          <w:p w14:paraId="48ABEA78" w14:textId="77777777" w:rsidR="00067555" w:rsidRDefault="00067555" w:rsidP="0006755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64ECD8C" w14:textId="77777777" w:rsidR="00067555" w:rsidRDefault="00067555" w:rsidP="0006755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302012" w14:textId="77777777" w:rsidR="00067555" w:rsidRDefault="00067555" w:rsidP="00067555">
            <w:pPr>
              <w:pStyle w:val="TAC"/>
              <w:spacing w:before="20" w:after="20"/>
              <w:ind w:left="57" w:right="57"/>
              <w:jc w:val="left"/>
              <w:rPr>
                <w:lang w:eastAsia="zh-CN"/>
              </w:rPr>
            </w:pPr>
            <w:r>
              <w:rPr>
                <w:lang w:eastAsia="zh-CN"/>
              </w:rPr>
              <w:t xml:space="preserve">Agree with rapporteur’s analysis. </w:t>
            </w:r>
          </w:p>
          <w:p w14:paraId="094B0C76" w14:textId="77777777" w:rsidR="00067555" w:rsidRDefault="00067555" w:rsidP="00067555">
            <w:pPr>
              <w:pStyle w:val="TAC"/>
              <w:spacing w:before="20" w:after="20"/>
              <w:ind w:left="57" w:right="57"/>
              <w:jc w:val="left"/>
              <w:rPr>
                <w:lang w:eastAsia="zh-CN"/>
              </w:rPr>
            </w:pPr>
            <w:r>
              <w:rPr>
                <w:lang w:eastAsia="zh-CN"/>
              </w:rPr>
              <w:t xml:space="preserve">UE capability is served for the purpose to allow network to know this mobile IAB-node </w:t>
            </w:r>
            <w:proofErr w:type="gramStart"/>
            <w:r>
              <w:rPr>
                <w:lang w:eastAsia="zh-CN"/>
              </w:rPr>
              <w:t>is capable of performing</w:t>
            </w:r>
            <w:proofErr w:type="gramEnd"/>
            <w:r>
              <w:rPr>
                <w:lang w:eastAsia="zh-CN"/>
              </w:rPr>
              <w:t xml:space="preserve"> the corresponding functionalities. “</w:t>
            </w:r>
            <w:proofErr w:type="spellStart"/>
            <w:r>
              <w:rPr>
                <w:i/>
                <w:iCs/>
                <w:lang w:eastAsia="zh-CN"/>
              </w:rPr>
              <w:t>mobileIAB-NodeIndication</w:t>
            </w:r>
            <w:proofErr w:type="spellEnd"/>
            <w:r>
              <w:rPr>
                <w:lang w:eastAsia="zh-CN"/>
              </w:rPr>
              <w:t xml:space="preserve">” in MSG5 is used to indicate the network the type of one device, hence, serving for different purposes. </w:t>
            </w:r>
          </w:p>
          <w:p w14:paraId="1F29CE01" w14:textId="77777777" w:rsidR="00067555" w:rsidRDefault="00067555" w:rsidP="00067555">
            <w:pPr>
              <w:pStyle w:val="TAC"/>
              <w:spacing w:before="20" w:after="20"/>
              <w:ind w:left="57" w:right="57"/>
              <w:jc w:val="left"/>
              <w:rPr>
                <w:lang w:eastAsia="zh-CN"/>
              </w:rPr>
            </w:pPr>
            <w:r>
              <w:rPr>
                <w:lang w:eastAsia="zh-CN"/>
              </w:rPr>
              <w:t xml:space="preserve">With the mobile IAB indication in UE capability, during handover, the target NG-RAN node can decide based on the encoded UE capability information, similar as other UEs, without further update of the </w:t>
            </w:r>
            <w:proofErr w:type="spellStart"/>
            <w:r>
              <w:rPr>
                <w:lang w:eastAsia="zh-CN"/>
              </w:rPr>
              <w:t>Xn</w:t>
            </w:r>
            <w:proofErr w:type="spellEnd"/>
            <w:r>
              <w:rPr>
                <w:lang w:eastAsia="zh-CN"/>
              </w:rPr>
              <w:t xml:space="preserve"> specification. </w:t>
            </w:r>
          </w:p>
        </w:tc>
      </w:tr>
      <w:tr w:rsidR="00067555" w14:paraId="55E8FF6C" w14:textId="77777777" w:rsidTr="00067555">
        <w:trPr>
          <w:trHeight w:val="240"/>
        </w:trPr>
        <w:tc>
          <w:tcPr>
            <w:tcW w:w="1695" w:type="dxa"/>
            <w:tcBorders>
              <w:top w:val="single" w:sz="4" w:space="0" w:color="auto"/>
              <w:left w:val="single" w:sz="4" w:space="0" w:color="auto"/>
              <w:bottom w:val="single" w:sz="4" w:space="0" w:color="auto"/>
              <w:right w:val="single" w:sz="4" w:space="0" w:color="auto"/>
            </w:tcBorders>
          </w:tcPr>
          <w:p w14:paraId="62466B1D" w14:textId="77777777" w:rsidR="00067555" w:rsidRDefault="00067555" w:rsidP="00067555">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2882DB2" w14:textId="77777777" w:rsidR="00067555" w:rsidRDefault="00067555" w:rsidP="0006755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D4DF0A9" w14:textId="77777777" w:rsidR="00067555" w:rsidRDefault="00067555" w:rsidP="00067555">
            <w:pPr>
              <w:pStyle w:val="TAC"/>
              <w:spacing w:before="20" w:after="20"/>
              <w:ind w:left="57" w:right="57"/>
              <w:jc w:val="left"/>
            </w:pPr>
            <w:r>
              <w:rPr>
                <w:rFonts w:hint="eastAsia"/>
                <w:lang w:eastAsia="zh-CN"/>
              </w:rPr>
              <w:t>R</w:t>
            </w:r>
            <w:r>
              <w:rPr>
                <w:lang w:eastAsia="zh-CN"/>
              </w:rPr>
              <w:t xml:space="preserve">AN3 is discussing the </w:t>
            </w:r>
            <w:proofErr w:type="spellStart"/>
            <w:r>
              <w:rPr>
                <w:lang w:eastAsia="zh-CN"/>
              </w:rPr>
              <w:t>Xn</w:t>
            </w:r>
            <w:proofErr w:type="spellEnd"/>
            <w:r>
              <w:rPr>
                <w:lang w:eastAsia="zh-CN"/>
              </w:rPr>
              <w:t xml:space="preserve"> indication, similar as R16 for IAB, for the </w:t>
            </w:r>
            <w:r>
              <w:rPr>
                <w:highlight w:val="yellow"/>
                <w:lang w:eastAsia="zh-CN"/>
              </w:rPr>
              <w:t>handover purpose.</w:t>
            </w:r>
            <w:r>
              <w:rPr>
                <w:lang w:eastAsia="zh-CN"/>
              </w:rPr>
              <w:t xml:space="preserve"> There is no need of this </w:t>
            </w:r>
            <w:r>
              <w:t xml:space="preserve">mobile-IAB type in UE capability singling for other </w:t>
            </w:r>
            <w:proofErr w:type="gramStart"/>
            <w:r>
              <w:t>purpose, since</w:t>
            </w:r>
            <w:proofErr w:type="gramEnd"/>
            <w:r>
              <w:t xml:space="preserve"> we already have Msg5.</w:t>
            </w:r>
          </w:p>
          <w:p w14:paraId="32166BEC" w14:textId="77777777" w:rsidR="00067555" w:rsidRDefault="00067555" w:rsidP="00067555">
            <w:pPr>
              <w:pStyle w:val="TAC"/>
              <w:spacing w:before="20" w:after="20"/>
              <w:ind w:left="57" w:right="57"/>
              <w:jc w:val="left"/>
            </w:pPr>
            <w:r>
              <w:t xml:space="preserve">So, from RAN2 perspective, there is no need of explicit mobile-IAB type in UE capability singling, </w:t>
            </w:r>
            <w:r>
              <w:rPr>
                <w:highlight w:val="yellow"/>
              </w:rPr>
              <w:t>just same as in R16 for IAB-node.</w:t>
            </w:r>
          </w:p>
          <w:p w14:paraId="2136FF33" w14:textId="77777777" w:rsidR="00067555" w:rsidRDefault="00067555" w:rsidP="00067555">
            <w:pPr>
              <w:pStyle w:val="TAC"/>
              <w:spacing w:before="20" w:after="20"/>
              <w:ind w:left="57" w:right="57"/>
              <w:jc w:val="left"/>
              <w:rPr>
                <w:lang w:eastAsia="zh-CN"/>
              </w:rPr>
            </w:pPr>
            <w:r>
              <w:t>At least we should wait for RAN3 progress.</w:t>
            </w:r>
          </w:p>
        </w:tc>
      </w:tr>
      <w:tr w:rsidR="00067555" w14:paraId="09A08A0D" w14:textId="77777777" w:rsidTr="00067555">
        <w:trPr>
          <w:trHeight w:val="240"/>
        </w:trPr>
        <w:tc>
          <w:tcPr>
            <w:tcW w:w="1695" w:type="dxa"/>
            <w:tcBorders>
              <w:top w:val="single" w:sz="4" w:space="0" w:color="auto"/>
              <w:left w:val="single" w:sz="4" w:space="0" w:color="auto"/>
              <w:bottom w:val="single" w:sz="4" w:space="0" w:color="auto"/>
              <w:right w:val="single" w:sz="4" w:space="0" w:color="auto"/>
            </w:tcBorders>
          </w:tcPr>
          <w:p w14:paraId="669BBF67" w14:textId="77777777" w:rsidR="00067555" w:rsidRDefault="00067555" w:rsidP="0006755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00AC536" w14:textId="77777777" w:rsidR="00067555" w:rsidRDefault="00067555" w:rsidP="0006755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3C6695" w14:textId="77777777" w:rsidR="00067555" w:rsidRDefault="00067555" w:rsidP="00067555">
            <w:pPr>
              <w:pStyle w:val="TAC"/>
              <w:spacing w:before="20" w:after="20"/>
              <w:ind w:left="57" w:right="57"/>
              <w:jc w:val="left"/>
              <w:rPr>
                <w:lang w:eastAsia="zh-CN"/>
              </w:rPr>
            </w:pPr>
            <w:r>
              <w:rPr>
                <w:lang w:eastAsia="zh-CN"/>
              </w:rPr>
              <w:t xml:space="preserve">We agree that something needs to be indicated during a handover to know that the IAB DU just received is </w:t>
            </w:r>
            <w:proofErr w:type="spellStart"/>
            <w:r>
              <w:rPr>
                <w:lang w:eastAsia="zh-CN"/>
              </w:rPr>
              <w:t>mIAB</w:t>
            </w:r>
            <w:proofErr w:type="spellEnd"/>
            <w:r>
              <w:rPr>
                <w:lang w:eastAsia="zh-CN"/>
              </w:rPr>
              <w:t xml:space="preserve">-capable, but our understanding is </w:t>
            </w:r>
            <w:proofErr w:type="gramStart"/>
            <w:r>
              <w:rPr>
                <w:lang w:eastAsia="zh-CN"/>
              </w:rPr>
              <w:t>similar to</w:t>
            </w:r>
            <w:proofErr w:type="gramEnd"/>
            <w:r>
              <w:rPr>
                <w:lang w:eastAsia="zh-CN"/>
              </w:rPr>
              <w:t xml:space="preserve"> </w:t>
            </w:r>
            <w:proofErr w:type="spellStart"/>
            <w:r>
              <w:rPr>
                <w:lang w:eastAsia="zh-CN"/>
              </w:rPr>
              <w:t>Huaweis</w:t>
            </w:r>
            <w:proofErr w:type="spellEnd"/>
            <w:r>
              <w:rPr>
                <w:lang w:eastAsia="zh-CN"/>
              </w:rPr>
              <w:t xml:space="preserve"> in that it should probably be indicated via an indication in </w:t>
            </w:r>
            <w:proofErr w:type="spellStart"/>
            <w:r>
              <w:rPr>
                <w:lang w:eastAsia="zh-CN"/>
              </w:rPr>
              <w:t>Xn</w:t>
            </w:r>
            <w:proofErr w:type="spellEnd"/>
            <w:r>
              <w:rPr>
                <w:lang w:eastAsia="zh-CN"/>
              </w:rPr>
              <w:t xml:space="preserve"> </w:t>
            </w:r>
            <w:proofErr w:type="spellStart"/>
            <w:r>
              <w:rPr>
                <w:lang w:eastAsia="zh-CN"/>
              </w:rPr>
              <w:t>signaling</w:t>
            </w:r>
            <w:proofErr w:type="spellEnd"/>
            <w:r>
              <w:rPr>
                <w:lang w:eastAsia="zh-CN"/>
              </w:rPr>
              <w:t xml:space="preserve"> (implemented in </w:t>
            </w:r>
            <w:proofErr w:type="spellStart"/>
            <w:r>
              <w:rPr>
                <w:lang w:eastAsia="zh-CN"/>
              </w:rPr>
              <w:t>Xn</w:t>
            </w:r>
            <w:proofErr w:type="spellEnd"/>
            <w:r>
              <w:rPr>
                <w:lang w:eastAsia="zh-CN"/>
              </w:rPr>
              <w:t xml:space="preserve"> and not in UE capabilities). We would be fine to wait for RAN3. If RAN3 does not introduce it for whatever reason, then RAN2 can discuss it with RAN3’s conclusion in mind. </w:t>
            </w:r>
          </w:p>
          <w:p w14:paraId="0038444A" w14:textId="77777777" w:rsidR="00067555" w:rsidRDefault="00067555" w:rsidP="00067555">
            <w:pPr>
              <w:pStyle w:val="TAC"/>
              <w:spacing w:before="20" w:after="20"/>
              <w:ind w:left="57" w:right="57"/>
              <w:jc w:val="left"/>
              <w:rPr>
                <w:lang w:eastAsia="zh-CN"/>
              </w:rPr>
            </w:pPr>
            <w:r>
              <w:rPr>
                <w:lang w:eastAsia="zh-CN"/>
              </w:rPr>
              <w:t xml:space="preserve">For the other question of whether it is possible that </w:t>
            </w:r>
            <w:proofErr w:type="spellStart"/>
            <w:r>
              <w:rPr>
                <w:lang w:eastAsia="zh-CN"/>
              </w:rPr>
              <w:t>mIAB</w:t>
            </w:r>
            <w:proofErr w:type="spellEnd"/>
            <w:r>
              <w:rPr>
                <w:lang w:eastAsia="zh-CN"/>
              </w:rPr>
              <w:t xml:space="preserve"> sometimes does not indicate </w:t>
            </w:r>
            <w:proofErr w:type="spellStart"/>
            <w:r>
              <w:rPr>
                <w:lang w:eastAsia="zh-CN"/>
              </w:rPr>
              <w:t>mIAB-NodeIndication</w:t>
            </w:r>
            <w:proofErr w:type="spellEnd"/>
            <w:r>
              <w:rPr>
                <w:lang w:eastAsia="zh-CN"/>
              </w:rPr>
              <w:t xml:space="preserve"> in msg5, we do not see what scenario that this is useful or makes sense. </w:t>
            </w:r>
            <w:proofErr w:type="gramStart"/>
            <w:r>
              <w:rPr>
                <w:lang w:eastAsia="zh-CN"/>
              </w:rPr>
              <w:t>So</w:t>
            </w:r>
            <w:proofErr w:type="gramEnd"/>
            <w:r>
              <w:rPr>
                <w:lang w:eastAsia="zh-CN"/>
              </w:rPr>
              <w:t xml:space="preserve"> we would assume that an </w:t>
            </w:r>
            <w:proofErr w:type="spellStart"/>
            <w:r>
              <w:rPr>
                <w:lang w:eastAsia="zh-CN"/>
              </w:rPr>
              <w:t>mIAB</w:t>
            </w:r>
            <w:proofErr w:type="spellEnd"/>
            <w:r>
              <w:rPr>
                <w:lang w:eastAsia="zh-CN"/>
              </w:rPr>
              <w:t xml:space="preserve">-capable node always indicates this. </w:t>
            </w:r>
          </w:p>
        </w:tc>
      </w:tr>
      <w:tr w:rsidR="00067555" w14:paraId="59BE230F" w14:textId="77777777" w:rsidTr="00067555">
        <w:trPr>
          <w:trHeight w:val="240"/>
        </w:trPr>
        <w:tc>
          <w:tcPr>
            <w:tcW w:w="1695" w:type="dxa"/>
            <w:tcBorders>
              <w:top w:val="single" w:sz="4" w:space="0" w:color="auto"/>
              <w:left w:val="single" w:sz="4" w:space="0" w:color="auto"/>
              <w:bottom w:val="single" w:sz="4" w:space="0" w:color="auto"/>
              <w:right w:val="single" w:sz="4" w:space="0" w:color="auto"/>
            </w:tcBorders>
          </w:tcPr>
          <w:p w14:paraId="6EDCCCEB" w14:textId="77777777" w:rsidR="00067555" w:rsidRDefault="00067555" w:rsidP="00067555">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7AE446E" w14:textId="77777777" w:rsidR="00067555" w:rsidRDefault="00067555" w:rsidP="00067555">
            <w:pPr>
              <w:pStyle w:val="TAC"/>
              <w:spacing w:before="20" w:after="20"/>
              <w:ind w:left="57" w:right="57"/>
              <w:jc w:val="left"/>
              <w:rPr>
                <w:lang w:val="en-US" w:eastAsia="zh-CN"/>
              </w:rPr>
            </w:pPr>
            <w:r>
              <w:rPr>
                <w:rFonts w:hint="eastAsia"/>
                <w:lang w:val="en-US"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383FE42" w14:textId="77777777" w:rsidR="00067555" w:rsidRDefault="00067555" w:rsidP="00067555">
            <w:pPr>
              <w:pStyle w:val="TAC"/>
              <w:spacing w:before="20" w:after="20"/>
              <w:ind w:left="57" w:right="57"/>
              <w:jc w:val="left"/>
              <w:rPr>
                <w:lang w:val="en-US" w:eastAsia="zh-CN"/>
              </w:rPr>
            </w:pPr>
            <w:r>
              <w:rPr>
                <w:rFonts w:hint="eastAsia"/>
                <w:lang w:val="en-US" w:eastAsia="zh-CN"/>
              </w:rPr>
              <w:t xml:space="preserve">We have the same view as </w:t>
            </w:r>
            <w:r>
              <w:rPr>
                <w:lang w:eastAsia="zh-CN"/>
              </w:rPr>
              <w:t>rapporteur</w:t>
            </w:r>
            <w:r>
              <w:rPr>
                <w:rFonts w:hint="eastAsia"/>
                <w:lang w:val="en-US" w:eastAsia="zh-CN"/>
              </w:rPr>
              <w:t xml:space="preserve"> a MT may don</w:t>
            </w:r>
            <w:r>
              <w:rPr>
                <w:lang w:val="en-US" w:eastAsia="zh-CN"/>
              </w:rPr>
              <w:t>’</w:t>
            </w:r>
            <w:r>
              <w:rPr>
                <w:rFonts w:hint="eastAsia"/>
                <w:lang w:val="en-US" w:eastAsia="zh-CN"/>
              </w:rPr>
              <w:t xml:space="preserve">t want to operate as a MBSR when accessing the network. Anyway, </w:t>
            </w:r>
            <w:r>
              <w:rPr>
                <w:bCs/>
              </w:rPr>
              <w:t>UE capability signalling is</w:t>
            </w:r>
            <w:r>
              <w:rPr>
                <w:rFonts w:hint="eastAsia"/>
                <w:bCs/>
                <w:lang w:val="en-US" w:eastAsia="zh-CN"/>
              </w:rPr>
              <w:t xml:space="preserve"> needed</w:t>
            </w:r>
            <w:r>
              <w:rPr>
                <w:bCs/>
              </w:rPr>
              <w:t xml:space="preserve"> to let CU know that the MT is a “mobile-IAB” type</w:t>
            </w:r>
            <w:r>
              <w:rPr>
                <w:rFonts w:hint="eastAsia"/>
                <w:bCs/>
                <w:lang w:val="en-US" w:eastAsia="zh-CN"/>
              </w:rPr>
              <w:t xml:space="preserve">. </w:t>
            </w:r>
          </w:p>
        </w:tc>
      </w:tr>
    </w:tbl>
    <w:p w14:paraId="026AB56F" w14:textId="77777777" w:rsidR="0094357C" w:rsidRDefault="00000000">
      <w:r>
        <w:rPr>
          <w:b/>
          <w:bCs/>
        </w:rPr>
        <w:t>Question 1a</w:t>
      </w:r>
      <w:r>
        <w:t>: Given the above discussion, should RAN2 keep the mobile-IAB UE capability (in addition to the mobile-IAB indication in Msg5)?</w:t>
      </w:r>
    </w:p>
    <w:p w14:paraId="026AB5B1" w14:textId="2FB4EC42" w:rsidR="0094357C" w:rsidRDefault="00000000">
      <w:pPr>
        <w:spacing w:before="240"/>
      </w:pPr>
      <w:r>
        <w:rPr>
          <w:b/>
          <w:bCs/>
        </w:rPr>
        <w:lastRenderedPageBreak/>
        <w:t>Question 1b</w:t>
      </w:r>
      <w:r>
        <w:t>: If no to Q1a, do companies think it would be necessary to inform RAN3 that we only intend to use Msg5 and/or check the intention behind the statement “for MBSR to operate as a MBSR” with SA2? Indicate further in comments.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4357C" w14:paraId="026AB5B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6AB5B2" w14:textId="77777777" w:rsidR="0094357C" w:rsidRDefault="00000000">
            <w:pPr>
              <w:pStyle w:val="TAH"/>
              <w:spacing w:before="20" w:after="20"/>
              <w:ind w:left="57" w:right="57"/>
              <w:jc w:val="left"/>
              <w:rPr>
                <w:color w:val="FFFFFF" w:themeColor="background1"/>
              </w:rPr>
            </w:pPr>
            <w:r>
              <w:rPr>
                <w:color w:val="FFFFFF" w:themeColor="background1"/>
              </w:rPr>
              <w:t>Answers to Question 1b</w:t>
            </w:r>
          </w:p>
        </w:tc>
      </w:tr>
      <w:tr w:rsidR="0094357C" w14:paraId="026AB5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5B4" w14:textId="77777777" w:rsidR="0094357C" w:rsidRDefault="000000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5B5" w14:textId="77777777" w:rsidR="0094357C" w:rsidRDefault="000000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5B6" w14:textId="77777777" w:rsidR="0094357C" w:rsidRDefault="00000000">
            <w:pPr>
              <w:pStyle w:val="TAH"/>
              <w:spacing w:before="20" w:after="20"/>
              <w:ind w:left="57" w:right="57"/>
              <w:jc w:val="left"/>
            </w:pPr>
            <w:r>
              <w:t>Comments</w:t>
            </w:r>
          </w:p>
        </w:tc>
      </w:tr>
      <w:tr w:rsidR="0094357C" w14:paraId="026AB5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5B8" w14:textId="77777777" w:rsidR="0094357C" w:rsidRDefault="0000000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26AB5B9" w14:textId="77777777" w:rsidR="0094357C" w:rsidRDefault="00000000">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26AB5BA" w14:textId="77777777" w:rsidR="0094357C" w:rsidRDefault="00000000">
            <w:pPr>
              <w:pStyle w:val="TAC"/>
              <w:spacing w:before="20" w:after="20"/>
              <w:ind w:left="57" w:right="57"/>
              <w:jc w:val="left"/>
              <w:rPr>
                <w:lang w:eastAsia="zh-CN"/>
              </w:rPr>
            </w:pPr>
            <w:r>
              <w:rPr>
                <w:rFonts w:hint="eastAsia"/>
                <w:lang w:eastAsia="zh-CN"/>
              </w:rPr>
              <w:t>F</w:t>
            </w:r>
            <w:r>
              <w:rPr>
                <w:lang w:eastAsia="zh-CN"/>
              </w:rPr>
              <w:t>ine to inform the RAN2 agreement.</w:t>
            </w:r>
          </w:p>
        </w:tc>
      </w:tr>
      <w:tr w:rsidR="0094357C" w14:paraId="026AB5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5BC" w14:textId="77777777" w:rsidR="0094357C" w:rsidRDefault="0000000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26AB5BD" w14:textId="77777777" w:rsidR="0094357C"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AB5BE" w14:textId="77777777" w:rsidR="0094357C" w:rsidRDefault="00000000">
            <w:pPr>
              <w:pStyle w:val="TAC"/>
              <w:spacing w:before="20" w:after="20"/>
              <w:ind w:left="57" w:right="57"/>
              <w:jc w:val="left"/>
              <w:rPr>
                <w:lang w:eastAsia="zh-CN"/>
              </w:rPr>
            </w:pPr>
            <w:r>
              <w:rPr>
                <w:lang w:eastAsia="zh-CN"/>
              </w:rPr>
              <w:t xml:space="preserve">We could inform RAN3 of the above issue, that from a RAN2 perspective, we do not see a need for a UE capability. </w:t>
            </w:r>
          </w:p>
        </w:tc>
      </w:tr>
      <w:tr w:rsidR="0094357C" w14:paraId="026AB5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5C0" w14:textId="77777777" w:rsidR="0094357C" w:rsidRDefault="009435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6AB5C1" w14:textId="77777777" w:rsidR="0094357C" w:rsidRDefault="009435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6AB5C2" w14:textId="77777777" w:rsidR="0094357C" w:rsidRDefault="0094357C">
            <w:pPr>
              <w:pStyle w:val="TAC"/>
              <w:spacing w:before="20" w:after="20"/>
              <w:ind w:left="57" w:right="57"/>
              <w:jc w:val="left"/>
              <w:rPr>
                <w:lang w:eastAsia="zh-CN"/>
              </w:rPr>
            </w:pPr>
          </w:p>
        </w:tc>
      </w:tr>
    </w:tbl>
    <w:p w14:paraId="682228F4" w14:textId="6C52D28D" w:rsidR="00EB764C" w:rsidRPr="00EB764C" w:rsidRDefault="00EB764C">
      <w:pPr>
        <w:spacing w:before="240"/>
        <w:rPr>
          <w:b/>
          <w:bCs/>
          <w:u w:val="single"/>
        </w:rPr>
      </w:pPr>
      <w:r w:rsidRPr="00EB764C">
        <w:rPr>
          <w:b/>
          <w:bCs/>
          <w:u w:val="single"/>
        </w:rPr>
        <w:t>Phase 1:</w:t>
      </w:r>
    </w:p>
    <w:p w14:paraId="5116E6C5" w14:textId="2B6FE827" w:rsidR="00C51BF6" w:rsidRPr="00DD4E5B" w:rsidRDefault="00E83C42">
      <w:pPr>
        <w:spacing w:before="240"/>
        <w:rPr>
          <w:b/>
          <w:bCs/>
        </w:rPr>
      </w:pPr>
      <w:r>
        <w:rPr>
          <w:b/>
          <w:bCs/>
        </w:rPr>
        <w:t>Ph1-</w:t>
      </w:r>
      <w:r w:rsidR="00000000">
        <w:rPr>
          <w:b/>
          <w:bCs/>
        </w:rPr>
        <w:t xml:space="preserve">Summary </w:t>
      </w:r>
      <w:r w:rsidR="00EB764C">
        <w:rPr>
          <w:b/>
          <w:bCs/>
        </w:rPr>
        <w:t>1</w:t>
      </w:r>
      <w:r w:rsidR="00000000">
        <w:t xml:space="preserve">: </w:t>
      </w:r>
      <w:r w:rsidR="002009B1">
        <w:t>Most companies think there is</w:t>
      </w:r>
      <w:r w:rsidR="00FD2EF2">
        <w:t xml:space="preserve"> still</w:t>
      </w:r>
      <w:r w:rsidR="002009B1">
        <w:t xml:space="preserve"> need </w:t>
      </w:r>
      <w:r w:rsidR="00FD2EF2">
        <w:t>for</w:t>
      </w:r>
      <w:r w:rsidR="002009B1">
        <w:t xml:space="preserve"> a mobile-IAB capability </w:t>
      </w:r>
      <w:r w:rsidR="00FD2EF2">
        <w:t>in addition to the Msg5 indication</w:t>
      </w:r>
      <w:r w:rsidR="000A1727">
        <w:t>. Some companies</w:t>
      </w:r>
      <w:r w:rsidR="002F22C1">
        <w:t xml:space="preserve"> </w:t>
      </w:r>
      <w:r w:rsidR="000A1727">
        <w:t xml:space="preserve">think </w:t>
      </w:r>
      <w:r w:rsidR="0054329D">
        <w:t xml:space="preserve">this capability is </w:t>
      </w:r>
      <w:r w:rsidR="00CD6216">
        <w:t>not needed</w:t>
      </w:r>
      <w:r w:rsidR="0054329D">
        <w:t xml:space="preserve"> </w:t>
      </w:r>
      <w:r w:rsidR="00CD6216">
        <w:t xml:space="preserve">if </w:t>
      </w:r>
      <w:r w:rsidR="00E47591">
        <w:t xml:space="preserve">RAN3 </w:t>
      </w:r>
      <w:r w:rsidR="0070333C">
        <w:t xml:space="preserve">decides to </w:t>
      </w:r>
      <w:r w:rsidR="00CD6216">
        <w:t xml:space="preserve">add a mobile IAB indication to </w:t>
      </w:r>
      <w:proofErr w:type="spellStart"/>
      <w:r w:rsidR="00CD6216">
        <w:t>Xn</w:t>
      </w:r>
      <w:proofErr w:type="spellEnd"/>
      <w:r w:rsidR="00CD6216">
        <w:t xml:space="preserve"> and that RAN2 should wait </w:t>
      </w:r>
      <w:r w:rsidR="00AA1E29">
        <w:t xml:space="preserve">before introducing it; other companies think </w:t>
      </w:r>
      <w:r w:rsidR="007D4D12">
        <w:t>the capability</w:t>
      </w:r>
      <w:r w:rsidR="00AA1E29">
        <w:t xml:space="preserve"> is needed </w:t>
      </w:r>
      <w:r w:rsidR="00B0056F">
        <w:t>regardless</w:t>
      </w:r>
      <w:r w:rsidR="00000000">
        <w:t>.</w:t>
      </w:r>
      <w:r w:rsidR="00FD2EF2">
        <w:t xml:space="preserve"> </w:t>
      </w:r>
      <w:r w:rsidR="00C51BF6">
        <w:t>Rapporteur suggests keeping capability</w:t>
      </w:r>
      <w:r w:rsidR="0092104E">
        <w:t xml:space="preserve"> </w:t>
      </w:r>
      <w:r w:rsidR="00C51BF6">
        <w:t xml:space="preserve">for now and adding </w:t>
      </w:r>
      <w:r w:rsidR="0070333C">
        <w:t>e</w:t>
      </w:r>
      <w:r w:rsidR="00C51BF6">
        <w:t xml:space="preserve">ditor </w:t>
      </w:r>
      <w:r w:rsidR="0070333C">
        <w:t>n</w:t>
      </w:r>
      <w:r w:rsidR="00C51BF6">
        <w:t>ote</w:t>
      </w:r>
      <w:r w:rsidR="00FB1F0C">
        <w:t xml:space="preserve"> to indicate that we may revisit </w:t>
      </w:r>
      <w:r w:rsidR="0070333C">
        <w:t>this</w:t>
      </w:r>
      <w:r w:rsidR="00FB1F0C">
        <w:t xml:space="preserve"> based on the RAN3 dis</w:t>
      </w:r>
      <w:r w:rsidR="0070333C">
        <w:t>c</w:t>
      </w:r>
      <w:r w:rsidR="00FB1F0C">
        <w:t>us</w:t>
      </w:r>
      <w:r w:rsidR="0070333C">
        <w:t>s</w:t>
      </w:r>
      <w:r w:rsidR="00FB1F0C">
        <w:t>ion.</w:t>
      </w:r>
      <w:r w:rsidR="00DD4E5B">
        <w:t xml:space="preserve"> </w:t>
      </w:r>
    </w:p>
    <w:p w14:paraId="026AB5EC" w14:textId="57F0AC8A" w:rsidR="0094357C" w:rsidRDefault="00372839">
      <w:pPr>
        <w:spacing w:before="240"/>
      </w:pPr>
      <w:r>
        <w:t xml:space="preserve">Rapporteur </w:t>
      </w:r>
      <w:r w:rsidR="00DC24DC">
        <w:t>sympathizes with Samsung that</w:t>
      </w:r>
      <w:r w:rsidR="00F454F3">
        <w:t xml:space="preserve"> </w:t>
      </w:r>
      <w:r w:rsidR="00E57A08">
        <w:t>the scenario where an IAB indicates it is mobile-IAB in UE capabilities but not in Msg5 is a bit odd</w:t>
      </w:r>
      <w:r w:rsidR="00DC24DC">
        <w:t xml:space="preserve">, so this should not be the deciding factor for introducing the capability (at least not without </w:t>
      </w:r>
      <w:r w:rsidR="001C6F5F">
        <w:t>further</w:t>
      </w:r>
      <w:r w:rsidR="00C51BF6">
        <w:t xml:space="preserve"> </w:t>
      </w:r>
      <w:r w:rsidR="00DC24DC">
        <w:t xml:space="preserve">clarifying SA2’s </w:t>
      </w:r>
      <w:r w:rsidR="001C6F5F">
        <w:t>intentions).</w:t>
      </w:r>
      <w:r w:rsidR="00F1648A">
        <w:t xml:space="preserve"> We can </w:t>
      </w:r>
      <w:r w:rsidR="004B7C6B">
        <w:t>capture this in the same editor note.</w:t>
      </w:r>
    </w:p>
    <w:p w14:paraId="4440D898" w14:textId="0B3BC971" w:rsidR="00F57F82" w:rsidRDefault="00E83C42" w:rsidP="00F57F82">
      <w:r>
        <w:rPr>
          <w:b/>
          <w:bCs/>
        </w:rPr>
        <w:t>Ph1-</w:t>
      </w:r>
      <w:r w:rsidR="00F57F82">
        <w:rPr>
          <w:b/>
          <w:bCs/>
        </w:rPr>
        <w:t>Proposal 1</w:t>
      </w:r>
      <w:r w:rsidR="00F57F82">
        <w:t xml:space="preserve">: RAN2 assumes mobile-IAB capability is introduced in Rel-18. FFS: if requirement for this capability is impacted by RAN3 agreements on </w:t>
      </w:r>
      <w:proofErr w:type="spellStart"/>
      <w:r w:rsidR="00F57F82">
        <w:t>Xn</w:t>
      </w:r>
      <w:proofErr w:type="spellEnd"/>
      <w:r w:rsidR="00F57F82">
        <w:t xml:space="preserve"> signalling. FFS: if any need to clarify with SA2 the intention of “</w:t>
      </w:r>
      <w:r w:rsidR="00F57F82" w:rsidRPr="00597259">
        <w:t>for a MBSR node to operate as a MBSR</w:t>
      </w:r>
      <w:r w:rsidR="00F57F82">
        <w:t xml:space="preserve">” from </w:t>
      </w:r>
      <w:r w:rsidR="00E62C09" w:rsidRPr="00E62C09">
        <w:t>clause 5.35A.1 of TS 23.501</w:t>
      </w:r>
      <w:r w:rsidR="00F57F82">
        <w:t>.</w:t>
      </w:r>
    </w:p>
    <w:p w14:paraId="4803A79D" w14:textId="3B64154C" w:rsidR="00EB764C" w:rsidRDefault="00EB764C" w:rsidP="00F57F82">
      <w:pPr>
        <w:rPr>
          <w:b/>
          <w:bCs/>
          <w:u w:val="single"/>
        </w:rPr>
      </w:pPr>
      <w:r w:rsidRPr="00EB764C">
        <w:rPr>
          <w:b/>
          <w:bCs/>
          <w:u w:val="single"/>
        </w:rPr>
        <w:t>Phase 2:</w:t>
      </w:r>
    </w:p>
    <w:p w14:paraId="186341ED" w14:textId="16757B99" w:rsidR="00F45F76" w:rsidRDefault="00E83C42" w:rsidP="00F57F82">
      <w:r>
        <w:rPr>
          <w:b/>
          <w:bCs/>
        </w:rPr>
        <w:t>Ph2-</w:t>
      </w:r>
      <w:r w:rsidR="00EB764C" w:rsidRPr="00EB764C">
        <w:rPr>
          <w:b/>
          <w:bCs/>
        </w:rPr>
        <w:t>Summary 1:</w:t>
      </w:r>
      <w:r w:rsidR="00EB764C">
        <w:t xml:space="preserve"> </w:t>
      </w:r>
      <w:r>
        <w:t>Following conclusion of Phase 1</w:t>
      </w:r>
      <w:r>
        <w:t>, a</w:t>
      </w:r>
      <w:r w:rsidR="00195438">
        <w:t xml:space="preserve">dditional comments were provided </w:t>
      </w:r>
      <w:r>
        <w:t xml:space="preserve">on </w:t>
      </w:r>
      <w:r w:rsidR="00195438">
        <w:t xml:space="preserve">this issue over the </w:t>
      </w:r>
      <w:r>
        <w:t xml:space="preserve">RAN2 </w:t>
      </w:r>
      <w:r w:rsidR="00195438">
        <w:t xml:space="preserve">reflector. </w:t>
      </w:r>
      <w:r w:rsidR="00D40901">
        <w:t xml:space="preserve">There is still some debate whether </w:t>
      </w:r>
      <w:r>
        <w:t xml:space="preserve">there will be any need to </w:t>
      </w:r>
      <w:r w:rsidR="00E1689B">
        <w:t>introduce a mobile-IAB</w:t>
      </w:r>
      <w:r>
        <w:t xml:space="preserve"> </w:t>
      </w:r>
      <w:r w:rsidR="00E1689B">
        <w:t xml:space="preserve">capability </w:t>
      </w:r>
      <w:r w:rsidR="00E13ECD">
        <w:t xml:space="preserve">if RAN3 decides to add a mobile-IAB-indication to </w:t>
      </w:r>
      <w:proofErr w:type="spellStart"/>
      <w:r w:rsidR="00E13ECD">
        <w:t>Xn</w:t>
      </w:r>
      <w:proofErr w:type="spellEnd"/>
      <w:r w:rsidR="00FC3476">
        <w:t xml:space="preserve">. There is also some disagreement whether the wording chosen by </w:t>
      </w:r>
      <w:r w:rsidR="004A7FF7">
        <w:t>SA2 in TS 23.501 is</w:t>
      </w:r>
      <w:r w:rsidR="00596F4E">
        <w:t xml:space="preserve"> really</w:t>
      </w:r>
      <w:r w:rsidR="004A7FF7">
        <w:t xml:space="preserve"> intended to allow a mobile IAB node to optionally indicate </w:t>
      </w:r>
      <w:r w:rsidR="00957C0C">
        <w:t xml:space="preserve">that it is a </w:t>
      </w:r>
      <w:r w:rsidR="004A7FF7">
        <w:t>mobile-IAB in Msg5</w:t>
      </w:r>
      <w:r w:rsidR="009E56C8">
        <w:t xml:space="preserve">, and </w:t>
      </w:r>
      <w:r w:rsidR="00E7643B">
        <w:t xml:space="preserve">how the </w:t>
      </w:r>
      <w:r w:rsidR="003A7BE5">
        <w:t xml:space="preserve">mobile IAB-MT AS layer </w:t>
      </w:r>
      <w:r w:rsidR="00E7643B">
        <w:t xml:space="preserve">could be informed </w:t>
      </w:r>
      <w:r w:rsidR="0032027B">
        <w:t xml:space="preserve">that </w:t>
      </w:r>
      <w:r w:rsidR="004D1770">
        <w:t>it is not allowed to operate as “mobile” based on</w:t>
      </w:r>
      <w:r w:rsidR="0032027B">
        <w:t xml:space="preserve"> AMF authentication</w:t>
      </w:r>
      <w:r w:rsidR="004D1770">
        <w:t xml:space="preserve"> indication</w:t>
      </w:r>
      <w:r w:rsidR="0032027B">
        <w:t xml:space="preserve"> (which would require </w:t>
      </w:r>
      <w:r w:rsidR="002C46F2">
        <w:t>further AS-NAS interaction to be specified</w:t>
      </w:r>
      <w:r w:rsidR="000879E5">
        <w:t>)</w:t>
      </w:r>
      <w:r w:rsidR="004A7FF7">
        <w:t>.</w:t>
      </w:r>
    </w:p>
    <w:p w14:paraId="4CC76CFC" w14:textId="075AED31" w:rsidR="00EB764C" w:rsidRDefault="00F45F76" w:rsidP="00F57F82">
      <w:r>
        <w:t xml:space="preserve">Two </w:t>
      </w:r>
      <w:r w:rsidR="00131997">
        <w:t xml:space="preserve">companies </w:t>
      </w:r>
      <w:r w:rsidR="00131997">
        <w:t>(Huawei, Samsung)</w:t>
      </w:r>
      <w:r w:rsidR="00131997">
        <w:t xml:space="preserve"> have doubts on the need for the capability based on these issues</w:t>
      </w:r>
      <w:r w:rsidR="00C5003C">
        <w:t xml:space="preserve">; </w:t>
      </w:r>
      <w:r w:rsidR="000313C8">
        <w:t xml:space="preserve">meanwhile four companies (Apple, Intel, ZTE, and Ericsson) </w:t>
      </w:r>
      <w:r w:rsidR="008B2E4F">
        <w:t xml:space="preserve">think the </w:t>
      </w:r>
      <w:r w:rsidR="000313C8">
        <w:t xml:space="preserve">mobile-IAB capability </w:t>
      </w:r>
      <w:r w:rsidR="008B2E4F">
        <w:t>serves a different purpose from the mobile-IAB-indication (in Msg5/</w:t>
      </w:r>
      <w:proofErr w:type="spellStart"/>
      <w:r w:rsidR="008B2E4F">
        <w:t>Xn</w:t>
      </w:r>
      <w:proofErr w:type="spellEnd"/>
      <w:r w:rsidR="008B2E4F">
        <w:t xml:space="preserve">) and therefore support introducing the capability </w:t>
      </w:r>
      <w:r w:rsidR="000313C8">
        <w:t>irrespective of the</w:t>
      </w:r>
      <w:r w:rsidR="008B2E4F">
        <w:t>se issues.</w:t>
      </w:r>
    </w:p>
    <w:p w14:paraId="1C9D69E4" w14:textId="4365B74D" w:rsidR="00CF2A86" w:rsidRDefault="00CF2A86" w:rsidP="00F57F82">
      <w:r>
        <w:t>Rapporteur suggest</w:t>
      </w:r>
      <w:r w:rsidR="004B102C">
        <w:t>s</w:t>
      </w:r>
      <w:r>
        <w:t xml:space="preserve"> that </w:t>
      </w:r>
      <w:r w:rsidR="004B102C">
        <w:t>we continue with</w:t>
      </w:r>
      <w:r w:rsidR="00323C6B">
        <w:t xml:space="preserve"> the</w:t>
      </w:r>
      <w:r w:rsidR="004B102C">
        <w:t xml:space="preserve"> assumption that the </w:t>
      </w:r>
      <w:r w:rsidR="00BA40A4">
        <w:t xml:space="preserve">mobile-IAB </w:t>
      </w:r>
      <w:r w:rsidR="004B102C">
        <w:t xml:space="preserve">capability can be </w:t>
      </w:r>
      <w:r w:rsidR="00BA7AE9">
        <w:t>introduced but</w:t>
      </w:r>
      <w:r w:rsidR="003A5346">
        <w:t xml:space="preserve"> clarify the FFS in Ph1-Proposal 1</w:t>
      </w:r>
      <w:r w:rsidR="00BA40A4">
        <w:t xml:space="preserve"> so the issues in question can be discussed further, if needed.</w:t>
      </w:r>
    </w:p>
    <w:p w14:paraId="240CC4F4" w14:textId="6ACC9542" w:rsidR="00BA40A4" w:rsidRDefault="00A631EC" w:rsidP="00F57F82">
      <w:r>
        <w:rPr>
          <w:b/>
          <w:bCs/>
        </w:rPr>
        <w:t>Ph</w:t>
      </w:r>
      <w:r w:rsidR="00BA7AE9">
        <w:rPr>
          <w:b/>
          <w:bCs/>
        </w:rPr>
        <w:t>2</w:t>
      </w:r>
      <w:r>
        <w:rPr>
          <w:b/>
          <w:bCs/>
        </w:rPr>
        <w:t>-Proposal 1</w:t>
      </w:r>
      <w:r>
        <w:t xml:space="preserve">: RAN2 assumes mobile-IAB capability is introduced in Rel-18. FFS: if requirement for this capability is impacted by RAN3 </w:t>
      </w:r>
      <w:r w:rsidRPr="00A631EC">
        <w:t xml:space="preserve">decision to add/not add mobile IAB-node indication to </w:t>
      </w:r>
      <w:proofErr w:type="spellStart"/>
      <w:r w:rsidRPr="00A631EC">
        <w:t>Xn</w:t>
      </w:r>
      <w:proofErr w:type="spellEnd"/>
      <w:r w:rsidRPr="00A631EC">
        <w:t xml:space="preserve"> handover request</w:t>
      </w:r>
      <w:r>
        <w:t>. FFS: if any need to clarify with SA2 the intention of “</w:t>
      </w:r>
      <w:r w:rsidRPr="00597259">
        <w:t>for a MBSR node to operate as a MBSR</w:t>
      </w:r>
      <w:r>
        <w:t xml:space="preserve">” from </w:t>
      </w:r>
      <w:r w:rsidRPr="00E62C09">
        <w:t>clause 5.35A.1 of TS 23.501</w:t>
      </w:r>
      <w:r w:rsidR="0067541D" w:rsidRPr="0067541D">
        <w:t xml:space="preserve">, </w:t>
      </w:r>
      <w:proofErr w:type="gramStart"/>
      <w:r w:rsidR="0067541D" w:rsidRPr="0067541D">
        <w:t>i.e.</w:t>
      </w:r>
      <w:proofErr w:type="gramEnd"/>
      <w:r w:rsidR="0067541D" w:rsidRPr="0067541D">
        <w:t xml:space="preserve"> whether a mobile IAB shall always include or optionally include mobileIAB-NodeIndication-r18 in Msg5</w:t>
      </w:r>
      <w:r>
        <w:t>.</w:t>
      </w:r>
    </w:p>
    <w:p w14:paraId="026AB5EE" w14:textId="77777777" w:rsidR="0094357C" w:rsidRDefault="00000000">
      <w:pPr>
        <w:pStyle w:val="Heading2"/>
      </w:pPr>
      <w:r>
        <w:t>3.2</w:t>
      </w:r>
      <w:r>
        <w:tab/>
        <w:t>Optional features (not requiring new capabilities)</w:t>
      </w:r>
    </w:p>
    <w:p w14:paraId="026AB5EF" w14:textId="77777777" w:rsidR="0094357C" w:rsidRDefault="00000000">
      <w:r>
        <w:t>Section 5 of TS 38.306 captures optional features that may be supported by UEs without capability signalling. Two agreements for mobile IAB seem appropriate to add to this section of the specification.</w:t>
      </w:r>
    </w:p>
    <w:p w14:paraId="026AB5F0" w14:textId="77777777" w:rsidR="0094357C" w:rsidRDefault="00000000">
      <w:r>
        <w:t>RAN2#120:</w:t>
      </w:r>
    </w:p>
    <w:p w14:paraId="026AB5F1" w14:textId="77777777" w:rsidR="0094357C" w:rsidRDefault="00000000">
      <w:pPr>
        <w:pStyle w:val="Agreement"/>
        <w:tabs>
          <w:tab w:val="clear" w:pos="9990"/>
        </w:tabs>
        <w:overflowPunct/>
        <w:autoSpaceDE/>
        <w:autoSpaceDN/>
        <w:adjustRightInd/>
        <w:ind w:left="1619" w:hanging="360"/>
        <w:rPr>
          <w:bCs/>
        </w:rPr>
      </w:pPr>
      <w:r>
        <w:rPr>
          <w:bCs/>
        </w:rPr>
        <w:t xml:space="preserve">A mobile IAB node may camp on and connect to legacy Rel-16/Rel-17 IAB capable cell. </w:t>
      </w:r>
    </w:p>
    <w:p w14:paraId="026AB5F2" w14:textId="77777777" w:rsidR="0094357C" w:rsidRDefault="00000000">
      <w:pPr>
        <w:spacing w:before="240"/>
      </w:pPr>
      <w:r>
        <w:t>Since we never specified any related behaviour, it seems unnecessary to introduce a capability for mobile IABs that can access Rel-16/Rel-17 IAB-capable cells, but we may wish to at least capture in TS 38.306 section 5.4 that IAB-MTs may optionally camp on legacy IAB-capable cells.</w:t>
      </w:r>
    </w:p>
    <w:p w14:paraId="026AB5F3" w14:textId="77777777" w:rsidR="0094357C" w:rsidRDefault="00000000">
      <w:r>
        <w:rPr>
          <w:b/>
          <w:bCs/>
        </w:rPr>
        <w:lastRenderedPageBreak/>
        <w:t>Question 2a</w:t>
      </w:r>
      <w:r>
        <w:t>: Do companies agree that no capability is needed to indicate that mobile IAB can camp on/connect to legacy IAB-capable cells?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4357C" w14:paraId="026AB5F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6AB5F4" w14:textId="77777777" w:rsidR="0094357C" w:rsidRDefault="00000000">
            <w:pPr>
              <w:pStyle w:val="TAH"/>
              <w:spacing w:before="20" w:after="20"/>
              <w:ind w:left="57" w:right="57"/>
              <w:jc w:val="left"/>
              <w:rPr>
                <w:color w:val="FFFFFF" w:themeColor="background1"/>
              </w:rPr>
            </w:pPr>
            <w:r>
              <w:rPr>
                <w:color w:val="FFFFFF" w:themeColor="background1"/>
              </w:rPr>
              <w:t>Answers to Question 2a</w:t>
            </w:r>
          </w:p>
        </w:tc>
      </w:tr>
      <w:tr w:rsidR="0094357C" w14:paraId="026AB5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5F6" w14:textId="77777777" w:rsidR="0094357C" w:rsidRDefault="000000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5F7" w14:textId="77777777" w:rsidR="0094357C" w:rsidRDefault="000000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5F8" w14:textId="77777777" w:rsidR="0094357C" w:rsidRDefault="00000000">
            <w:pPr>
              <w:pStyle w:val="TAH"/>
              <w:spacing w:before="20" w:after="20"/>
              <w:ind w:left="57" w:right="57"/>
              <w:jc w:val="left"/>
            </w:pPr>
            <w:r>
              <w:t>Comments</w:t>
            </w:r>
          </w:p>
        </w:tc>
      </w:tr>
      <w:tr w:rsidR="0094357C" w14:paraId="026AB5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5FA" w14:textId="77777777" w:rsidR="0094357C" w:rsidRDefault="000000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26AB5FB" w14:textId="77777777" w:rsidR="0094357C"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AB5FC" w14:textId="77777777" w:rsidR="0094357C" w:rsidRDefault="00000000">
            <w:pPr>
              <w:pStyle w:val="TAC"/>
              <w:spacing w:before="20" w:after="20"/>
              <w:ind w:left="57" w:right="57"/>
              <w:jc w:val="left"/>
              <w:rPr>
                <w:lang w:eastAsia="zh-CN"/>
              </w:rPr>
            </w:pPr>
            <w:r>
              <w:rPr>
                <w:lang w:eastAsia="zh-CN"/>
              </w:rPr>
              <w:t>Our understanding on this agreement is: it is a requirement (</w:t>
            </w:r>
            <w:proofErr w:type="gramStart"/>
            <w:r>
              <w:rPr>
                <w:lang w:eastAsia="zh-CN"/>
              </w:rPr>
              <w:t>i.e.</w:t>
            </w:r>
            <w:proofErr w:type="gramEnd"/>
            <w:r>
              <w:rPr>
                <w:lang w:eastAsia="zh-CN"/>
              </w:rPr>
              <w:t xml:space="preserve"> mandate mobile IAB-MT to be able to camp in both Rel-18 cell and legacy R16/R17 cells) rather than capability. </w:t>
            </w:r>
          </w:p>
        </w:tc>
      </w:tr>
      <w:tr w:rsidR="0094357C" w14:paraId="026AB6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5FE" w14:textId="77777777" w:rsidR="0094357C" w:rsidRDefault="0000000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26AB5FF" w14:textId="77777777" w:rsidR="0094357C"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AB600" w14:textId="77777777" w:rsidR="0094357C" w:rsidRDefault="00000000">
            <w:pPr>
              <w:pStyle w:val="TAC"/>
              <w:spacing w:before="20" w:after="20"/>
              <w:ind w:left="57" w:right="57"/>
              <w:jc w:val="left"/>
              <w:rPr>
                <w:lang w:eastAsia="zh-CN"/>
              </w:rPr>
            </w:pPr>
            <w:r>
              <w:rPr>
                <w:lang w:eastAsia="zh-CN"/>
              </w:rPr>
              <w:t>If there’s no “</w:t>
            </w:r>
            <w:proofErr w:type="spellStart"/>
            <w:r>
              <w:rPr>
                <w:i/>
                <w:iCs/>
                <w:lang w:eastAsia="zh-CN"/>
              </w:rPr>
              <w:t>mobileIAB</w:t>
            </w:r>
            <w:proofErr w:type="spellEnd"/>
            <w:r>
              <w:rPr>
                <w:i/>
                <w:iCs/>
                <w:lang w:eastAsia="zh-CN"/>
              </w:rPr>
              <w:t>-Support</w:t>
            </w:r>
            <w:r>
              <w:rPr>
                <w:lang w:eastAsia="zh-CN"/>
              </w:rPr>
              <w:t xml:space="preserve">” in SIB1, a mobile IAB-node may camp on/connect to a legacy IAB-capable cells based on its implementation/preference. </w:t>
            </w:r>
          </w:p>
          <w:p w14:paraId="026AB601" w14:textId="77777777" w:rsidR="0094357C" w:rsidRDefault="0094357C">
            <w:pPr>
              <w:pStyle w:val="TAC"/>
              <w:spacing w:before="20" w:after="20"/>
              <w:ind w:left="57" w:right="57"/>
              <w:jc w:val="left"/>
              <w:rPr>
                <w:lang w:eastAsia="zh-CN"/>
              </w:rPr>
            </w:pPr>
          </w:p>
          <w:p w14:paraId="026AB602" w14:textId="77777777" w:rsidR="0094357C" w:rsidRDefault="00000000">
            <w:pPr>
              <w:pStyle w:val="TAC"/>
              <w:spacing w:before="20" w:after="20"/>
              <w:ind w:left="57" w:right="57"/>
              <w:jc w:val="left"/>
              <w:rPr>
                <w:lang w:eastAsia="zh-CN"/>
              </w:rPr>
            </w:pPr>
            <w:r>
              <w:rPr>
                <w:lang w:eastAsia="zh-CN"/>
              </w:rPr>
              <w:t xml:space="preserve">For this part, since mobile IAB-node is an enhanced node on top of legacy IAB-node, therefore, at least mandatory features supported by Rel-16/Rel-17 IAB-nodes should also be supported by mobile IAB-node, except having descendant nodes (which can be identified by above new capability for mobile IAB, also note that DC is also optional for IAB in R16/R17). This allows the mobile IAB-node to camp on/connect to legacy IAB-capable cells. </w:t>
            </w:r>
          </w:p>
          <w:p w14:paraId="026AB603" w14:textId="77777777" w:rsidR="0094357C" w:rsidRDefault="0094357C">
            <w:pPr>
              <w:pStyle w:val="TAC"/>
              <w:spacing w:before="20" w:after="20"/>
              <w:ind w:left="57" w:right="57"/>
              <w:jc w:val="left"/>
              <w:rPr>
                <w:lang w:eastAsia="zh-CN"/>
              </w:rPr>
            </w:pPr>
          </w:p>
          <w:p w14:paraId="026AB604" w14:textId="77777777" w:rsidR="0094357C" w:rsidRDefault="00000000">
            <w:pPr>
              <w:pStyle w:val="TAC"/>
              <w:spacing w:before="20" w:after="20"/>
              <w:ind w:left="57" w:right="57"/>
              <w:jc w:val="left"/>
              <w:rPr>
                <w:lang w:eastAsia="zh-CN"/>
              </w:rPr>
            </w:pPr>
            <w:r>
              <w:rPr>
                <w:lang w:eastAsia="zh-CN"/>
              </w:rPr>
              <w:t xml:space="preserve">Hence, there’s no new capability is needed </w:t>
            </w:r>
            <w:r>
              <w:t>to indicate that mobile IAB can camp on/connect to legacy IAB-capable cells</w:t>
            </w:r>
          </w:p>
        </w:tc>
      </w:tr>
      <w:tr w:rsidR="0094357C" w14:paraId="026AB6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06" w14:textId="77777777" w:rsidR="0094357C" w:rsidRDefault="0000000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26AB607" w14:textId="77777777" w:rsidR="0094357C"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AB608" w14:textId="77777777" w:rsidR="0094357C" w:rsidRDefault="0094357C">
            <w:pPr>
              <w:pStyle w:val="TAC"/>
              <w:spacing w:before="20" w:after="20"/>
              <w:ind w:left="57" w:right="57"/>
              <w:jc w:val="left"/>
              <w:rPr>
                <w:lang w:eastAsia="zh-CN"/>
              </w:rPr>
            </w:pPr>
          </w:p>
        </w:tc>
      </w:tr>
      <w:tr w:rsidR="0094357C" w14:paraId="026AB6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0A" w14:textId="77777777" w:rsidR="0094357C" w:rsidRDefault="0000000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26AB60B" w14:textId="77777777" w:rsidR="0094357C"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AB60C" w14:textId="77777777" w:rsidR="0094357C" w:rsidRDefault="00000000">
            <w:pPr>
              <w:pStyle w:val="TAC"/>
              <w:spacing w:before="20" w:after="20"/>
              <w:ind w:left="57" w:right="57"/>
              <w:jc w:val="left"/>
              <w:rPr>
                <w:lang w:eastAsia="zh-CN"/>
              </w:rPr>
            </w:pPr>
            <w:r>
              <w:rPr>
                <w:lang w:eastAsia="zh-CN"/>
              </w:rPr>
              <w:t>Agree with what is stated above</w:t>
            </w:r>
          </w:p>
        </w:tc>
      </w:tr>
      <w:tr w:rsidR="0094357C" w14:paraId="026AB6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0E" w14:textId="77777777" w:rsidR="0094357C" w:rsidRDefault="0000000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26AB60F" w14:textId="77777777" w:rsidR="0094357C" w:rsidRDefault="00000000">
            <w:pPr>
              <w:pStyle w:val="TAC"/>
              <w:spacing w:before="20" w:after="20"/>
              <w:ind w:left="57" w:right="57"/>
              <w:jc w:val="left"/>
              <w:rPr>
                <w:lang w:val="en-US" w:eastAsia="zh-CN"/>
              </w:rPr>
            </w:pPr>
            <w:r>
              <w:rPr>
                <w:rFonts w:hint="eastAsia"/>
                <w:lang w:val="en-US"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026AB610" w14:textId="77777777" w:rsidR="0094357C" w:rsidRDefault="0094357C">
            <w:pPr>
              <w:pStyle w:val="TAC"/>
              <w:spacing w:before="20" w:after="20"/>
              <w:ind w:left="57" w:right="57"/>
              <w:jc w:val="left"/>
              <w:rPr>
                <w:lang w:eastAsia="zh-CN"/>
              </w:rPr>
            </w:pPr>
          </w:p>
        </w:tc>
      </w:tr>
      <w:tr w:rsidR="0094357C" w14:paraId="026AB6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12" w14:textId="77777777" w:rsidR="0094357C" w:rsidRDefault="009435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6AB613" w14:textId="77777777" w:rsidR="0094357C" w:rsidRDefault="009435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6AB614" w14:textId="77777777" w:rsidR="0094357C" w:rsidRDefault="0094357C">
            <w:pPr>
              <w:pStyle w:val="TAC"/>
              <w:spacing w:before="20" w:after="20"/>
              <w:ind w:left="57" w:right="57"/>
              <w:jc w:val="left"/>
              <w:rPr>
                <w:lang w:eastAsia="zh-CN"/>
              </w:rPr>
            </w:pPr>
          </w:p>
        </w:tc>
      </w:tr>
    </w:tbl>
    <w:p w14:paraId="026AB632" w14:textId="7C38627F" w:rsidR="0094357C" w:rsidRDefault="00000000">
      <w:pPr>
        <w:spacing w:before="240"/>
      </w:pPr>
      <w:r>
        <w:rPr>
          <w:b/>
          <w:bCs/>
        </w:rPr>
        <w:t>Question 2b</w:t>
      </w:r>
      <w:r>
        <w:t>: Do companies think it is necessary to capture this as an optionally supported behaviour of the mobile IAB-MT in TS 38.306 section 5.4?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4357C" w14:paraId="026AB63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6AB633" w14:textId="77777777" w:rsidR="0094357C" w:rsidRDefault="00000000">
            <w:pPr>
              <w:pStyle w:val="TAH"/>
              <w:spacing w:before="20" w:after="20"/>
              <w:ind w:left="57" w:right="57"/>
              <w:jc w:val="left"/>
              <w:rPr>
                <w:color w:val="FFFFFF" w:themeColor="background1"/>
              </w:rPr>
            </w:pPr>
            <w:r>
              <w:rPr>
                <w:color w:val="FFFFFF" w:themeColor="background1"/>
              </w:rPr>
              <w:t>Answers to Question 2b</w:t>
            </w:r>
          </w:p>
        </w:tc>
      </w:tr>
      <w:tr w:rsidR="0094357C" w14:paraId="026AB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635" w14:textId="77777777" w:rsidR="0094357C" w:rsidRDefault="000000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636" w14:textId="77777777" w:rsidR="0094357C" w:rsidRDefault="000000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637" w14:textId="77777777" w:rsidR="0094357C" w:rsidRDefault="00000000">
            <w:pPr>
              <w:pStyle w:val="TAH"/>
              <w:spacing w:before="20" w:after="20"/>
              <w:ind w:left="57" w:right="57"/>
              <w:jc w:val="left"/>
            </w:pPr>
            <w:r>
              <w:t>Comments</w:t>
            </w:r>
          </w:p>
        </w:tc>
      </w:tr>
      <w:tr w:rsidR="0094357C" w14:paraId="026AB6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39" w14:textId="77777777" w:rsidR="0094357C" w:rsidRDefault="000000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26AB63A" w14:textId="77777777" w:rsidR="0094357C" w:rsidRDefault="00000000">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26AB63B" w14:textId="77777777" w:rsidR="0094357C" w:rsidRDefault="00000000">
            <w:pPr>
              <w:pStyle w:val="TAC"/>
              <w:spacing w:before="20" w:after="20"/>
              <w:ind w:left="57" w:right="57"/>
              <w:jc w:val="left"/>
              <w:rPr>
                <w:lang w:eastAsia="zh-CN"/>
              </w:rPr>
            </w:pPr>
            <w:r>
              <w:rPr>
                <w:lang w:eastAsia="zh-CN"/>
              </w:rPr>
              <w:t>As we mentioned in Q2a, this is a requirement for mobile IAB-MT rather than capability.</w:t>
            </w:r>
          </w:p>
        </w:tc>
      </w:tr>
      <w:tr w:rsidR="0094357C" w14:paraId="026AB6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3D" w14:textId="77777777" w:rsidR="0094357C" w:rsidRDefault="0000000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26AB63E" w14:textId="77777777" w:rsidR="0094357C" w:rsidRDefault="00000000">
            <w:pPr>
              <w:pStyle w:val="TAC"/>
              <w:spacing w:before="20" w:after="20"/>
              <w:ind w:left="57" w:right="57"/>
              <w:jc w:val="left"/>
              <w:rPr>
                <w:lang w:eastAsia="zh-CN"/>
              </w:rPr>
            </w:pPr>
            <w:r>
              <w:rPr>
                <w:lang w:eastAsia="zh-CN"/>
              </w:rPr>
              <w:t>No need</w:t>
            </w:r>
          </w:p>
        </w:tc>
        <w:tc>
          <w:tcPr>
            <w:tcW w:w="6942" w:type="dxa"/>
            <w:tcBorders>
              <w:top w:val="single" w:sz="4" w:space="0" w:color="auto"/>
              <w:left w:val="single" w:sz="4" w:space="0" w:color="auto"/>
              <w:bottom w:val="single" w:sz="4" w:space="0" w:color="auto"/>
              <w:right w:val="single" w:sz="4" w:space="0" w:color="auto"/>
            </w:tcBorders>
          </w:tcPr>
          <w:p w14:paraId="026AB63F" w14:textId="77777777" w:rsidR="0094357C" w:rsidRDefault="00000000">
            <w:pPr>
              <w:pStyle w:val="TAC"/>
              <w:spacing w:before="20" w:after="20"/>
              <w:ind w:right="57"/>
              <w:jc w:val="left"/>
              <w:rPr>
                <w:lang w:eastAsia="zh-CN"/>
              </w:rPr>
            </w:pPr>
            <w:r>
              <w:rPr>
                <w:lang w:eastAsia="zh-CN"/>
              </w:rPr>
              <w:t xml:space="preserve"> We think it is not needed to capture this as an optional feature for mobile IAB-MT. Alternatively, if companies want to clarify, we can clarify that mandatory features for IAB-MT are also applicable for mobile IAB-MT in section 4.2.15.</w:t>
            </w:r>
          </w:p>
        </w:tc>
      </w:tr>
      <w:tr w:rsidR="0094357C" w14:paraId="026AB6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41" w14:textId="77777777" w:rsidR="0094357C" w:rsidRDefault="0000000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26AB642" w14:textId="77777777" w:rsidR="0094357C"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6AB643" w14:textId="77777777" w:rsidR="0094357C" w:rsidRDefault="0094357C">
            <w:pPr>
              <w:pStyle w:val="TAC"/>
              <w:spacing w:before="20" w:after="20"/>
              <w:ind w:left="57" w:right="57"/>
              <w:jc w:val="left"/>
              <w:rPr>
                <w:lang w:eastAsia="zh-CN"/>
              </w:rPr>
            </w:pPr>
          </w:p>
        </w:tc>
      </w:tr>
      <w:tr w:rsidR="0094357C" w14:paraId="026AB6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45" w14:textId="77777777" w:rsidR="0094357C" w:rsidRDefault="0000000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26AB646" w14:textId="77777777" w:rsidR="0094357C"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6AB647" w14:textId="77777777" w:rsidR="0094357C" w:rsidRDefault="0094357C">
            <w:pPr>
              <w:pStyle w:val="TAC"/>
              <w:spacing w:before="20" w:after="20"/>
              <w:ind w:left="57" w:right="57"/>
              <w:jc w:val="left"/>
              <w:rPr>
                <w:lang w:eastAsia="zh-CN"/>
              </w:rPr>
            </w:pPr>
          </w:p>
        </w:tc>
      </w:tr>
      <w:tr w:rsidR="0094357C" w14:paraId="026AB6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49" w14:textId="77777777" w:rsidR="0094357C" w:rsidRDefault="0000000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26AB64A" w14:textId="77777777" w:rsidR="0094357C" w:rsidRDefault="00000000">
            <w:pPr>
              <w:pStyle w:val="TAC"/>
              <w:spacing w:before="20" w:after="20"/>
              <w:ind w:left="57" w:right="57"/>
              <w:jc w:val="left"/>
              <w:rPr>
                <w:lang w:val="en-US" w:eastAsia="zh-CN"/>
              </w:rPr>
            </w:pPr>
            <w:r>
              <w:rPr>
                <w:rFonts w:hint="eastAsia"/>
                <w:lang w:val="en-US"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26AB64B" w14:textId="77777777" w:rsidR="0094357C" w:rsidRDefault="00000000">
            <w:pPr>
              <w:pStyle w:val="TAC"/>
              <w:spacing w:before="20" w:after="20"/>
              <w:ind w:left="57" w:right="57"/>
              <w:jc w:val="left"/>
              <w:rPr>
                <w:lang w:val="en-US" w:eastAsia="zh-CN"/>
              </w:rPr>
            </w:pPr>
            <w:r>
              <w:rPr>
                <w:rFonts w:hint="eastAsia"/>
                <w:lang w:val="en-US" w:eastAsia="zh-CN"/>
              </w:rPr>
              <w:t xml:space="preserve">It has already been captured in the 38.300 running CR that </w:t>
            </w:r>
            <w:proofErr w:type="gramStart"/>
            <w:r>
              <w:rPr>
                <w:lang w:val="en-US" w:eastAsia="zh-CN"/>
              </w:rPr>
              <w:t>“</w:t>
            </w:r>
            <w:r>
              <w:rPr>
                <w:lang w:eastAsia="zh-CN"/>
              </w:rPr>
              <w:t xml:space="preserve"> Mobile</w:t>
            </w:r>
            <w:proofErr w:type="gramEnd"/>
            <w:r>
              <w:rPr>
                <w:lang w:eastAsia="zh-CN"/>
              </w:rPr>
              <w:t xml:space="preserve"> IAB supports the same functionality as IAB unless explicitly specified.</w:t>
            </w:r>
            <w:r>
              <w:rPr>
                <w:lang w:val="en-US" w:eastAsia="zh-CN"/>
              </w:rPr>
              <w:t>”</w:t>
            </w:r>
            <w:r>
              <w:rPr>
                <w:rFonts w:hint="eastAsia"/>
                <w:lang w:val="en-US" w:eastAsia="zh-CN"/>
              </w:rPr>
              <w:t xml:space="preserve"> and </w:t>
            </w:r>
            <w:r>
              <w:rPr>
                <w:lang w:val="en-US" w:eastAsia="zh-CN"/>
              </w:rPr>
              <w:t>“</w:t>
            </w:r>
            <w:r>
              <w:rPr>
                <w:lang w:eastAsia="zh-CN"/>
              </w:rPr>
              <w:t>The mobile IAB-node can connect to a RAN that supports mobile IAB as well as a RAN that supports IAB without mobile-IAB enhancements.</w:t>
            </w:r>
            <w:r>
              <w:rPr>
                <w:lang w:val="en-US" w:eastAsia="zh-CN"/>
              </w:rPr>
              <w:t>”</w:t>
            </w:r>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it seems not necessary to captured it in 38.306 again. </w:t>
            </w:r>
          </w:p>
        </w:tc>
      </w:tr>
      <w:tr w:rsidR="0094357C" w14:paraId="026AB6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4D" w14:textId="77777777" w:rsidR="0094357C" w:rsidRDefault="009435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6AB64E" w14:textId="77777777" w:rsidR="0094357C" w:rsidRDefault="009435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6AB64F" w14:textId="77777777" w:rsidR="0094357C" w:rsidRDefault="0094357C">
            <w:pPr>
              <w:pStyle w:val="TAC"/>
              <w:spacing w:before="20" w:after="20"/>
              <w:ind w:left="57" w:right="57"/>
              <w:jc w:val="left"/>
              <w:rPr>
                <w:lang w:eastAsia="zh-CN"/>
              </w:rPr>
            </w:pPr>
          </w:p>
        </w:tc>
      </w:tr>
    </w:tbl>
    <w:p w14:paraId="3DCB2B25" w14:textId="44DB2414" w:rsidR="00BE20FA" w:rsidRPr="00BE20FA" w:rsidRDefault="00BE20FA">
      <w:pPr>
        <w:spacing w:before="240"/>
        <w:rPr>
          <w:b/>
          <w:bCs/>
          <w:u w:val="single"/>
        </w:rPr>
      </w:pPr>
      <w:r w:rsidRPr="00BE20FA">
        <w:rPr>
          <w:b/>
          <w:bCs/>
          <w:u w:val="single"/>
        </w:rPr>
        <w:t>Phase 1:</w:t>
      </w:r>
    </w:p>
    <w:p w14:paraId="026AB66D" w14:textId="0DAE5E62" w:rsidR="0094357C" w:rsidRDefault="00BE20FA">
      <w:pPr>
        <w:spacing w:before="240"/>
      </w:pPr>
      <w:r>
        <w:rPr>
          <w:b/>
          <w:bCs/>
        </w:rPr>
        <w:t>Ph1-</w:t>
      </w:r>
      <w:r w:rsidR="00000000">
        <w:rPr>
          <w:b/>
          <w:bCs/>
        </w:rPr>
        <w:t>Summary 2</w:t>
      </w:r>
      <w:r w:rsidR="00000000">
        <w:t xml:space="preserve">: </w:t>
      </w:r>
      <w:r w:rsidR="00A644A0">
        <w:t xml:space="preserve">Companies </w:t>
      </w:r>
      <w:r w:rsidR="006752B4">
        <w:t>s</w:t>
      </w:r>
      <w:r w:rsidR="00A644A0">
        <w:t xml:space="preserve">hare the view that </w:t>
      </w:r>
      <w:r w:rsidR="00876798">
        <w:t xml:space="preserve">no capability is needed to distinguish </w:t>
      </w:r>
      <w:r w:rsidR="00A644A0">
        <w:t>IAB-MT</w:t>
      </w:r>
      <w:r w:rsidR="00160018">
        <w:t>s</w:t>
      </w:r>
      <w:r w:rsidR="00A644A0">
        <w:t xml:space="preserve"> that ca</w:t>
      </w:r>
      <w:r w:rsidR="00160018">
        <w:t>n access</w:t>
      </w:r>
      <w:r w:rsidR="00A644A0">
        <w:t xml:space="preserve"> legacy </w:t>
      </w:r>
      <w:r w:rsidR="00160018">
        <w:t>IAB nodes</w:t>
      </w:r>
      <w:r w:rsidR="00F70742">
        <w:t>; furthermore, some c</w:t>
      </w:r>
      <w:r w:rsidR="00876798">
        <w:t xml:space="preserve">ompanies </w:t>
      </w:r>
      <w:r w:rsidR="00F70742">
        <w:t xml:space="preserve">understand this to be a </w:t>
      </w:r>
      <w:r w:rsidR="00265DC5">
        <w:t xml:space="preserve">requirement </w:t>
      </w:r>
      <w:r w:rsidR="00F70742">
        <w:t xml:space="preserve">for IAB-MT rather </w:t>
      </w:r>
      <w:r w:rsidR="006A6AC5">
        <w:t>than an</w:t>
      </w:r>
      <w:r w:rsidR="00265DC5">
        <w:t xml:space="preserve"> optional feature</w:t>
      </w:r>
      <w:r w:rsidR="00000000">
        <w:t>.</w:t>
      </w:r>
      <w:r w:rsidR="006A6AC5">
        <w:t xml:space="preserve"> </w:t>
      </w:r>
      <w:r w:rsidR="00785EEC">
        <w:t>Hence, i</w:t>
      </w:r>
      <w:r w:rsidR="00AA0204">
        <w:t>t is understood that there are no</w:t>
      </w:r>
      <w:r w:rsidR="00785EEC">
        <w:t xml:space="preserve"> impacts to TS 38.306.</w:t>
      </w:r>
    </w:p>
    <w:p w14:paraId="4E01323A" w14:textId="5DC4FB8C" w:rsidR="00B753CC" w:rsidRDefault="00BE20FA" w:rsidP="00B753CC">
      <w:r>
        <w:rPr>
          <w:b/>
          <w:bCs/>
        </w:rPr>
        <w:t>Ph1-</w:t>
      </w:r>
      <w:r w:rsidR="00B753CC" w:rsidRPr="00B753CC">
        <w:rPr>
          <w:b/>
          <w:bCs/>
        </w:rPr>
        <w:t>Proposal 2</w:t>
      </w:r>
      <w:r w:rsidR="00B753CC">
        <w:t xml:space="preserve">: </w:t>
      </w:r>
      <w:r w:rsidR="003078F2">
        <w:t>N</w:t>
      </w:r>
      <w:r w:rsidR="00B753CC">
        <w:t xml:space="preserve">o spec impact to TS 38.306 </w:t>
      </w:r>
      <w:r w:rsidR="009E0F78">
        <w:t>related to</w:t>
      </w:r>
      <w:r w:rsidR="00B753CC">
        <w:t xml:space="preserve"> allowing mobile IAB nodes to access legacy IAB nodes.</w:t>
      </w:r>
    </w:p>
    <w:p w14:paraId="4F96A80B" w14:textId="39B2543A" w:rsidR="00BE20FA" w:rsidRPr="004C032C" w:rsidRDefault="00BE20FA" w:rsidP="00B753CC">
      <w:pPr>
        <w:rPr>
          <w:b/>
          <w:bCs/>
          <w:u w:val="single"/>
        </w:rPr>
      </w:pPr>
      <w:r w:rsidRPr="004C032C">
        <w:rPr>
          <w:b/>
          <w:bCs/>
          <w:u w:val="single"/>
        </w:rPr>
        <w:t>Phase 2:</w:t>
      </w:r>
    </w:p>
    <w:p w14:paraId="42F1B010" w14:textId="6EAD3096" w:rsidR="00BE20FA" w:rsidRDefault="00BE20FA" w:rsidP="00B753CC">
      <w:r w:rsidRPr="004C032C">
        <w:rPr>
          <w:b/>
          <w:bCs/>
        </w:rPr>
        <w:t>Ph2-Summary 2</w:t>
      </w:r>
      <w:r>
        <w:t>: No further comments were provided</w:t>
      </w:r>
      <w:r w:rsidR="004C032C">
        <w:t>.</w:t>
      </w:r>
    </w:p>
    <w:p w14:paraId="4C2C9D82" w14:textId="1433F8DC" w:rsidR="004C032C" w:rsidRDefault="004C032C" w:rsidP="00B753CC">
      <w:r w:rsidRPr="004C032C">
        <w:rPr>
          <w:b/>
          <w:bCs/>
        </w:rPr>
        <w:t>Ph2-Proposal 2</w:t>
      </w:r>
      <w:r>
        <w:t xml:space="preserve">: </w:t>
      </w:r>
      <w:r>
        <w:t>No spec impact to TS 38.306 related to allowing mobile IAB nodes to access legacy IAB nodes.</w:t>
      </w:r>
    </w:p>
    <w:p w14:paraId="2D94B251" w14:textId="77777777" w:rsidR="004C032C" w:rsidRDefault="004C032C"/>
    <w:p w14:paraId="07A92FF7" w14:textId="77777777" w:rsidR="004C032C" w:rsidRDefault="004C032C"/>
    <w:p w14:paraId="5AA05BDF" w14:textId="77777777" w:rsidR="004C032C" w:rsidRDefault="004C032C"/>
    <w:p w14:paraId="026AB66F" w14:textId="54F165D5" w:rsidR="0094357C" w:rsidRDefault="00000000">
      <w:r>
        <w:lastRenderedPageBreak/>
        <w:t>We also had the following agreement in RAN2#123:</w:t>
      </w:r>
    </w:p>
    <w:p w14:paraId="026AB670" w14:textId="77777777" w:rsidR="0094357C" w:rsidRDefault="00000000">
      <w:pPr>
        <w:pStyle w:val="Agreement"/>
        <w:tabs>
          <w:tab w:val="clear" w:pos="9990"/>
        </w:tabs>
        <w:overflowPunct/>
        <w:autoSpaceDE/>
        <w:autoSpaceDN/>
        <w:adjustRightInd/>
        <w:ind w:left="1619" w:hanging="360"/>
      </w:pPr>
      <w: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026AB671" w14:textId="77777777" w:rsidR="0094357C" w:rsidRDefault="00000000">
      <w:pPr>
        <w:spacing w:before="240"/>
      </w:pPr>
      <w:r>
        <w:t xml:space="preserve">In this case it could be appropriate to add a short description to TS 38.306 section 5.4 to note that it is optional for UEs to support </w:t>
      </w:r>
      <w:proofErr w:type="spellStart"/>
      <w:r>
        <w:t>mIAB</w:t>
      </w:r>
      <w:proofErr w:type="spellEnd"/>
      <w:r>
        <w:t xml:space="preserve"> cell reselection prioritization. There already exists a similar note in the specification for HSDN cell reselection: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4357C" w14:paraId="026AB673" w14:textId="77777777">
        <w:trPr>
          <w:cantSplit/>
          <w:tblHeader/>
        </w:trPr>
        <w:tc>
          <w:tcPr>
            <w:tcW w:w="9630" w:type="dxa"/>
          </w:tcPr>
          <w:p w14:paraId="026AB672" w14:textId="77777777" w:rsidR="0094357C" w:rsidRDefault="00000000">
            <w:pPr>
              <w:pStyle w:val="TAH"/>
            </w:pPr>
            <w:r>
              <w:t>Definitions for feature</w:t>
            </w:r>
          </w:p>
        </w:tc>
      </w:tr>
      <w:tr w:rsidR="0094357C" w14:paraId="026AB676"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26AB674" w14:textId="77777777" w:rsidR="0094357C" w:rsidRDefault="00000000">
            <w:pPr>
              <w:pStyle w:val="TAL"/>
              <w:rPr>
                <w:b/>
              </w:rPr>
            </w:pPr>
            <w:r>
              <w:rPr>
                <w:b/>
              </w:rPr>
              <w:t>HSDN cell reselection</w:t>
            </w:r>
          </w:p>
          <w:p w14:paraId="026AB675" w14:textId="77777777" w:rsidR="0094357C" w:rsidRDefault="00000000">
            <w:pPr>
              <w:pStyle w:val="TAL"/>
              <w:rPr>
                <w:bCs/>
              </w:rPr>
            </w:pPr>
            <w:r>
              <w:rPr>
                <w:bCs/>
              </w:rPr>
              <w:t>It is optional for UE to support HSDN cell reselection priority handling in RRC_IDLE/RRC_INACTIVE as specified in TS 38.304 [21] and TS 38.331 [9].</w:t>
            </w:r>
          </w:p>
        </w:tc>
      </w:tr>
    </w:tbl>
    <w:p w14:paraId="026AB677" w14:textId="77777777" w:rsidR="0094357C" w:rsidRDefault="00000000">
      <w:pPr>
        <w:spacing w:before="240"/>
      </w:pPr>
      <w:r>
        <w:rPr>
          <w:b/>
          <w:bCs/>
        </w:rPr>
        <w:t>Question 3</w:t>
      </w:r>
      <w:r>
        <w:t xml:space="preserve">: Do companies agree RAN2 should capture in TS 38.306 section 5.4 that a UE may optionally support </w:t>
      </w:r>
      <w:proofErr w:type="spellStart"/>
      <w:r>
        <w:t>mIAB</w:t>
      </w:r>
      <w:proofErr w:type="spellEnd"/>
      <w:r>
        <w:t xml:space="preserve"> cell reselection prioritization (</w:t>
      </w:r>
      <w:proofErr w:type="gramStart"/>
      <w:r>
        <w:t>similar to</w:t>
      </w:r>
      <w:proofErr w:type="gramEnd"/>
      <w:r>
        <w:t xml:space="preserve"> what is already captured for HSDN)?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4357C" w14:paraId="026AB67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6AB678" w14:textId="77777777" w:rsidR="0094357C" w:rsidRDefault="00000000">
            <w:pPr>
              <w:pStyle w:val="TAH"/>
              <w:spacing w:before="20" w:after="20"/>
              <w:ind w:left="57" w:right="57"/>
              <w:jc w:val="left"/>
              <w:rPr>
                <w:color w:val="FFFFFF" w:themeColor="background1"/>
              </w:rPr>
            </w:pPr>
            <w:r>
              <w:rPr>
                <w:color w:val="FFFFFF" w:themeColor="background1"/>
              </w:rPr>
              <w:t>Answers to Question 3</w:t>
            </w:r>
          </w:p>
        </w:tc>
      </w:tr>
      <w:tr w:rsidR="0094357C" w14:paraId="026AB6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67A" w14:textId="77777777" w:rsidR="0094357C" w:rsidRDefault="000000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67B" w14:textId="77777777" w:rsidR="0094357C" w:rsidRDefault="000000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67C" w14:textId="77777777" w:rsidR="0094357C" w:rsidRDefault="00000000">
            <w:pPr>
              <w:pStyle w:val="TAH"/>
              <w:spacing w:before="20" w:after="20"/>
              <w:ind w:left="57" w:right="57"/>
              <w:jc w:val="left"/>
            </w:pPr>
            <w:r>
              <w:t>Comments</w:t>
            </w:r>
          </w:p>
        </w:tc>
      </w:tr>
      <w:tr w:rsidR="0094357C" w14:paraId="026AB6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7E" w14:textId="77777777" w:rsidR="0094357C" w:rsidRDefault="000000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26AB67F" w14:textId="77777777" w:rsidR="0094357C"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AB680" w14:textId="77777777" w:rsidR="0094357C" w:rsidRDefault="00000000">
            <w:pPr>
              <w:pStyle w:val="TAC"/>
              <w:spacing w:before="20" w:after="20"/>
              <w:ind w:left="57" w:right="57"/>
              <w:jc w:val="left"/>
              <w:rPr>
                <w:lang w:eastAsia="zh-CN"/>
              </w:rPr>
            </w:pPr>
            <w:r>
              <w:rPr>
                <w:lang w:eastAsia="zh-CN"/>
              </w:rPr>
              <w:t xml:space="preserve">RAN2 have handled many similar cases before in Section 5.4. </w:t>
            </w:r>
          </w:p>
        </w:tc>
      </w:tr>
      <w:tr w:rsidR="0094357C" w14:paraId="026AB6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82" w14:textId="77777777" w:rsidR="0094357C" w:rsidRDefault="0000000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26AB683" w14:textId="77777777" w:rsidR="0094357C"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AB684" w14:textId="77777777" w:rsidR="0094357C" w:rsidRDefault="0094357C">
            <w:pPr>
              <w:pStyle w:val="TAC"/>
              <w:spacing w:before="20" w:after="20"/>
              <w:ind w:left="57" w:right="57"/>
              <w:jc w:val="left"/>
              <w:rPr>
                <w:lang w:eastAsia="zh-CN"/>
              </w:rPr>
            </w:pPr>
          </w:p>
        </w:tc>
      </w:tr>
      <w:tr w:rsidR="0094357C" w14:paraId="026AB6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86" w14:textId="77777777" w:rsidR="0094357C" w:rsidRDefault="0000000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26AB687" w14:textId="77777777" w:rsidR="0094357C"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6AB688" w14:textId="77777777" w:rsidR="0094357C" w:rsidRDefault="00000000">
            <w:pPr>
              <w:pStyle w:val="TAC"/>
              <w:spacing w:before="20" w:after="20"/>
              <w:ind w:left="57" w:right="57"/>
              <w:jc w:val="left"/>
              <w:rPr>
                <w:lang w:eastAsia="zh-CN"/>
              </w:rPr>
            </w:pPr>
            <w:r>
              <w:rPr>
                <w:rFonts w:hint="eastAsia"/>
                <w:lang w:eastAsia="zh-CN"/>
              </w:rPr>
              <w:t>T</w:t>
            </w:r>
            <w:r>
              <w:rPr>
                <w:lang w:eastAsia="zh-CN"/>
              </w:rPr>
              <w:t xml:space="preserve">his is optional for UE. </w:t>
            </w:r>
            <w:proofErr w:type="gramStart"/>
            <w:r>
              <w:rPr>
                <w:lang w:eastAsia="zh-CN"/>
              </w:rPr>
              <w:t>But,</w:t>
            </w:r>
            <w:proofErr w:type="gramEnd"/>
            <w:r>
              <w:rPr>
                <w:lang w:eastAsia="zh-CN"/>
              </w:rPr>
              <w:t xml:space="preserve"> it is UE implementation. There is no need to define as UE capability. BTW, there is no impact to NW side on whether UE supports this or not.</w:t>
            </w:r>
          </w:p>
          <w:p w14:paraId="026AB689" w14:textId="77777777" w:rsidR="0094357C" w:rsidRDefault="00000000">
            <w:pPr>
              <w:pStyle w:val="TAC"/>
              <w:spacing w:before="20" w:after="20"/>
              <w:ind w:left="57" w:right="57"/>
              <w:jc w:val="left"/>
              <w:rPr>
                <w:lang w:eastAsia="zh-CN"/>
              </w:rPr>
            </w:pPr>
            <w:r>
              <w:rPr>
                <w:lang w:eastAsia="zh-CN"/>
              </w:rPr>
              <w:t>Note this is different with HSDN case, which uses “shall” in TS 38.304 (</w:t>
            </w:r>
            <w:r>
              <w:rPr>
                <w:i/>
              </w:rPr>
              <w:t>When the HSDN capable UE is in High-mobility state, the UE shall always consider the HSDN cells to be the highest priority</w:t>
            </w:r>
            <w:r>
              <w:rPr>
                <w:lang w:eastAsia="zh-CN"/>
              </w:rPr>
              <w:t>).</w:t>
            </w:r>
          </w:p>
        </w:tc>
      </w:tr>
      <w:tr w:rsidR="0094357C" w14:paraId="026AB6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8B" w14:textId="77777777" w:rsidR="0094357C" w:rsidRDefault="0000000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26AB68C" w14:textId="77777777" w:rsidR="0094357C" w:rsidRDefault="000000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6AB68D" w14:textId="77777777" w:rsidR="0094357C" w:rsidRDefault="00000000">
            <w:pPr>
              <w:pStyle w:val="TAC"/>
              <w:spacing w:before="20" w:after="20"/>
              <w:ind w:left="57" w:right="57"/>
              <w:jc w:val="left"/>
              <w:rPr>
                <w:lang w:eastAsia="zh-CN"/>
              </w:rPr>
            </w:pPr>
            <w:r>
              <w:rPr>
                <w:lang w:eastAsia="zh-CN"/>
              </w:rPr>
              <w:t xml:space="preserve">Agree with Huawei. Besides, if it is a capability, then we wonder how it can be tested. </w:t>
            </w:r>
            <w:proofErr w:type="gramStart"/>
            <w:r>
              <w:rPr>
                <w:lang w:eastAsia="zh-CN"/>
              </w:rPr>
              <w:t>So</w:t>
            </w:r>
            <w:proofErr w:type="gramEnd"/>
            <w:r>
              <w:rPr>
                <w:lang w:eastAsia="zh-CN"/>
              </w:rPr>
              <w:t xml:space="preserve"> it is easier to not make it a feature. </w:t>
            </w:r>
          </w:p>
        </w:tc>
      </w:tr>
      <w:tr w:rsidR="0094357C" w14:paraId="026AB6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8F" w14:textId="77777777" w:rsidR="0094357C" w:rsidRDefault="0000000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26AB690" w14:textId="77777777" w:rsidR="0094357C" w:rsidRDefault="00000000">
            <w:pPr>
              <w:pStyle w:val="TAC"/>
              <w:spacing w:before="20" w:after="20"/>
              <w:ind w:left="57" w:right="57"/>
              <w:jc w:val="left"/>
              <w:rPr>
                <w:lang w:val="en-US" w:eastAsia="zh-CN"/>
              </w:rPr>
            </w:pPr>
            <w:r>
              <w:rPr>
                <w:rFonts w:hint="eastAsia"/>
                <w:lang w:val="en-US"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8993A3D" w14:textId="77777777" w:rsidR="0094357C" w:rsidRDefault="00000000">
            <w:pPr>
              <w:pStyle w:val="TAC"/>
              <w:spacing w:before="20" w:after="20"/>
              <w:ind w:left="57" w:right="57"/>
              <w:jc w:val="left"/>
              <w:rPr>
                <w:lang w:val="en-US" w:eastAsia="zh-CN"/>
              </w:rPr>
            </w:pPr>
            <w:r>
              <w:rPr>
                <w:rFonts w:hint="eastAsia"/>
                <w:lang w:val="en-US" w:eastAsia="zh-CN"/>
              </w:rPr>
              <w:t xml:space="preserve">It seems not necessary and there is no such indication for </w:t>
            </w:r>
            <w:proofErr w:type="spellStart"/>
            <w:r>
              <w:rPr>
                <w:rFonts w:hint="eastAsia"/>
                <w:lang w:val="en-US" w:eastAsia="zh-CN"/>
              </w:rPr>
              <w:t>sidelink</w:t>
            </w:r>
            <w:proofErr w:type="spellEnd"/>
            <w:r>
              <w:rPr>
                <w:rFonts w:hint="eastAsia"/>
                <w:lang w:val="en-US" w:eastAsia="zh-CN"/>
              </w:rPr>
              <w:t xml:space="preserve"> which has similar situation. </w:t>
            </w:r>
          </w:p>
          <w:p w14:paraId="0E1C17DD" w14:textId="77777777" w:rsidR="00276C1C" w:rsidRDefault="00276C1C">
            <w:pPr>
              <w:pStyle w:val="TAC"/>
              <w:spacing w:before="20" w:after="20"/>
              <w:ind w:left="57" w:right="57"/>
              <w:jc w:val="left"/>
              <w:rPr>
                <w:lang w:val="en-US" w:eastAsia="zh-CN"/>
              </w:rPr>
            </w:pPr>
          </w:p>
          <w:p w14:paraId="026AB691" w14:textId="499EC10E" w:rsidR="00276C1C" w:rsidRPr="00276C1C" w:rsidRDefault="00276C1C">
            <w:pPr>
              <w:pStyle w:val="TAC"/>
              <w:spacing w:before="20" w:after="20"/>
              <w:ind w:left="57" w:right="57"/>
              <w:jc w:val="left"/>
              <w:rPr>
                <w:color w:val="FF0000"/>
                <w:lang w:val="en-US" w:eastAsia="zh-CN"/>
              </w:rPr>
            </w:pPr>
            <w:r>
              <w:rPr>
                <w:color w:val="FF0000"/>
                <w:lang w:val="en-US" w:eastAsia="zh-CN"/>
              </w:rPr>
              <w:t xml:space="preserve">Rapporteur </w:t>
            </w:r>
            <w:r w:rsidR="0022095E">
              <w:rPr>
                <w:color w:val="FF0000"/>
                <w:lang w:val="en-US" w:eastAsia="zh-CN"/>
              </w:rPr>
              <w:t>thinks answer is “No” based on the comment.</w:t>
            </w:r>
          </w:p>
        </w:tc>
      </w:tr>
      <w:tr w:rsidR="0094357C" w14:paraId="026AB6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93" w14:textId="77777777" w:rsidR="0094357C" w:rsidRDefault="009435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6AB694" w14:textId="77777777" w:rsidR="0094357C" w:rsidRDefault="009435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6AB695" w14:textId="77777777" w:rsidR="0094357C" w:rsidRDefault="0094357C">
            <w:pPr>
              <w:pStyle w:val="TAC"/>
              <w:spacing w:before="20" w:after="20"/>
              <w:ind w:left="57" w:right="57"/>
              <w:jc w:val="left"/>
              <w:rPr>
                <w:lang w:eastAsia="zh-CN"/>
              </w:rPr>
            </w:pPr>
          </w:p>
        </w:tc>
      </w:tr>
    </w:tbl>
    <w:p w14:paraId="1F823DB6" w14:textId="7B256033" w:rsidR="00E6116F" w:rsidRDefault="00E6116F">
      <w:pPr>
        <w:spacing w:before="240"/>
        <w:rPr>
          <w:b/>
          <w:bCs/>
        </w:rPr>
      </w:pPr>
      <w:r w:rsidRPr="00E6116F">
        <w:rPr>
          <w:b/>
          <w:bCs/>
          <w:u w:val="single"/>
        </w:rPr>
        <w:t>Phase 1</w:t>
      </w:r>
      <w:r>
        <w:rPr>
          <w:b/>
          <w:bCs/>
        </w:rPr>
        <w:t>:</w:t>
      </w:r>
    </w:p>
    <w:p w14:paraId="026AB6B3" w14:textId="4232D637" w:rsidR="0094357C" w:rsidRDefault="00E6116F">
      <w:pPr>
        <w:spacing w:before="240"/>
      </w:pPr>
      <w:r>
        <w:rPr>
          <w:b/>
          <w:bCs/>
        </w:rPr>
        <w:t>Ph1-</w:t>
      </w:r>
      <w:r w:rsidR="00000000">
        <w:rPr>
          <w:b/>
          <w:bCs/>
        </w:rPr>
        <w:t>Summary 3</w:t>
      </w:r>
      <w:r w:rsidR="00000000">
        <w:t xml:space="preserve">: </w:t>
      </w:r>
      <w:r w:rsidR="0044116C">
        <w:t>Huawei</w:t>
      </w:r>
      <w:r w:rsidR="00E07881">
        <w:t xml:space="preserve"> and ZTE</w:t>
      </w:r>
      <w:r w:rsidR="002F512D">
        <w:t>’s</w:t>
      </w:r>
      <w:r w:rsidR="00E07881">
        <w:t xml:space="preserve"> comments </w:t>
      </w:r>
      <w:r w:rsidR="000355DD">
        <w:t>demonstrate how si</w:t>
      </w:r>
      <w:r w:rsidR="00737543">
        <w:t xml:space="preserve">milar issues have been handled previously: </w:t>
      </w:r>
      <w:r w:rsidR="00AC511D">
        <w:t>optional features w</w:t>
      </w:r>
      <w:r w:rsidR="00233465">
        <w:t>ith</w:t>
      </w:r>
      <w:r w:rsidR="00AC511D">
        <w:t xml:space="preserve"> </w:t>
      </w:r>
      <w:r w:rsidR="00AC511D" w:rsidRPr="00A40F4F">
        <w:rPr>
          <w:i/>
          <w:iCs/>
        </w:rPr>
        <w:t>specified</w:t>
      </w:r>
      <w:r w:rsidR="00233465" w:rsidRPr="00A40F4F">
        <w:rPr>
          <w:i/>
          <w:iCs/>
        </w:rPr>
        <w:t xml:space="preserve"> </w:t>
      </w:r>
      <w:r w:rsidR="00DC6661" w:rsidRPr="00A40F4F">
        <w:rPr>
          <w:i/>
          <w:iCs/>
        </w:rPr>
        <w:t xml:space="preserve">UE </w:t>
      </w:r>
      <w:r w:rsidR="00233465" w:rsidRPr="00A40F4F">
        <w:rPr>
          <w:i/>
          <w:iCs/>
        </w:rPr>
        <w:t>behaviour</w:t>
      </w:r>
      <w:r w:rsidR="00233465">
        <w:t xml:space="preserve"> (</w:t>
      </w:r>
      <w:proofErr w:type="gramStart"/>
      <w:r w:rsidR="00233465">
        <w:t>e.g.</w:t>
      </w:r>
      <w:proofErr w:type="gramEnd"/>
      <w:r w:rsidR="00233465">
        <w:t xml:space="preserve"> HSDN</w:t>
      </w:r>
      <w:r w:rsidR="00DC6661">
        <w:t xml:space="preserve"> cell reselection prioritization) have been </w:t>
      </w:r>
      <w:r w:rsidR="00D04F3A">
        <w:t xml:space="preserve">captured in TS 38.306, while optional features </w:t>
      </w:r>
      <w:r w:rsidR="00CD09E7" w:rsidRPr="00A40F4F">
        <w:rPr>
          <w:i/>
          <w:iCs/>
        </w:rPr>
        <w:t>left to</w:t>
      </w:r>
      <w:r w:rsidR="00D04F3A" w:rsidRPr="00A40F4F">
        <w:rPr>
          <w:i/>
          <w:iCs/>
        </w:rPr>
        <w:t xml:space="preserve"> UE</w:t>
      </w:r>
      <w:r w:rsidR="00CD09E7" w:rsidRPr="00A40F4F">
        <w:rPr>
          <w:i/>
          <w:iCs/>
        </w:rPr>
        <w:t xml:space="preserve"> </w:t>
      </w:r>
      <w:r w:rsidR="00D04F3A" w:rsidRPr="00A40F4F">
        <w:rPr>
          <w:i/>
          <w:iCs/>
        </w:rPr>
        <w:t>implementation</w:t>
      </w:r>
      <w:r w:rsidR="00D04F3A">
        <w:t xml:space="preserve"> (</w:t>
      </w:r>
      <w:r w:rsidR="00CD09E7">
        <w:t xml:space="preserve">e.g. </w:t>
      </w:r>
      <w:proofErr w:type="spellStart"/>
      <w:r w:rsidR="0011592B">
        <w:t>sidelink</w:t>
      </w:r>
      <w:proofErr w:type="spellEnd"/>
      <w:r w:rsidR="0011592B">
        <w:t xml:space="preserve"> cell </w:t>
      </w:r>
      <w:r w:rsidR="00CD09E7">
        <w:t>reselection prioritization)</w:t>
      </w:r>
      <w:r w:rsidR="00AC511D">
        <w:t xml:space="preserve"> </w:t>
      </w:r>
      <w:r w:rsidR="00CD09E7">
        <w:t xml:space="preserve">have been omitted </w:t>
      </w:r>
      <w:r w:rsidR="007B1D6F">
        <w:t>from th</w:t>
      </w:r>
      <w:r w:rsidR="00AE4CB8">
        <w:t xml:space="preserve">is section of the specification. Since mobile IAB cell reselection prioritization </w:t>
      </w:r>
      <w:r w:rsidR="00A40F4F">
        <w:t xml:space="preserve">is optional and left </w:t>
      </w:r>
      <w:proofErr w:type="gramStart"/>
      <w:r w:rsidR="00A40F4F">
        <w:t>to</w:t>
      </w:r>
      <w:proofErr w:type="gramEnd"/>
      <w:r w:rsidR="00A40F4F">
        <w:t xml:space="preserve"> </w:t>
      </w:r>
      <w:r w:rsidR="00AF0099">
        <w:t>UE implementation</w:t>
      </w:r>
      <w:r w:rsidR="00BC7D21">
        <w:t>, Rapporteur believes it makes sense to take the latter direction</w:t>
      </w:r>
      <w:r w:rsidR="0092333A">
        <w:t>, i.e. nothing</w:t>
      </w:r>
      <w:r w:rsidR="008F1FD4">
        <w:t xml:space="preserve"> to be captured</w:t>
      </w:r>
      <w:r w:rsidR="0092333A">
        <w:t xml:space="preserve"> in TS 38.306.</w:t>
      </w:r>
    </w:p>
    <w:p w14:paraId="026AB6B4" w14:textId="4B353BF7" w:rsidR="0094357C" w:rsidRDefault="00E6116F">
      <w:r>
        <w:rPr>
          <w:b/>
          <w:bCs/>
        </w:rPr>
        <w:t>Ph1-</w:t>
      </w:r>
      <w:r w:rsidR="00000000">
        <w:rPr>
          <w:b/>
          <w:bCs/>
        </w:rPr>
        <w:t>Proposal 3</w:t>
      </w:r>
      <w:r w:rsidR="00000000">
        <w:t xml:space="preserve">: </w:t>
      </w:r>
      <w:r w:rsidR="003078F2">
        <w:t>N</w:t>
      </w:r>
      <w:r w:rsidR="00B753CC">
        <w:t xml:space="preserve">o spec impact to TS 38.306 related to </w:t>
      </w:r>
      <w:r w:rsidR="001333F9">
        <w:t>mobile IAB cell reselection prioritization</w:t>
      </w:r>
      <w:r w:rsidR="00000000">
        <w:t>.</w:t>
      </w:r>
    </w:p>
    <w:p w14:paraId="40E6F488" w14:textId="703AF922" w:rsidR="00E6116F" w:rsidRDefault="00E6116F">
      <w:r w:rsidRPr="00E6116F">
        <w:rPr>
          <w:b/>
          <w:bCs/>
          <w:u w:val="single"/>
        </w:rPr>
        <w:t>Phase 2</w:t>
      </w:r>
      <w:r>
        <w:t>:</w:t>
      </w:r>
    </w:p>
    <w:p w14:paraId="0CF78E7A" w14:textId="11ADB878" w:rsidR="00E6116F" w:rsidRDefault="00E6116F">
      <w:r w:rsidRPr="00E6116F">
        <w:rPr>
          <w:b/>
          <w:bCs/>
        </w:rPr>
        <w:t>Ph2-Summary 3</w:t>
      </w:r>
      <w:r>
        <w:t>: No further comments were provided.</w:t>
      </w:r>
    </w:p>
    <w:p w14:paraId="70CAE869" w14:textId="1344EC84" w:rsidR="00E6116F" w:rsidRDefault="00E6116F">
      <w:r w:rsidRPr="00E6116F">
        <w:rPr>
          <w:b/>
          <w:bCs/>
        </w:rPr>
        <w:t>Ph2-Proposal 3</w:t>
      </w:r>
      <w:r>
        <w:t xml:space="preserve">: </w:t>
      </w:r>
      <w:r>
        <w:t>No spec impact to TS 38.306 related to mobile IAB cell reselection prioritization.</w:t>
      </w:r>
    </w:p>
    <w:p w14:paraId="026AB6B5" w14:textId="77777777" w:rsidR="0094357C" w:rsidRDefault="00000000">
      <w:pPr>
        <w:pStyle w:val="Heading2"/>
      </w:pPr>
      <w:r>
        <w:t>3.3</w:t>
      </w:r>
      <w:r>
        <w:tab/>
        <w:t>Measurement/Mobility related capabilities</w:t>
      </w:r>
    </w:p>
    <w:p w14:paraId="026AB6B6" w14:textId="77777777" w:rsidR="0094357C" w:rsidRDefault="00000000">
      <w:r>
        <w:t xml:space="preserve">Legacy IAB supported a relatively small number of measurement and mobility related UE capabilities, given in section 4.2.15.8 of TS 38.306 (and shown below). However, to support mobility for Rel-18 IAB, many of the mandatory/conditional mandatory </w:t>
      </w:r>
      <w:proofErr w:type="spellStart"/>
      <w:r>
        <w:t>MeasAndMobParameters</w:t>
      </w:r>
      <w:proofErr w:type="spellEnd"/>
      <w:r>
        <w:t xml:space="preserve"> from section 4.2.9 of TS 38.306 (listed in Annex A) could also now be applicable to IAB.</w:t>
      </w:r>
    </w:p>
    <w:p w14:paraId="026AB6B7" w14:textId="77777777" w:rsidR="0094357C" w:rsidRDefault="00000000">
      <w:pPr>
        <w:pStyle w:val="Heading4"/>
      </w:pPr>
      <w:bookmarkStart w:id="1" w:name="_Toc52574200"/>
      <w:bookmarkStart w:id="2" w:name="_Toc139146826"/>
      <w:bookmarkStart w:id="3" w:name="_Toc52574114"/>
      <w:bookmarkStart w:id="4" w:name="_Toc46488693"/>
      <w:r>
        <w:lastRenderedPageBreak/>
        <w:t>4.2.15.8</w:t>
      </w:r>
      <w:r>
        <w:tab/>
      </w:r>
      <w:proofErr w:type="spellStart"/>
      <w:r>
        <w:t>MeasAndMobParameters</w:t>
      </w:r>
      <w:proofErr w:type="spellEnd"/>
      <w:r>
        <w:t xml:space="preserve"> Parameters</w:t>
      </w:r>
      <w:bookmarkEnd w:id="1"/>
      <w:bookmarkEnd w:id="2"/>
      <w:bookmarkEnd w:id="3"/>
      <w:bookmarkEnd w:id="4"/>
      <w:r>
        <w:t xml:space="preserve"> (from Rel-16/Rel-17 IAB)</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4357C" w14:paraId="026AB6BF" w14:textId="77777777">
        <w:trPr>
          <w:cantSplit/>
          <w:tblHeader/>
        </w:trPr>
        <w:tc>
          <w:tcPr>
            <w:tcW w:w="6946" w:type="dxa"/>
          </w:tcPr>
          <w:p w14:paraId="026AB6B8" w14:textId="77777777" w:rsidR="0094357C" w:rsidRDefault="00000000">
            <w:pPr>
              <w:pStyle w:val="TAH"/>
            </w:pPr>
            <w:r>
              <w:t>Definitions for parameters</w:t>
            </w:r>
          </w:p>
        </w:tc>
        <w:tc>
          <w:tcPr>
            <w:tcW w:w="680" w:type="dxa"/>
          </w:tcPr>
          <w:p w14:paraId="026AB6B9" w14:textId="77777777" w:rsidR="0094357C" w:rsidRDefault="00000000">
            <w:pPr>
              <w:pStyle w:val="TAH"/>
            </w:pPr>
            <w:r>
              <w:t>Per</w:t>
            </w:r>
          </w:p>
        </w:tc>
        <w:tc>
          <w:tcPr>
            <w:tcW w:w="567" w:type="dxa"/>
          </w:tcPr>
          <w:p w14:paraId="026AB6BA" w14:textId="77777777" w:rsidR="0094357C" w:rsidRDefault="00000000">
            <w:pPr>
              <w:pStyle w:val="TAH"/>
            </w:pPr>
            <w:r>
              <w:t>M</w:t>
            </w:r>
          </w:p>
        </w:tc>
        <w:tc>
          <w:tcPr>
            <w:tcW w:w="807" w:type="dxa"/>
          </w:tcPr>
          <w:p w14:paraId="026AB6BB" w14:textId="77777777" w:rsidR="0094357C" w:rsidRDefault="00000000">
            <w:pPr>
              <w:pStyle w:val="TAH"/>
            </w:pPr>
            <w:r>
              <w:t>FDD-TDD</w:t>
            </w:r>
          </w:p>
          <w:p w14:paraId="026AB6BC" w14:textId="77777777" w:rsidR="0094357C" w:rsidRDefault="00000000">
            <w:pPr>
              <w:pStyle w:val="TAH"/>
            </w:pPr>
            <w:r>
              <w:t>DIFF</w:t>
            </w:r>
          </w:p>
        </w:tc>
        <w:tc>
          <w:tcPr>
            <w:tcW w:w="630" w:type="dxa"/>
          </w:tcPr>
          <w:p w14:paraId="026AB6BD" w14:textId="77777777" w:rsidR="0094357C" w:rsidRDefault="00000000">
            <w:pPr>
              <w:pStyle w:val="TAH"/>
            </w:pPr>
            <w:r>
              <w:t>FR1-FR2</w:t>
            </w:r>
          </w:p>
          <w:p w14:paraId="026AB6BE" w14:textId="77777777" w:rsidR="0094357C" w:rsidRDefault="00000000">
            <w:pPr>
              <w:pStyle w:val="TAH"/>
            </w:pPr>
            <w:r>
              <w:t>DIFF</w:t>
            </w:r>
          </w:p>
        </w:tc>
      </w:tr>
      <w:tr w:rsidR="0094357C" w14:paraId="026AB6C6" w14:textId="77777777">
        <w:trPr>
          <w:cantSplit/>
          <w:tblHeader/>
        </w:trPr>
        <w:tc>
          <w:tcPr>
            <w:tcW w:w="6946" w:type="dxa"/>
          </w:tcPr>
          <w:p w14:paraId="026AB6C0" w14:textId="77777777" w:rsidR="0094357C" w:rsidRDefault="00000000">
            <w:pPr>
              <w:pStyle w:val="TAH"/>
              <w:jc w:val="left"/>
              <w:rPr>
                <w:i/>
                <w:iCs/>
              </w:rPr>
            </w:pPr>
            <w:proofErr w:type="spellStart"/>
            <w:r>
              <w:rPr>
                <w:i/>
                <w:iCs/>
              </w:rPr>
              <w:t>eventA-MeasAndReport</w:t>
            </w:r>
            <w:proofErr w:type="spellEnd"/>
          </w:p>
          <w:p w14:paraId="026AB6C1" w14:textId="77777777" w:rsidR="0094357C" w:rsidRDefault="00000000">
            <w:pPr>
              <w:pStyle w:val="TAL"/>
            </w:pPr>
            <w:r>
              <w:rPr>
                <w:bCs/>
              </w:rPr>
              <w:t>Indicates whether the IAB-MT supports NR measurements and events A triggered reporting as specified in TS 38.331 [9].</w:t>
            </w:r>
          </w:p>
        </w:tc>
        <w:tc>
          <w:tcPr>
            <w:tcW w:w="680" w:type="dxa"/>
          </w:tcPr>
          <w:p w14:paraId="026AB6C2" w14:textId="77777777" w:rsidR="0094357C" w:rsidRDefault="00000000">
            <w:pPr>
              <w:pStyle w:val="TAL"/>
              <w:jc w:val="center"/>
            </w:pPr>
            <w:r>
              <w:rPr>
                <w:bCs/>
              </w:rPr>
              <w:t>IAB-MT</w:t>
            </w:r>
          </w:p>
        </w:tc>
        <w:tc>
          <w:tcPr>
            <w:tcW w:w="567" w:type="dxa"/>
          </w:tcPr>
          <w:p w14:paraId="026AB6C3" w14:textId="77777777" w:rsidR="0094357C" w:rsidRDefault="00000000">
            <w:pPr>
              <w:pStyle w:val="TAL"/>
              <w:jc w:val="center"/>
            </w:pPr>
            <w:r>
              <w:rPr>
                <w:bCs/>
              </w:rPr>
              <w:t>Yes</w:t>
            </w:r>
          </w:p>
        </w:tc>
        <w:tc>
          <w:tcPr>
            <w:tcW w:w="807" w:type="dxa"/>
          </w:tcPr>
          <w:p w14:paraId="026AB6C4" w14:textId="77777777" w:rsidR="0094357C" w:rsidRDefault="00000000">
            <w:pPr>
              <w:pStyle w:val="TAL"/>
              <w:jc w:val="center"/>
            </w:pPr>
            <w:r>
              <w:rPr>
                <w:bCs/>
              </w:rPr>
              <w:t>Yes</w:t>
            </w:r>
          </w:p>
        </w:tc>
        <w:tc>
          <w:tcPr>
            <w:tcW w:w="630" w:type="dxa"/>
          </w:tcPr>
          <w:p w14:paraId="026AB6C5" w14:textId="77777777" w:rsidR="0094357C" w:rsidRDefault="00000000">
            <w:pPr>
              <w:pStyle w:val="TAL"/>
              <w:jc w:val="center"/>
            </w:pPr>
            <w:r>
              <w:rPr>
                <w:bCs/>
              </w:rPr>
              <w:t>No</w:t>
            </w:r>
          </w:p>
        </w:tc>
      </w:tr>
      <w:tr w:rsidR="0094357C" w14:paraId="026AB6CD" w14:textId="77777777">
        <w:trPr>
          <w:cantSplit/>
          <w:tblHeader/>
        </w:trPr>
        <w:tc>
          <w:tcPr>
            <w:tcW w:w="6946" w:type="dxa"/>
          </w:tcPr>
          <w:p w14:paraId="026AB6C7" w14:textId="77777777" w:rsidR="0094357C" w:rsidRDefault="00000000">
            <w:pPr>
              <w:pStyle w:val="TAL"/>
              <w:rPr>
                <w:b/>
                <w:bCs/>
                <w:i/>
                <w:iCs/>
              </w:rPr>
            </w:pPr>
            <w:proofErr w:type="spellStart"/>
            <w:r>
              <w:rPr>
                <w:b/>
                <w:bCs/>
                <w:i/>
                <w:iCs/>
              </w:rPr>
              <w:t>handoverInterF</w:t>
            </w:r>
            <w:proofErr w:type="spellEnd"/>
          </w:p>
          <w:p w14:paraId="026AB6C8" w14:textId="77777777" w:rsidR="0094357C" w:rsidRDefault="00000000">
            <w:pPr>
              <w:pStyle w:val="TAL"/>
              <w:rPr>
                <w:b/>
                <w:bCs/>
                <w:i/>
                <w:iCs/>
              </w:rPr>
            </w:pPr>
            <w:r>
              <w:t xml:space="preserve">Indicates whether the IAB-MT supports inter-frequency HO. It indicates the support for inter-frequency HO from the corresponding duplex mode if this capability is included in </w:t>
            </w:r>
            <w:proofErr w:type="spellStart"/>
            <w:r>
              <w:t>fdd</w:t>
            </w:r>
            <w:proofErr w:type="spellEnd"/>
            <w:r>
              <w:t xml:space="preserve">-Add-UE-NR-Capabilities or </w:t>
            </w:r>
            <w:proofErr w:type="spellStart"/>
            <w:r>
              <w:t>tdd</w:t>
            </w:r>
            <w:proofErr w:type="spellEnd"/>
            <w:r>
              <w:t>-Add-UE-NR-Capabilities. It indicates the support for inter-frequency HO from the corresponding frequency range if this capability is included in fr1-Add-UE-NR-Capabilities or fr2-Add-UE-NR-Capabilities.</w:t>
            </w:r>
          </w:p>
        </w:tc>
        <w:tc>
          <w:tcPr>
            <w:tcW w:w="680" w:type="dxa"/>
          </w:tcPr>
          <w:p w14:paraId="026AB6C9" w14:textId="77777777" w:rsidR="0094357C" w:rsidRDefault="00000000">
            <w:pPr>
              <w:pStyle w:val="TAL"/>
              <w:jc w:val="center"/>
              <w:rPr>
                <w:bCs/>
              </w:rPr>
            </w:pPr>
            <w:r>
              <w:rPr>
                <w:bCs/>
              </w:rPr>
              <w:t>IAB-MT</w:t>
            </w:r>
          </w:p>
        </w:tc>
        <w:tc>
          <w:tcPr>
            <w:tcW w:w="567" w:type="dxa"/>
          </w:tcPr>
          <w:p w14:paraId="026AB6CA" w14:textId="77777777" w:rsidR="0094357C" w:rsidRDefault="00000000">
            <w:pPr>
              <w:pStyle w:val="TAL"/>
              <w:jc w:val="center"/>
              <w:rPr>
                <w:bCs/>
              </w:rPr>
            </w:pPr>
            <w:r>
              <w:rPr>
                <w:bCs/>
              </w:rPr>
              <w:t>No</w:t>
            </w:r>
          </w:p>
        </w:tc>
        <w:tc>
          <w:tcPr>
            <w:tcW w:w="807" w:type="dxa"/>
          </w:tcPr>
          <w:p w14:paraId="026AB6CB" w14:textId="77777777" w:rsidR="0094357C" w:rsidRDefault="00000000">
            <w:pPr>
              <w:pStyle w:val="TAL"/>
              <w:jc w:val="center"/>
              <w:rPr>
                <w:bCs/>
              </w:rPr>
            </w:pPr>
            <w:r>
              <w:rPr>
                <w:bCs/>
              </w:rPr>
              <w:t>Yes</w:t>
            </w:r>
          </w:p>
        </w:tc>
        <w:tc>
          <w:tcPr>
            <w:tcW w:w="630" w:type="dxa"/>
          </w:tcPr>
          <w:p w14:paraId="026AB6CC" w14:textId="77777777" w:rsidR="0094357C" w:rsidRDefault="00000000">
            <w:pPr>
              <w:pStyle w:val="TAL"/>
              <w:jc w:val="center"/>
              <w:rPr>
                <w:bCs/>
              </w:rPr>
            </w:pPr>
            <w:r>
              <w:rPr>
                <w:bCs/>
              </w:rPr>
              <w:t>Yes</w:t>
            </w:r>
          </w:p>
        </w:tc>
      </w:tr>
      <w:tr w:rsidR="0094357C" w14:paraId="026AB6D4" w14:textId="77777777">
        <w:trPr>
          <w:cantSplit/>
          <w:tblHeader/>
        </w:trPr>
        <w:tc>
          <w:tcPr>
            <w:tcW w:w="6946" w:type="dxa"/>
          </w:tcPr>
          <w:p w14:paraId="026AB6CE" w14:textId="77777777" w:rsidR="0094357C" w:rsidRDefault="00000000">
            <w:pPr>
              <w:pStyle w:val="TAL"/>
              <w:rPr>
                <w:bCs/>
                <w:i/>
                <w:iCs/>
              </w:rPr>
            </w:pPr>
            <w:r>
              <w:rPr>
                <w:b/>
                <w:bCs/>
                <w:i/>
                <w:iCs/>
              </w:rPr>
              <w:t>mfbi-IAB-r16</w:t>
            </w:r>
          </w:p>
          <w:p w14:paraId="026AB6CF" w14:textId="77777777" w:rsidR="0094357C" w:rsidRDefault="00000000">
            <w:pPr>
              <w:pStyle w:val="TAL"/>
            </w:pPr>
            <w:r>
              <w:t>Indicates whether the IAB-MT supports multiple frequency band indication.</w:t>
            </w:r>
          </w:p>
        </w:tc>
        <w:tc>
          <w:tcPr>
            <w:tcW w:w="680" w:type="dxa"/>
          </w:tcPr>
          <w:p w14:paraId="026AB6D0" w14:textId="77777777" w:rsidR="0094357C" w:rsidRDefault="00000000">
            <w:pPr>
              <w:pStyle w:val="TAL"/>
              <w:jc w:val="center"/>
              <w:rPr>
                <w:bCs/>
              </w:rPr>
            </w:pPr>
            <w:r>
              <w:rPr>
                <w:bCs/>
              </w:rPr>
              <w:t>IAB-MT</w:t>
            </w:r>
          </w:p>
        </w:tc>
        <w:tc>
          <w:tcPr>
            <w:tcW w:w="567" w:type="dxa"/>
          </w:tcPr>
          <w:p w14:paraId="026AB6D1" w14:textId="77777777" w:rsidR="0094357C" w:rsidRDefault="00000000">
            <w:pPr>
              <w:pStyle w:val="TAL"/>
              <w:jc w:val="center"/>
              <w:rPr>
                <w:bCs/>
              </w:rPr>
            </w:pPr>
            <w:r>
              <w:rPr>
                <w:bCs/>
              </w:rPr>
              <w:t>No</w:t>
            </w:r>
          </w:p>
        </w:tc>
        <w:tc>
          <w:tcPr>
            <w:tcW w:w="807" w:type="dxa"/>
          </w:tcPr>
          <w:p w14:paraId="026AB6D2" w14:textId="77777777" w:rsidR="0094357C" w:rsidRDefault="00000000">
            <w:pPr>
              <w:pStyle w:val="TAL"/>
              <w:jc w:val="center"/>
              <w:rPr>
                <w:bCs/>
              </w:rPr>
            </w:pPr>
            <w:r>
              <w:rPr>
                <w:bCs/>
              </w:rPr>
              <w:t>No</w:t>
            </w:r>
          </w:p>
        </w:tc>
        <w:tc>
          <w:tcPr>
            <w:tcW w:w="630" w:type="dxa"/>
          </w:tcPr>
          <w:p w14:paraId="026AB6D3" w14:textId="77777777" w:rsidR="0094357C" w:rsidRDefault="00000000">
            <w:pPr>
              <w:pStyle w:val="TAL"/>
              <w:jc w:val="center"/>
              <w:rPr>
                <w:bCs/>
              </w:rPr>
            </w:pPr>
            <w:r>
              <w:rPr>
                <w:bCs/>
              </w:rPr>
              <w:t>No</w:t>
            </w:r>
          </w:p>
        </w:tc>
      </w:tr>
      <w:tr w:rsidR="0094357C" w14:paraId="026AB6DB" w14:textId="77777777">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026AB6D5" w14:textId="77777777" w:rsidR="0094357C" w:rsidRDefault="00000000">
            <w:pPr>
              <w:pStyle w:val="TAL"/>
              <w:rPr>
                <w:b/>
                <w:bCs/>
                <w:i/>
                <w:iCs/>
              </w:rPr>
            </w:pPr>
            <w:proofErr w:type="spellStart"/>
            <w:r>
              <w:rPr>
                <w:b/>
                <w:bCs/>
                <w:i/>
                <w:iCs/>
              </w:rPr>
              <w:t>intraAndInterF-MeasAndReport</w:t>
            </w:r>
            <w:proofErr w:type="spellEnd"/>
          </w:p>
          <w:p w14:paraId="026AB6D6" w14:textId="77777777" w:rsidR="0094357C" w:rsidRDefault="00000000">
            <w:pPr>
              <w:pStyle w:val="TAL"/>
            </w:pPr>
            <w:r>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026AB6D7" w14:textId="77777777" w:rsidR="0094357C" w:rsidRDefault="00000000">
            <w:pPr>
              <w:pStyle w:val="TAL"/>
              <w:jc w:val="center"/>
              <w:rPr>
                <w:bCs/>
              </w:rPr>
            </w:pPr>
            <w:r>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026AB6D8" w14:textId="77777777" w:rsidR="0094357C" w:rsidRDefault="00000000">
            <w:pPr>
              <w:pStyle w:val="TAL"/>
              <w:jc w:val="center"/>
              <w:rPr>
                <w:bCs/>
              </w:rPr>
            </w:pPr>
            <w:r>
              <w:rPr>
                <w:bCs/>
              </w:rPr>
              <w:t>Yes</w:t>
            </w:r>
          </w:p>
        </w:tc>
        <w:tc>
          <w:tcPr>
            <w:tcW w:w="807" w:type="dxa"/>
            <w:tcBorders>
              <w:top w:val="single" w:sz="4" w:space="0" w:color="808080"/>
              <w:left w:val="single" w:sz="4" w:space="0" w:color="808080"/>
              <w:bottom w:val="single" w:sz="4" w:space="0" w:color="808080"/>
              <w:right w:val="single" w:sz="4" w:space="0" w:color="808080"/>
            </w:tcBorders>
          </w:tcPr>
          <w:p w14:paraId="026AB6D9" w14:textId="77777777" w:rsidR="0094357C" w:rsidRDefault="00000000">
            <w:pPr>
              <w:pStyle w:val="TAL"/>
              <w:jc w:val="center"/>
              <w:rPr>
                <w:bCs/>
              </w:rPr>
            </w:pPr>
            <w:r>
              <w:rPr>
                <w:bCs/>
              </w:rPr>
              <w:t>Yes</w:t>
            </w:r>
          </w:p>
        </w:tc>
        <w:tc>
          <w:tcPr>
            <w:tcW w:w="630" w:type="dxa"/>
            <w:tcBorders>
              <w:top w:val="single" w:sz="4" w:space="0" w:color="808080"/>
              <w:left w:val="single" w:sz="4" w:space="0" w:color="808080"/>
              <w:bottom w:val="single" w:sz="4" w:space="0" w:color="808080"/>
              <w:right w:val="single" w:sz="4" w:space="0" w:color="808080"/>
            </w:tcBorders>
          </w:tcPr>
          <w:p w14:paraId="026AB6DA" w14:textId="77777777" w:rsidR="0094357C" w:rsidRDefault="00000000">
            <w:pPr>
              <w:pStyle w:val="TAL"/>
              <w:jc w:val="center"/>
              <w:rPr>
                <w:bCs/>
              </w:rPr>
            </w:pPr>
            <w:r>
              <w:rPr>
                <w:bCs/>
              </w:rPr>
              <w:t>No</w:t>
            </w:r>
          </w:p>
        </w:tc>
      </w:tr>
    </w:tbl>
    <w:p w14:paraId="026AB6DC" w14:textId="77777777" w:rsidR="0094357C" w:rsidRDefault="00000000">
      <w:pPr>
        <w:spacing w:before="240"/>
      </w:pPr>
      <w:r>
        <w:t xml:space="preserve">In the capabilities listed in the annex we have colour-coded the capabilities based on the </w:t>
      </w:r>
      <w:r>
        <w:rPr>
          <w:i/>
          <w:iCs/>
        </w:rPr>
        <w:t>expected</w:t>
      </w:r>
      <w:r>
        <w:t xml:space="preserve"> relevance to mobile IAB:</w:t>
      </w:r>
    </w:p>
    <w:p w14:paraId="026AB6DD" w14:textId="77777777" w:rsidR="0094357C" w:rsidRDefault="00000000">
      <w:r>
        <w:t xml:space="preserve">- </w:t>
      </w:r>
      <w:r>
        <w:rPr>
          <w:b/>
          <w:bCs/>
          <w:highlight w:val="green"/>
        </w:rPr>
        <w:t>Green</w:t>
      </w:r>
      <w:r>
        <w:t xml:space="preserve">: These capabilities are already included as IAB capabilities in 4.2.15.8. In the case of </w:t>
      </w:r>
      <w:proofErr w:type="spellStart"/>
      <w:r>
        <w:rPr>
          <w:i/>
          <w:iCs/>
        </w:rPr>
        <w:t>handoverInterF</w:t>
      </w:r>
      <w:proofErr w:type="spellEnd"/>
      <w:r>
        <w:rPr>
          <w:i/>
          <w:iCs/>
        </w:rPr>
        <w:t xml:space="preserve">, </w:t>
      </w:r>
      <w:r>
        <w:t xml:space="preserve">this capability is mandatory for other UEs but not for legacy </w:t>
      </w:r>
      <w:proofErr w:type="gramStart"/>
      <w:r>
        <w:t>IAB, and</w:t>
      </w:r>
      <w:proofErr w:type="gramEnd"/>
      <w:r>
        <w:t xml:space="preserve"> should be made mandatory for mobile IAB.</w:t>
      </w:r>
    </w:p>
    <w:p w14:paraId="026AB6DE" w14:textId="77777777" w:rsidR="0094357C" w:rsidRDefault="00000000">
      <w:r>
        <w:t xml:space="preserve">- </w:t>
      </w:r>
      <w:r>
        <w:rPr>
          <w:b/>
          <w:bCs/>
          <w:highlight w:val="yellow"/>
        </w:rPr>
        <w:t>Yellow</w:t>
      </w:r>
      <w:r>
        <w:t>: These capabilities are mandatory or conditional mandatory for UEs and could be relevant to mobile IAB.</w:t>
      </w:r>
    </w:p>
    <w:p w14:paraId="026AB6DF" w14:textId="77777777" w:rsidR="0094357C" w:rsidRDefault="00000000">
      <w:r>
        <w:t xml:space="preserve">- </w:t>
      </w:r>
      <w:r>
        <w:rPr>
          <w:b/>
          <w:bCs/>
          <w:highlight w:val="lightGray"/>
        </w:rPr>
        <w:t>Grey</w:t>
      </w:r>
      <w:r>
        <w:t>: These capabilities are conditional on a (non-mandatory) parameter and therefore seem not needed (but can be optionally supported) in mobile IAB.</w:t>
      </w:r>
    </w:p>
    <w:p w14:paraId="026AB6E0" w14:textId="77777777" w:rsidR="0094357C" w:rsidRDefault="00000000">
      <w:r>
        <w:t xml:space="preserve">- </w:t>
      </w:r>
      <w:r>
        <w:rPr>
          <w:b/>
          <w:bCs/>
          <w:highlight w:val="magenta"/>
        </w:rPr>
        <w:t>Pink</w:t>
      </w:r>
      <w:r>
        <w:t xml:space="preserve">: These capabilities are associated with a scenario which is </w:t>
      </w:r>
      <w:proofErr w:type="spellStart"/>
      <w:r>
        <w:t>downprioritized</w:t>
      </w:r>
      <w:proofErr w:type="spellEnd"/>
      <w:r>
        <w:t xml:space="preserve"> in the WI (</w:t>
      </w:r>
      <w:proofErr w:type="gramStart"/>
      <w:r>
        <w:t>e.g.</w:t>
      </w:r>
      <w:proofErr w:type="gramEnd"/>
      <w:r>
        <w:t xml:space="preserve"> MR-DC or NR-DC) or with a specific feature (e.g. NTN). These are not needed for mobile IAB.</w:t>
      </w:r>
    </w:p>
    <w:p w14:paraId="026AB6E1" w14:textId="77777777" w:rsidR="0094357C" w:rsidRDefault="00000000">
      <w:r>
        <w:t xml:space="preserve">The intention would be to eventually capture (in a note or by further adding to the parameters in section 4.2.15.8) that the yellow capabilities are also relevant to Rel-18 IAB; that the grey capabilities are optional; and that the pink capabilities are not supported. </w:t>
      </w:r>
    </w:p>
    <w:p w14:paraId="026AB6E2" w14:textId="77777777" w:rsidR="0094357C" w:rsidRDefault="00000000">
      <w:r>
        <w:t xml:space="preserve">However, we suspect that RAN4 may still be looking into the measurement and mobility-related requirements for mobile IAB (see for example the RAN4 draft CR in </w:t>
      </w:r>
      <w:hyperlink r:id="rId10" w:history="1">
        <w:r>
          <w:rPr>
            <w:rStyle w:val="Hyperlink"/>
          </w:rPr>
          <w:t>R4-2314490</w:t>
        </w:r>
      </w:hyperlink>
      <w:r>
        <w:t>) and wonder if companies prefer to wait for RAN4 input before discussing this matter further.</w:t>
      </w:r>
    </w:p>
    <w:p w14:paraId="026AB6E3" w14:textId="77777777" w:rsidR="0094357C" w:rsidRDefault="00000000">
      <w:r>
        <w:rPr>
          <w:b/>
          <w:bCs/>
        </w:rPr>
        <w:t>Question 4</w:t>
      </w:r>
      <w:r>
        <w:t>: Do companies agree RAN2 should wait for RAN4 feedback (</w:t>
      </w:r>
      <w:proofErr w:type="gramStart"/>
      <w:r>
        <w:t>i.e.</w:t>
      </w:r>
      <w:proofErr w:type="gramEnd"/>
      <w:r>
        <w:t xml:space="preserve"> await an LS from RAN4) before discussing the </w:t>
      </w:r>
      <w:proofErr w:type="spellStart"/>
      <w:r>
        <w:t>MeasAndMobParameters</w:t>
      </w:r>
      <w:proofErr w:type="spellEnd"/>
      <w:r>
        <w:t xml:space="preserve"> impacts for Rel-18 mobile IAB?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4357C" w14:paraId="026AB6E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6AB6E4" w14:textId="77777777" w:rsidR="0094357C" w:rsidRDefault="00000000">
            <w:pPr>
              <w:pStyle w:val="TAH"/>
              <w:spacing w:before="20" w:after="20"/>
              <w:ind w:left="57" w:right="57"/>
              <w:jc w:val="left"/>
              <w:rPr>
                <w:color w:val="FFFFFF" w:themeColor="background1"/>
              </w:rPr>
            </w:pPr>
            <w:r>
              <w:rPr>
                <w:color w:val="FFFFFF" w:themeColor="background1"/>
              </w:rPr>
              <w:lastRenderedPageBreak/>
              <w:t>Answers to Question 4</w:t>
            </w:r>
          </w:p>
        </w:tc>
      </w:tr>
      <w:tr w:rsidR="0094357C" w14:paraId="026AB6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6E6" w14:textId="77777777" w:rsidR="0094357C" w:rsidRDefault="000000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6E7" w14:textId="77777777" w:rsidR="0094357C" w:rsidRDefault="000000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6E8" w14:textId="77777777" w:rsidR="0094357C" w:rsidRDefault="00000000">
            <w:pPr>
              <w:pStyle w:val="TAH"/>
              <w:spacing w:before="20" w:after="20"/>
              <w:ind w:left="57" w:right="57"/>
              <w:jc w:val="left"/>
            </w:pPr>
            <w:r>
              <w:t>Comments</w:t>
            </w:r>
          </w:p>
        </w:tc>
      </w:tr>
      <w:tr w:rsidR="0094357C" w14:paraId="026AB6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EA" w14:textId="77777777" w:rsidR="0094357C" w:rsidRDefault="000000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26AB6EB" w14:textId="77777777" w:rsidR="0094357C"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AB6EC" w14:textId="77777777" w:rsidR="0094357C" w:rsidRDefault="00000000">
            <w:pPr>
              <w:pStyle w:val="TAC"/>
              <w:spacing w:before="20" w:after="20"/>
              <w:ind w:left="57" w:right="57"/>
              <w:jc w:val="left"/>
              <w:rPr>
                <w:lang w:eastAsia="zh-CN"/>
              </w:rPr>
            </w:pPr>
            <w:r>
              <w:rPr>
                <w:lang w:eastAsia="zh-CN"/>
              </w:rPr>
              <w:t xml:space="preserve">Since RAN2 don't agree any new measurement feature in Rel-18 </w:t>
            </w:r>
            <w:proofErr w:type="spellStart"/>
            <w:r>
              <w:rPr>
                <w:lang w:eastAsia="zh-CN"/>
              </w:rPr>
              <w:t>mIAB</w:t>
            </w:r>
            <w:proofErr w:type="spellEnd"/>
            <w:r>
              <w:rPr>
                <w:lang w:eastAsia="zh-CN"/>
              </w:rPr>
              <w:t xml:space="preserve">, it is business as usual to wait RAN4 LS.  </w:t>
            </w:r>
          </w:p>
        </w:tc>
      </w:tr>
      <w:tr w:rsidR="0094357C" w14:paraId="026AB6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EE" w14:textId="77777777" w:rsidR="0094357C" w:rsidRDefault="0000000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26AB6EF" w14:textId="77777777" w:rsidR="0094357C"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AB6F0" w14:textId="77777777" w:rsidR="0094357C" w:rsidRDefault="00000000">
            <w:pPr>
              <w:pStyle w:val="TAC"/>
              <w:spacing w:before="20" w:after="20"/>
              <w:ind w:left="57" w:right="57"/>
              <w:jc w:val="left"/>
              <w:rPr>
                <w:lang w:eastAsia="zh-CN"/>
              </w:rPr>
            </w:pPr>
            <w:r>
              <w:rPr>
                <w:lang w:eastAsia="zh-CN"/>
              </w:rPr>
              <w:t>Wait for RAN4 or ask RAN4 if no input is received after next meeting.</w:t>
            </w:r>
          </w:p>
          <w:p w14:paraId="026AB6F1" w14:textId="77777777" w:rsidR="0094357C" w:rsidRDefault="0094357C">
            <w:pPr>
              <w:pStyle w:val="TAC"/>
              <w:spacing w:before="20" w:after="20"/>
              <w:ind w:left="57" w:right="57"/>
              <w:jc w:val="left"/>
              <w:rPr>
                <w:lang w:eastAsia="zh-CN"/>
              </w:rPr>
            </w:pPr>
          </w:p>
          <w:p w14:paraId="026AB6F2" w14:textId="77777777" w:rsidR="0094357C" w:rsidRDefault="00000000">
            <w:pPr>
              <w:pStyle w:val="TAC"/>
              <w:spacing w:before="20" w:after="20"/>
              <w:ind w:left="57" w:right="57"/>
              <w:jc w:val="left"/>
              <w:rPr>
                <w:lang w:eastAsia="zh-CN"/>
              </w:rPr>
            </w:pPr>
            <w:r>
              <w:rPr>
                <w:lang w:eastAsia="zh-CN"/>
              </w:rPr>
              <w:t xml:space="preserve">One comment on </w:t>
            </w:r>
            <w:proofErr w:type="spellStart"/>
            <w:r>
              <w:rPr>
                <w:i/>
                <w:iCs/>
                <w:lang w:eastAsia="zh-CN"/>
              </w:rPr>
              <w:t>handoverInterF</w:t>
            </w:r>
            <w:proofErr w:type="spellEnd"/>
            <w:r>
              <w:rPr>
                <w:lang w:eastAsia="zh-CN"/>
              </w:rPr>
              <w:t>, based on our understanding, inter-frequency HO is also not supported by mobile IAB according to R4-2310085.</w:t>
            </w:r>
          </w:p>
          <w:p w14:paraId="026AB6F3" w14:textId="77777777" w:rsidR="0094357C" w:rsidRDefault="0094357C">
            <w:pPr>
              <w:pStyle w:val="TAC"/>
              <w:spacing w:before="20" w:after="20"/>
              <w:ind w:left="57" w:right="57"/>
              <w:jc w:val="left"/>
              <w:rPr>
                <w:lang w:eastAsia="zh-CN"/>
              </w:rPr>
            </w:pPr>
          </w:p>
          <w:p w14:paraId="026AB6F4" w14:textId="77777777" w:rsidR="0094357C" w:rsidRDefault="00000000">
            <w:pPr>
              <w:pStyle w:val="TAC"/>
              <w:spacing w:before="20" w:after="20"/>
              <w:ind w:left="57" w:right="57"/>
              <w:jc w:val="left"/>
              <w:rPr>
                <w:lang w:eastAsia="zh-CN"/>
              </w:rPr>
            </w:pPr>
            <w:r>
              <w:rPr>
                <w:lang w:eastAsia="zh-CN"/>
              </w:rPr>
              <w:t>And according to RAN4 progress, at least following features should be supported by mobile IAB as mandatory features:</w:t>
            </w:r>
          </w:p>
          <w:p w14:paraId="026AB6F5" w14:textId="77777777" w:rsidR="0094357C" w:rsidRDefault="00000000">
            <w:pPr>
              <w:pStyle w:val="TAC"/>
              <w:spacing w:before="20" w:after="20"/>
              <w:ind w:left="57" w:right="57"/>
              <w:jc w:val="left"/>
              <w:rPr>
                <w:lang w:eastAsia="zh-CN"/>
              </w:rPr>
            </w:pPr>
            <w:r>
              <w:rPr>
                <w:rStyle w:val="ui-provider"/>
              </w:rPr>
              <w:t xml:space="preserve">Agreed to reuse or use as baseline the NR UE requirements for </w:t>
            </w:r>
            <w:r>
              <w:rPr>
                <w:rStyle w:val="ui-provider"/>
                <w:b/>
                <w:bCs/>
              </w:rPr>
              <w:t>Intra-frequency HO, RRC re-establishment, TCI state switch, RLM, Link recovery, L1-RSRP reporting, L3 intra-frequency measurements, timing, and RA</w:t>
            </w:r>
            <w:r>
              <w:rPr>
                <w:rStyle w:val="ui-provider"/>
              </w:rPr>
              <w:t>.</w:t>
            </w:r>
          </w:p>
          <w:p w14:paraId="026AB6F6" w14:textId="77777777" w:rsidR="0094357C" w:rsidRDefault="0094357C">
            <w:pPr>
              <w:pStyle w:val="TAC"/>
              <w:spacing w:before="20" w:after="20"/>
              <w:ind w:right="57"/>
              <w:jc w:val="left"/>
              <w:rPr>
                <w:lang w:eastAsia="zh-CN"/>
              </w:rPr>
            </w:pPr>
          </w:p>
        </w:tc>
      </w:tr>
      <w:tr w:rsidR="0094357C" w14:paraId="026AB6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F8" w14:textId="77777777" w:rsidR="0094357C" w:rsidRDefault="0000000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26AB6F9" w14:textId="77777777" w:rsidR="0094357C"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AB6FA" w14:textId="77777777" w:rsidR="0094357C" w:rsidRDefault="00000000">
            <w:pPr>
              <w:pStyle w:val="TAC"/>
              <w:spacing w:before="20" w:after="20"/>
              <w:ind w:left="57" w:right="57"/>
              <w:jc w:val="left"/>
              <w:rPr>
                <w:lang w:eastAsia="zh-CN"/>
              </w:rPr>
            </w:pPr>
            <w:r>
              <w:rPr>
                <w:rFonts w:hint="eastAsia"/>
                <w:lang w:eastAsia="zh-CN"/>
              </w:rPr>
              <w:t>L</w:t>
            </w:r>
            <w:r>
              <w:rPr>
                <w:lang w:eastAsia="zh-CN"/>
              </w:rPr>
              <w:t>eave it to RAN4</w:t>
            </w:r>
          </w:p>
        </w:tc>
      </w:tr>
      <w:tr w:rsidR="0094357C" w14:paraId="026AB6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6FC" w14:textId="77777777" w:rsidR="0094357C" w:rsidRDefault="0000000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26AB6FD" w14:textId="77777777" w:rsidR="0094357C" w:rsidRDefault="000000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6AB6FE" w14:textId="77777777" w:rsidR="0094357C" w:rsidRDefault="0094357C">
            <w:pPr>
              <w:pStyle w:val="TAC"/>
              <w:spacing w:before="20" w:after="20"/>
              <w:ind w:left="57" w:right="57"/>
              <w:jc w:val="left"/>
              <w:rPr>
                <w:lang w:eastAsia="zh-CN"/>
              </w:rPr>
            </w:pPr>
          </w:p>
        </w:tc>
      </w:tr>
      <w:tr w:rsidR="0094357C" w14:paraId="026AB7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700" w14:textId="77777777" w:rsidR="0094357C" w:rsidRDefault="0000000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26AB701" w14:textId="77777777" w:rsidR="0094357C" w:rsidRDefault="00000000">
            <w:pPr>
              <w:pStyle w:val="TAC"/>
              <w:spacing w:before="20" w:after="20"/>
              <w:ind w:left="57" w:right="57"/>
              <w:jc w:val="left"/>
              <w:rPr>
                <w:lang w:val="en-US" w:eastAsia="zh-CN"/>
              </w:rPr>
            </w:pPr>
            <w:r>
              <w:rPr>
                <w:rFonts w:hint="eastAsia"/>
                <w:lang w:val="en-US"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026AB702" w14:textId="77777777" w:rsidR="0094357C" w:rsidRDefault="0094357C">
            <w:pPr>
              <w:pStyle w:val="TAC"/>
              <w:spacing w:before="20" w:after="20"/>
              <w:ind w:left="57" w:right="57"/>
              <w:jc w:val="left"/>
              <w:rPr>
                <w:lang w:eastAsia="zh-CN"/>
              </w:rPr>
            </w:pPr>
          </w:p>
        </w:tc>
      </w:tr>
      <w:tr w:rsidR="0094357C" w14:paraId="026AB7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704" w14:textId="77777777" w:rsidR="0094357C" w:rsidRDefault="009435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6AB705" w14:textId="77777777" w:rsidR="0094357C" w:rsidRDefault="009435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6AB706" w14:textId="77777777" w:rsidR="0094357C" w:rsidRDefault="0094357C">
            <w:pPr>
              <w:pStyle w:val="TAC"/>
              <w:spacing w:before="20" w:after="20"/>
              <w:ind w:left="57" w:right="57"/>
              <w:jc w:val="left"/>
              <w:rPr>
                <w:lang w:eastAsia="zh-CN"/>
              </w:rPr>
            </w:pPr>
          </w:p>
        </w:tc>
      </w:tr>
    </w:tbl>
    <w:p w14:paraId="5F9C4799" w14:textId="54D8D40E" w:rsidR="00E6116F" w:rsidRDefault="00E6116F">
      <w:pPr>
        <w:spacing w:before="240"/>
        <w:rPr>
          <w:b/>
          <w:bCs/>
        </w:rPr>
      </w:pPr>
      <w:r w:rsidRPr="00E6116F">
        <w:rPr>
          <w:b/>
          <w:bCs/>
          <w:u w:val="single"/>
        </w:rPr>
        <w:t>Phase 1</w:t>
      </w:r>
      <w:r>
        <w:rPr>
          <w:b/>
          <w:bCs/>
        </w:rPr>
        <w:t>:</w:t>
      </w:r>
    </w:p>
    <w:p w14:paraId="026AB724" w14:textId="43B3DD86" w:rsidR="0094357C" w:rsidRDefault="00E6116F">
      <w:pPr>
        <w:spacing w:before="240"/>
      </w:pPr>
      <w:r>
        <w:rPr>
          <w:b/>
          <w:bCs/>
        </w:rPr>
        <w:t>Ph1-</w:t>
      </w:r>
      <w:r w:rsidR="00000000">
        <w:rPr>
          <w:b/>
          <w:bCs/>
        </w:rPr>
        <w:t>Summary 4</w:t>
      </w:r>
      <w:r w:rsidR="00000000">
        <w:t xml:space="preserve">: </w:t>
      </w:r>
      <w:r w:rsidR="004933B0">
        <w:t xml:space="preserve">Companies agree that RAN2 </w:t>
      </w:r>
      <w:r w:rsidR="00905156">
        <w:t xml:space="preserve">should </w:t>
      </w:r>
      <w:r w:rsidR="00D252B0">
        <w:t>wait for RAN4 input before further discussing measurement and mobility</w:t>
      </w:r>
      <w:r w:rsidR="00905156">
        <w:t>-</w:t>
      </w:r>
      <w:r w:rsidR="00D252B0">
        <w:t xml:space="preserve">related impacts to </w:t>
      </w:r>
      <w:r w:rsidR="00EE4248">
        <w:t>mobile IAB in TS 38.306</w:t>
      </w:r>
      <w:r w:rsidR="00000000">
        <w:t>.</w:t>
      </w:r>
      <w:r w:rsidR="003C044F">
        <w:t xml:space="preserve"> </w:t>
      </w:r>
      <w:r w:rsidR="003A51CB">
        <w:t xml:space="preserve">Intel noted certain features RAN4 already agreed to support/not support in Rel-18 mobile IAB; however, </w:t>
      </w:r>
      <w:r w:rsidR="003C044F">
        <w:t xml:space="preserve">Rapporteur expects that </w:t>
      </w:r>
      <w:r w:rsidR="008916DB">
        <w:t>RAN4 will</w:t>
      </w:r>
      <w:r w:rsidR="003A51CB">
        <w:t xml:space="preserve"> </w:t>
      </w:r>
      <w:r w:rsidR="00AE6214">
        <w:t>provide such information i</w:t>
      </w:r>
      <w:r w:rsidR="0058770E">
        <w:t>n an LS to RAN2</w:t>
      </w:r>
      <w:r w:rsidR="00DB4501">
        <w:t>, so</w:t>
      </w:r>
      <w:r w:rsidR="00657D7B">
        <w:t xml:space="preserve"> there is no need to discuss these </w:t>
      </w:r>
      <w:proofErr w:type="gramStart"/>
      <w:r w:rsidR="00657D7B">
        <w:t>at the moment</w:t>
      </w:r>
      <w:proofErr w:type="gramEnd"/>
      <w:r w:rsidR="00AE6214">
        <w:t>.</w:t>
      </w:r>
    </w:p>
    <w:p w14:paraId="026AB725" w14:textId="399B6278" w:rsidR="0094357C" w:rsidRDefault="00E6116F">
      <w:r>
        <w:rPr>
          <w:b/>
          <w:bCs/>
        </w:rPr>
        <w:t>Ph1-</w:t>
      </w:r>
      <w:r w:rsidR="00000000">
        <w:rPr>
          <w:b/>
          <w:bCs/>
        </w:rPr>
        <w:t>Proposal 4</w:t>
      </w:r>
      <w:r w:rsidR="00000000">
        <w:t xml:space="preserve">: </w:t>
      </w:r>
      <w:r w:rsidR="00AE6214">
        <w:t>RAN2 waits for RAN4 before further discussing measurement and mobility-related capability impacts to Rel-18 mobile IAB</w:t>
      </w:r>
      <w:r w:rsidR="00000000">
        <w:t>.</w:t>
      </w:r>
    </w:p>
    <w:p w14:paraId="1A3D1C02" w14:textId="67A78A48" w:rsidR="00E6116F" w:rsidRPr="00E6116F" w:rsidRDefault="00E6116F" w:rsidP="00E6116F">
      <w:pPr>
        <w:rPr>
          <w:b/>
          <w:bCs/>
          <w:u w:val="single"/>
        </w:rPr>
      </w:pPr>
      <w:r w:rsidRPr="00E6116F">
        <w:rPr>
          <w:b/>
          <w:bCs/>
          <w:u w:val="single"/>
        </w:rPr>
        <w:t>Phase 2:</w:t>
      </w:r>
    </w:p>
    <w:p w14:paraId="03C97B5E" w14:textId="1C61CA62" w:rsidR="00E6116F" w:rsidRDefault="00E6116F">
      <w:r w:rsidRPr="00E6116F">
        <w:rPr>
          <w:b/>
          <w:bCs/>
        </w:rPr>
        <w:t>Ph2-Summary 4</w:t>
      </w:r>
      <w:r>
        <w:t>: No further comments were provided.</w:t>
      </w:r>
    </w:p>
    <w:p w14:paraId="2E1EAA7E" w14:textId="7DDF5EBB" w:rsidR="00E6116F" w:rsidRDefault="00E6116F">
      <w:r w:rsidRPr="00E6116F">
        <w:rPr>
          <w:b/>
          <w:bCs/>
        </w:rPr>
        <w:t>Ph2-</w:t>
      </w:r>
      <w:r>
        <w:rPr>
          <w:b/>
          <w:bCs/>
        </w:rPr>
        <w:t>Proposal 4</w:t>
      </w:r>
      <w:r>
        <w:t>: RAN2 waits for RAN4 before further discussing measurement and mobility-related capability impacts to Rel-18 mobile IAB.</w:t>
      </w:r>
    </w:p>
    <w:p w14:paraId="026AB726" w14:textId="77777777" w:rsidR="0094357C" w:rsidRDefault="00000000">
      <w:pPr>
        <w:pStyle w:val="Heading2"/>
      </w:pPr>
      <w:r>
        <w:t>3.4</w:t>
      </w:r>
      <w:r>
        <w:tab/>
        <w:t>Other new capabilities</w:t>
      </w:r>
    </w:p>
    <w:p w14:paraId="026AB727" w14:textId="77777777" w:rsidR="0094357C" w:rsidRDefault="00000000">
      <w:r>
        <w:t xml:space="preserve">Besides mobile-IAB capability, our view is that, </w:t>
      </w:r>
      <w:r>
        <w:rPr>
          <w:i/>
          <w:iCs/>
        </w:rPr>
        <w:t>so far</w:t>
      </w:r>
      <w:r>
        <w:t xml:space="preserve">, no other new capabilities are required to be introduced in this WI, either for UEs or for the IAB-MT. Although RAN2 has now agreed to support RACH-less HO for UEs on board the mobile IAB node, it is not clear yet whether or how this will differ from the Rel-18 NTN RACH-less HO; therefore, it does not make sense to discuss the impact of RACH-less HO on the UE capabilities at this point. </w:t>
      </w:r>
    </w:p>
    <w:p w14:paraId="026AB728" w14:textId="77777777" w:rsidR="0094357C" w:rsidRDefault="00000000">
      <w:r>
        <w:rPr>
          <w:b/>
          <w:bCs/>
        </w:rPr>
        <w:t>Question 5</w:t>
      </w:r>
      <w:r>
        <w:t>: We wonder if companies share similar views on this matter (</w:t>
      </w:r>
      <w:proofErr w:type="gramStart"/>
      <w:r>
        <w:t>i.e.</w:t>
      </w:r>
      <w:proofErr w:type="gramEnd"/>
      <w:r>
        <w:t xml:space="preserve"> there are no other capabilities to be introduced), </w:t>
      </w:r>
      <w:r>
        <w:rPr>
          <w:b/>
          <w:bCs/>
          <w:i/>
          <w:iCs/>
        </w:rPr>
        <w:t xml:space="preserve">based on agreements made so far in RAN2 </w:t>
      </w:r>
      <w:r>
        <w:t>(running agreements are captured in Annex 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4357C" w14:paraId="026AB72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6AB729" w14:textId="77777777" w:rsidR="0094357C" w:rsidRDefault="00000000">
            <w:pPr>
              <w:pStyle w:val="TAH"/>
              <w:spacing w:before="20" w:after="20"/>
              <w:ind w:left="57" w:right="57"/>
              <w:jc w:val="left"/>
              <w:rPr>
                <w:color w:val="FFFFFF" w:themeColor="background1"/>
              </w:rPr>
            </w:pPr>
            <w:r>
              <w:rPr>
                <w:color w:val="FFFFFF" w:themeColor="background1"/>
              </w:rPr>
              <w:lastRenderedPageBreak/>
              <w:t>Answers to Question 6</w:t>
            </w:r>
          </w:p>
        </w:tc>
      </w:tr>
      <w:tr w:rsidR="0094357C" w14:paraId="026AB7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72B" w14:textId="77777777" w:rsidR="0094357C" w:rsidRDefault="000000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72C" w14:textId="77777777" w:rsidR="0094357C" w:rsidRDefault="000000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AB72D" w14:textId="77777777" w:rsidR="0094357C" w:rsidRDefault="00000000">
            <w:pPr>
              <w:pStyle w:val="TAH"/>
              <w:spacing w:before="20" w:after="20"/>
              <w:ind w:left="57" w:right="57"/>
              <w:jc w:val="left"/>
            </w:pPr>
            <w:r>
              <w:t>Comments</w:t>
            </w:r>
          </w:p>
        </w:tc>
      </w:tr>
      <w:tr w:rsidR="0094357C" w14:paraId="026AB7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72F" w14:textId="77777777" w:rsidR="0094357C" w:rsidRDefault="000000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26AB730" w14:textId="77777777" w:rsidR="0094357C" w:rsidRDefault="00000000">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026AB731" w14:textId="77777777" w:rsidR="0094357C" w:rsidRDefault="00000000">
            <w:pPr>
              <w:pStyle w:val="TAC"/>
              <w:spacing w:before="20" w:after="20"/>
              <w:ind w:left="57" w:right="57"/>
              <w:jc w:val="left"/>
              <w:rPr>
                <w:lang w:eastAsia="zh-CN"/>
              </w:rPr>
            </w:pPr>
            <w:r>
              <w:rPr>
                <w:lang w:eastAsia="zh-CN"/>
              </w:rPr>
              <w:t xml:space="preserve">For RACH-less HO, we think the capability signalling is needed, and the question is just whether to share the capability of NTN or introduce a separate one. It depends on whether any different (sub)feature for </w:t>
            </w:r>
            <w:proofErr w:type="spellStart"/>
            <w:r>
              <w:rPr>
                <w:lang w:eastAsia="zh-CN"/>
              </w:rPr>
              <w:t>mIAB</w:t>
            </w:r>
            <w:proofErr w:type="spellEnd"/>
            <w:r>
              <w:rPr>
                <w:lang w:eastAsia="zh-CN"/>
              </w:rPr>
              <w:t xml:space="preserve"> UE to support RACH-less. For example, if TA calculation requirement is included in the capability of NTN RACH-less, we may need a separate one. But we agree that current agreements may not be sufficient to make decision. So, we suggest </w:t>
            </w:r>
            <w:proofErr w:type="gramStart"/>
            <w:r>
              <w:rPr>
                <w:lang w:eastAsia="zh-CN"/>
              </w:rPr>
              <w:t>to capture</w:t>
            </w:r>
            <w:proofErr w:type="gramEnd"/>
            <w:r>
              <w:rPr>
                <w:lang w:eastAsia="zh-CN"/>
              </w:rPr>
              <w:t xml:space="preserve"> a Editor Note on FFS of RACH-less HO capability for </w:t>
            </w:r>
            <w:proofErr w:type="spellStart"/>
            <w:r>
              <w:rPr>
                <w:lang w:eastAsia="zh-CN"/>
              </w:rPr>
              <w:t>mIAB</w:t>
            </w:r>
            <w:proofErr w:type="spellEnd"/>
            <w:r>
              <w:rPr>
                <w:lang w:eastAsia="zh-CN"/>
              </w:rPr>
              <w:t xml:space="preserve">. </w:t>
            </w:r>
          </w:p>
        </w:tc>
      </w:tr>
      <w:tr w:rsidR="0094357C" w14:paraId="026AB7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733" w14:textId="77777777" w:rsidR="0094357C" w:rsidRDefault="0000000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26AB734" w14:textId="77777777" w:rsidR="0094357C" w:rsidRDefault="0000000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026AB735" w14:textId="77777777" w:rsidR="0094357C" w:rsidRDefault="00000000">
            <w:pPr>
              <w:pStyle w:val="TAC"/>
              <w:spacing w:before="20" w:after="20"/>
              <w:ind w:left="57" w:right="57"/>
              <w:jc w:val="left"/>
              <w:rPr>
                <w:lang w:eastAsia="zh-CN"/>
              </w:rPr>
            </w:pPr>
            <w:r>
              <w:rPr>
                <w:lang w:eastAsia="zh-CN"/>
              </w:rPr>
              <w:t xml:space="preserve">We understand that some points are not clear between NTN and </w:t>
            </w:r>
            <w:proofErr w:type="spellStart"/>
            <w:r>
              <w:rPr>
                <w:lang w:eastAsia="zh-CN"/>
              </w:rPr>
              <w:t>mIAB</w:t>
            </w:r>
            <w:proofErr w:type="spellEnd"/>
            <w:r>
              <w:rPr>
                <w:lang w:eastAsia="zh-CN"/>
              </w:rPr>
              <w:t xml:space="preserve"> RACH-less HO. However, in our understanding, RACH-less HO for </w:t>
            </w:r>
            <w:proofErr w:type="spellStart"/>
            <w:r>
              <w:rPr>
                <w:lang w:eastAsia="zh-CN"/>
              </w:rPr>
              <w:t>mIAB</w:t>
            </w:r>
            <w:proofErr w:type="spellEnd"/>
            <w:r>
              <w:rPr>
                <w:lang w:eastAsia="zh-CN"/>
              </w:rPr>
              <w:t xml:space="preserve"> and RACH-less HO for NTN are triggered for different purposes. It would be clearer for a UE, also for IOT purpose to indicate supporting of RACH-less HO using separate capability bits for different purposes, </w:t>
            </w:r>
            <w:proofErr w:type="gramStart"/>
            <w:r>
              <w:rPr>
                <w:lang w:eastAsia="zh-CN"/>
              </w:rPr>
              <w:t>i.e.</w:t>
            </w:r>
            <w:proofErr w:type="gramEnd"/>
            <w:r>
              <w:rPr>
                <w:lang w:eastAsia="zh-CN"/>
              </w:rPr>
              <w:t xml:space="preserve"> one for </w:t>
            </w:r>
            <w:proofErr w:type="spellStart"/>
            <w:r>
              <w:rPr>
                <w:lang w:eastAsia="zh-CN"/>
              </w:rPr>
              <w:t>mIAB</w:t>
            </w:r>
            <w:proofErr w:type="spellEnd"/>
            <w:r>
              <w:rPr>
                <w:lang w:eastAsia="zh-CN"/>
              </w:rPr>
              <w:t xml:space="preserve"> RACH-less HO and another for NTN RACH-less HO.</w:t>
            </w:r>
          </w:p>
        </w:tc>
      </w:tr>
      <w:tr w:rsidR="0094357C" w14:paraId="026AB73C" w14:textId="77777777">
        <w:trPr>
          <w:trHeight w:val="151"/>
          <w:jc w:val="center"/>
        </w:trPr>
        <w:tc>
          <w:tcPr>
            <w:tcW w:w="1695" w:type="dxa"/>
            <w:tcBorders>
              <w:top w:val="single" w:sz="4" w:space="0" w:color="auto"/>
              <w:left w:val="single" w:sz="4" w:space="0" w:color="auto"/>
              <w:bottom w:val="single" w:sz="4" w:space="0" w:color="auto"/>
              <w:right w:val="single" w:sz="4" w:space="0" w:color="auto"/>
            </w:tcBorders>
          </w:tcPr>
          <w:p w14:paraId="026AB737" w14:textId="77777777" w:rsidR="0094357C" w:rsidRDefault="0000000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26AB738" w14:textId="77777777" w:rsidR="0094357C" w:rsidRDefault="0000000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026AB739" w14:textId="77777777" w:rsidR="0094357C" w:rsidRDefault="00000000">
            <w:pPr>
              <w:pStyle w:val="TAC"/>
              <w:spacing w:before="20" w:after="20"/>
              <w:ind w:left="57" w:right="57"/>
              <w:jc w:val="left"/>
              <w:rPr>
                <w:lang w:eastAsia="zh-CN"/>
              </w:rPr>
            </w:pPr>
            <w:r>
              <w:rPr>
                <w:lang w:eastAsia="zh-CN"/>
              </w:rPr>
              <w:t xml:space="preserve">For RACH-less, </w:t>
            </w:r>
            <w:r>
              <w:rPr>
                <w:rFonts w:hint="eastAsia"/>
                <w:lang w:eastAsia="zh-CN"/>
              </w:rPr>
              <w:t>O</w:t>
            </w:r>
            <w:r>
              <w:rPr>
                <w:lang w:eastAsia="zh-CN"/>
              </w:rPr>
              <w:t>K to wait for more progress. So, we prefer no proposal on this.</w:t>
            </w:r>
          </w:p>
          <w:p w14:paraId="026AB73A" w14:textId="77777777" w:rsidR="0094357C" w:rsidRDefault="0094357C">
            <w:pPr>
              <w:pStyle w:val="TAC"/>
              <w:spacing w:before="20" w:after="20"/>
              <w:ind w:left="57" w:right="57"/>
              <w:jc w:val="left"/>
              <w:rPr>
                <w:lang w:eastAsia="zh-CN"/>
              </w:rPr>
            </w:pPr>
          </w:p>
          <w:p w14:paraId="026AB73B" w14:textId="77777777" w:rsidR="0094357C" w:rsidRDefault="00000000">
            <w:pPr>
              <w:pStyle w:val="TAC"/>
              <w:spacing w:before="20" w:after="20"/>
              <w:ind w:left="57" w:right="57"/>
              <w:jc w:val="left"/>
              <w:rPr>
                <w:lang w:eastAsia="zh-CN"/>
              </w:rPr>
            </w:pPr>
            <w:r>
              <w:rPr>
                <w:lang w:eastAsia="zh-CN"/>
              </w:rPr>
              <w:t xml:space="preserve">Not sure about the capabilities from RAN3 design, </w:t>
            </w:r>
            <w:proofErr w:type="gramStart"/>
            <w:r>
              <w:rPr>
                <w:lang w:eastAsia="zh-CN"/>
              </w:rPr>
              <w:t>e.g.</w:t>
            </w:r>
            <w:proofErr w:type="gramEnd"/>
            <w:r>
              <w:rPr>
                <w:lang w:eastAsia="zh-CN"/>
              </w:rPr>
              <w:t xml:space="preserve"> whether a mobile IAB-node supports partial migration and/or DU migration. Maybe it can be OAM or implementation issue.</w:t>
            </w:r>
          </w:p>
        </w:tc>
      </w:tr>
      <w:tr w:rsidR="0094357C" w14:paraId="026AB7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73D" w14:textId="77777777" w:rsidR="0094357C" w:rsidRDefault="0000000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26AB73E" w14:textId="77777777" w:rsidR="0094357C" w:rsidRDefault="00000000">
            <w:pPr>
              <w:pStyle w:val="TAC"/>
              <w:spacing w:before="20" w:after="20"/>
              <w:ind w:left="57" w:right="57"/>
              <w:jc w:val="left"/>
              <w:rPr>
                <w:lang w:eastAsia="zh-CN"/>
              </w:rPr>
            </w:pPr>
            <w:r>
              <w:rPr>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026AB73F" w14:textId="77777777" w:rsidR="0094357C" w:rsidRDefault="00000000">
            <w:pPr>
              <w:pStyle w:val="TAC"/>
              <w:spacing w:before="20" w:after="20"/>
              <w:ind w:left="57" w:right="57"/>
              <w:jc w:val="left"/>
              <w:rPr>
                <w:lang w:eastAsia="zh-CN"/>
              </w:rPr>
            </w:pPr>
            <w:r>
              <w:rPr>
                <w:lang w:eastAsia="zh-CN"/>
              </w:rPr>
              <w:t xml:space="preserve">Agree that for current agreements we think it is not good use of time to discuss further capabilities. Our expectation is that RACH-less will be harmonized to work in TN, NTN, </w:t>
            </w:r>
            <w:proofErr w:type="spellStart"/>
            <w:r>
              <w:rPr>
                <w:lang w:eastAsia="zh-CN"/>
              </w:rPr>
              <w:t>mIAB</w:t>
            </w:r>
            <w:proofErr w:type="spellEnd"/>
            <w:r>
              <w:rPr>
                <w:lang w:eastAsia="zh-CN"/>
              </w:rPr>
              <w:t xml:space="preserve"> etc, and after that the capabilities can be discussed. </w:t>
            </w:r>
          </w:p>
        </w:tc>
      </w:tr>
      <w:tr w:rsidR="0094357C" w14:paraId="026AB7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741" w14:textId="77777777" w:rsidR="0094357C" w:rsidRDefault="0000000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26AB742" w14:textId="77777777" w:rsidR="0094357C" w:rsidRDefault="00000000">
            <w:pPr>
              <w:pStyle w:val="TAC"/>
              <w:spacing w:before="20" w:after="20"/>
              <w:ind w:left="57" w:right="57"/>
              <w:jc w:val="left"/>
              <w:rPr>
                <w:lang w:val="en-US" w:eastAsia="zh-CN"/>
              </w:rPr>
            </w:pPr>
            <w:r>
              <w:rPr>
                <w:rFonts w:hint="eastAsia"/>
                <w:lang w:val="en-US"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026AB743" w14:textId="77777777" w:rsidR="0094357C" w:rsidRDefault="00000000">
            <w:pPr>
              <w:pStyle w:val="TAC"/>
              <w:spacing w:before="20" w:after="20"/>
              <w:ind w:left="57" w:right="57"/>
              <w:jc w:val="left"/>
              <w:rPr>
                <w:lang w:val="en-US" w:eastAsia="zh-CN"/>
              </w:rPr>
            </w:pPr>
            <w:r>
              <w:rPr>
                <w:rFonts w:hint="eastAsia"/>
                <w:lang w:val="en-US" w:eastAsia="zh-CN"/>
              </w:rPr>
              <w:t xml:space="preserve">For RACH-less HO, we prefer to wait for further progress in RAN2. </w:t>
            </w:r>
          </w:p>
        </w:tc>
      </w:tr>
      <w:tr w:rsidR="0094357C" w14:paraId="026AB7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AB745" w14:textId="77777777" w:rsidR="0094357C" w:rsidRDefault="009435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6AB746" w14:textId="77777777" w:rsidR="0094357C" w:rsidRDefault="009435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6AB747" w14:textId="77777777" w:rsidR="0094357C" w:rsidRDefault="0094357C">
            <w:pPr>
              <w:pStyle w:val="TAC"/>
              <w:spacing w:before="20" w:after="20"/>
              <w:ind w:left="57" w:right="57"/>
              <w:jc w:val="left"/>
              <w:rPr>
                <w:lang w:eastAsia="zh-CN"/>
              </w:rPr>
            </w:pPr>
          </w:p>
        </w:tc>
      </w:tr>
    </w:tbl>
    <w:p w14:paraId="691A4884" w14:textId="075983C3" w:rsidR="0063606C" w:rsidRDefault="0063606C">
      <w:pPr>
        <w:spacing w:before="240"/>
        <w:rPr>
          <w:b/>
          <w:bCs/>
        </w:rPr>
      </w:pPr>
      <w:r w:rsidRPr="0063606C">
        <w:rPr>
          <w:b/>
          <w:bCs/>
          <w:u w:val="single"/>
        </w:rPr>
        <w:t>Phase 1</w:t>
      </w:r>
      <w:r>
        <w:rPr>
          <w:b/>
          <w:bCs/>
        </w:rPr>
        <w:t>:</w:t>
      </w:r>
    </w:p>
    <w:p w14:paraId="05311DAA" w14:textId="1E6ECCE3" w:rsidR="00084A6A" w:rsidRDefault="0063606C">
      <w:pPr>
        <w:spacing w:before="240"/>
      </w:pPr>
      <w:r>
        <w:rPr>
          <w:b/>
          <w:bCs/>
        </w:rPr>
        <w:t>Ph1-</w:t>
      </w:r>
      <w:r w:rsidR="00000000">
        <w:rPr>
          <w:b/>
          <w:bCs/>
        </w:rPr>
        <w:t>Summary 5</w:t>
      </w:r>
      <w:r w:rsidR="00000000">
        <w:t xml:space="preserve">: </w:t>
      </w:r>
    </w:p>
    <w:p w14:paraId="026AB765" w14:textId="2B8EBEFF" w:rsidR="0094357C" w:rsidRDefault="00084A6A">
      <w:pPr>
        <w:spacing w:before="240"/>
      </w:pPr>
      <w:r>
        <w:t xml:space="preserve">RACH-less HO: </w:t>
      </w:r>
      <w:r w:rsidR="00FD495C">
        <w:t>Intel</w:t>
      </w:r>
      <w:r w:rsidR="00093D47">
        <w:t xml:space="preserve"> thinks </w:t>
      </w:r>
      <w:r w:rsidR="00496747">
        <w:t xml:space="preserve">that a </w:t>
      </w:r>
      <w:r w:rsidR="003A1936">
        <w:t xml:space="preserve">mobile IAB-specific </w:t>
      </w:r>
      <w:r w:rsidR="00496747">
        <w:t>capability should be introduced for RACH-less</w:t>
      </w:r>
      <w:r>
        <w:t xml:space="preserve"> HO</w:t>
      </w:r>
      <w:r w:rsidR="003375AF">
        <w:t xml:space="preserve">, but </w:t>
      </w:r>
      <w:r w:rsidR="00FD495C">
        <w:t xml:space="preserve">all other </w:t>
      </w:r>
      <w:r w:rsidR="003375AF">
        <w:t xml:space="preserve">companies prefer to </w:t>
      </w:r>
      <w:r w:rsidR="0022434D">
        <w:t xml:space="preserve">wait to </w:t>
      </w:r>
      <w:r w:rsidR="003A1936">
        <w:t xml:space="preserve">evaluate the capability impact </w:t>
      </w:r>
      <w:r w:rsidR="00E77280">
        <w:t xml:space="preserve">until more </w:t>
      </w:r>
      <w:r w:rsidR="00992FB4">
        <w:t>progress has been made on this feature</w:t>
      </w:r>
      <w:r>
        <w:t>.</w:t>
      </w:r>
      <w:r w:rsidR="00480F9A">
        <w:t xml:space="preserve"> Rapporteur </w:t>
      </w:r>
      <w:r w:rsidR="009C0CCB">
        <w:t>is</w:t>
      </w:r>
      <w:r w:rsidR="00FA23E1">
        <w:t xml:space="preserve"> somewhat</w:t>
      </w:r>
      <w:r w:rsidR="009C0CCB">
        <w:t xml:space="preserve"> sympathetic </w:t>
      </w:r>
      <w:r w:rsidR="00FD495C">
        <w:t>t</w:t>
      </w:r>
      <w:r w:rsidR="009C0CCB">
        <w:t>owards capturing an Editor Note</w:t>
      </w:r>
      <w:r w:rsidR="00D25E78">
        <w:t xml:space="preserve"> as suggested by </w:t>
      </w:r>
      <w:proofErr w:type="gramStart"/>
      <w:r w:rsidR="00D25E78">
        <w:t>Apple</w:t>
      </w:r>
      <w:r w:rsidR="00FA23E1">
        <w:t xml:space="preserve">, </w:t>
      </w:r>
      <w:r w:rsidR="00FD2EBC">
        <w:t>but</w:t>
      </w:r>
      <w:proofErr w:type="gramEnd"/>
      <w:r w:rsidR="00FD2EBC">
        <w:t xml:space="preserve"> thinks it will be clear already </w:t>
      </w:r>
      <w:r w:rsidR="005438B0">
        <w:t>that</w:t>
      </w:r>
      <w:r w:rsidR="00FD2EBC">
        <w:t xml:space="preserve"> we need to </w:t>
      </w:r>
      <w:r w:rsidR="005438B0">
        <w:t>revisit</w:t>
      </w:r>
      <w:r w:rsidR="00FD2EBC">
        <w:t xml:space="preserve"> this</w:t>
      </w:r>
      <w:r w:rsidR="005438B0">
        <w:t xml:space="preserve"> topic</w:t>
      </w:r>
      <w:r w:rsidR="00D25E78">
        <w:t>.</w:t>
      </w:r>
    </w:p>
    <w:p w14:paraId="644519BC" w14:textId="3919F8F0" w:rsidR="008677AB" w:rsidRDefault="008677AB">
      <w:pPr>
        <w:spacing w:before="240"/>
      </w:pPr>
      <w:r>
        <w:t xml:space="preserve">RAN3-related impacts: </w:t>
      </w:r>
      <w:r w:rsidR="00FE3105">
        <w:t xml:space="preserve">Huawei </w:t>
      </w:r>
      <w:r w:rsidR="00340701">
        <w:t>wonders whether</w:t>
      </w:r>
      <w:r w:rsidR="00FE3105">
        <w:t xml:space="preserve"> certain</w:t>
      </w:r>
      <w:r w:rsidR="005E00B5">
        <w:t xml:space="preserve"> aspects agreed by</w:t>
      </w:r>
      <w:r w:rsidR="00FE3105">
        <w:t xml:space="preserve"> RAN3</w:t>
      </w:r>
      <w:r w:rsidR="00D339FF">
        <w:t xml:space="preserve"> </w:t>
      </w:r>
      <w:r w:rsidR="006B280A">
        <w:t>may also have capability impacts.</w:t>
      </w:r>
      <w:r w:rsidR="00340701">
        <w:t xml:space="preserve"> Rapporteur ha</w:t>
      </w:r>
      <w:r w:rsidR="004844EB">
        <w:t>d</w:t>
      </w:r>
      <w:r w:rsidR="00340701">
        <w:t xml:space="preserve"> similar question bu</w:t>
      </w:r>
      <w:r w:rsidR="00CA7BEB">
        <w:t>t expects RAN3 would inform RAN2 of</w:t>
      </w:r>
      <w:r w:rsidR="00955629">
        <w:t xml:space="preserve"> specific</w:t>
      </w:r>
      <w:r w:rsidR="00CA7BEB">
        <w:t xml:space="preserve"> impacts</w:t>
      </w:r>
      <w:r w:rsidR="004844EB">
        <w:t xml:space="preserve"> (</w:t>
      </w:r>
      <w:r w:rsidR="00CA7BEB">
        <w:t>if any</w:t>
      </w:r>
      <w:r w:rsidR="004844EB">
        <w:t>)</w:t>
      </w:r>
      <w:r w:rsidR="00CA7BEB">
        <w:t xml:space="preserve">. </w:t>
      </w:r>
      <w:r w:rsidR="00CD380D">
        <w:t xml:space="preserve">Companies in RAN2 can also indicate </w:t>
      </w:r>
      <w:r w:rsidR="00DF235B">
        <w:t xml:space="preserve">(in the upcoming meetings) </w:t>
      </w:r>
      <w:r w:rsidR="00CD380D">
        <w:t>if there are any</w:t>
      </w:r>
      <w:r w:rsidR="00A23A7A">
        <w:t xml:space="preserve"> specific </w:t>
      </w:r>
      <w:r w:rsidR="001653A8">
        <w:t>agreements</w:t>
      </w:r>
      <w:r w:rsidR="00DF235B">
        <w:t xml:space="preserve"> from RAN3 </w:t>
      </w:r>
      <w:r w:rsidR="00CD380D">
        <w:t xml:space="preserve">that </w:t>
      </w:r>
      <w:r w:rsidR="009736C7">
        <w:t>RAN2</w:t>
      </w:r>
      <w:r w:rsidR="00CD380D">
        <w:t xml:space="preserve"> should</w:t>
      </w:r>
      <w:r w:rsidR="00DF235B">
        <w:t xml:space="preserve"> </w:t>
      </w:r>
      <w:r w:rsidR="005C21DD">
        <w:t>ask RAN3 about.</w:t>
      </w:r>
    </w:p>
    <w:p w14:paraId="026AB766" w14:textId="327E85D7" w:rsidR="0094357C" w:rsidRDefault="0063606C">
      <w:r>
        <w:rPr>
          <w:b/>
          <w:bCs/>
        </w:rPr>
        <w:t xml:space="preserve">Ph1- </w:t>
      </w:r>
      <w:r w:rsidR="00000000">
        <w:rPr>
          <w:b/>
          <w:bCs/>
        </w:rPr>
        <w:t>Proposal 5</w:t>
      </w:r>
      <w:r w:rsidR="00000000">
        <w:t xml:space="preserve">: </w:t>
      </w:r>
      <w:r w:rsidR="00084A6A">
        <w:t xml:space="preserve">RAN2 </w:t>
      </w:r>
      <w:r w:rsidR="008863A8">
        <w:t>a</w:t>
      </w:r>
      <w:r w:rsidR="00084A6A">
        <w:t>waits further progress on RACH-less HO before evaluating UE capability impacts</w:t>
      </w:r>
      <w:r w:rsidR="005F4B97">
        <w:t xml:space="preserve"> </w:t>
      </w:r>
      <w:r w:rsidR="00341D68">
        <w:t>for this feature</w:t>
      </w:r>
      <w:r w:rsidR="00000000">
        <w:t>.</w:t>
      </w:r>
    </w:p>
    <w:p w14:paraId="71088D54" w14:textId="316F5F3F" w:rsidR="0063606C" w:rsidRPr="0063606C" w:rsidRDefault="0063606C">
      <w:pPr>
        <w:rPr>
          <w:b/>
          <w:bCs/>
        </w:rPr>
      </w:pPr>
      <w:r w:rsidRPr="0063606C">
        <w:rPr>
          <w:b/>
          <w:bCs/>
          <w:u w:val="single"/>
        </w:rPr>
        <w:t>Phase 2</w:t>
      </w:r>
      <w:r w:rsidRPr="0063606C">
        <w:rPr>
          <w:b/>
          <w:bCs/>
        </w:rPr>
        <w:t>:</w:t>
      </w:r>
    </w:p>
    <w:p w14:paraId="29768567" w14:textId="57B5F0C0" w:rsidR="0063606C" w:rsidRPr="0063606C" w:rsidRDefault="0063606C">
      <w:r w:rsidRPr="0063606C">
        <w:rPr>
          <w:b/>
          <w:bCs/>
        </w:rPr>
        <w:t>Ph2-Summary 5:</w:t>
      </w:r>
      <w:r>
        <w:rPr>
          <w:b/>
          <w:bCs/>
        </w:rPr>
        <w:t xml:space="preserve"> </w:t>
      </w:r>
      <w:r>
        <w:t>No further comments were provided.</w:t>
      </w:r>
    </w:p>
    <w:p w14:paraId="5F8F663F" w14:textId="4C67B055" w:rsidR="0063606C" w:rsidRDefault="0063606C">
      <w:r w:rsidRPr="0063606C">
        <w:rPr>
          <w:b/>
          <w:bCs/>
        </w:rPr>
        <w:t>Ph2-Proposal 5:</w:t>
      </w:r>
      <w:r>
        <w:rPr>
          <w:b/>
          <w:bCs/>
        </w:rPr>
        <w:t xml:space="preserve"> </w:t>
      </w:r>
      <w:r>
        <w:t>RAN2 awaits further progress on RACH-less HO before evaluating UE capability impacts for this feature.</w:t>
      </w:r>
    </w:p>
    <w:p w14:paraId="45936F06" w14:textId="5323F0C9" w:rsidR="00AA0982" w:rsidRDefault="00AA0982" w:rsidP="00AA0982">
      <w:pPr>
        <w:pStyle w:val="Heading2"/>
      </w:pPr>
      <w:r>
        <w:t>3.</w:t>
      </w:r>
      <w:r>
        <w:t>5</w:t>
      </w:r>
      <w:r>
        <w:tab/>
      </w:r>
      <w:r>
        <w:t xml:space="preserve">Dual-connectivity capabilities </w:t>
      </w:r>
      <w:r w:rsidR="000C011E">
        <w:t>in mobile IAB</w:t>
      </w:r>
    </w:p>
    <w:p w14:paraId="02D640BA" w14:textId="77777777" w:rsidR="00C33DAE" w:rsidRDefault="000C011E" w:rsidP="000C011E">
      <w:r>
        <w:t>This issue was raised when the CRs were discussed.</w:t>
      </w:r>
    </w:p>
    <w:p w14:paraId="3AAAE9F7" w14:textId="4941F80F" w:rsidR="000C011E" w:rsidRDefault="00210C2D" w:rsidP="000C011E">
      <w:r>
        <w:t xml:space="preserve">Section 4.2.15.9 and 4.2.15.10 of </w:t>
      </w:r>
      <w:r w:rsidR="00DF1FE3">
        <w:t xml:space="preserve">TS 38.306 list the </w:t>
      </w:r>
      <w:r w:rsidR="00873245">
        <w:t xml:space="preserve">IAB </w:t>
      </w:r>
      <w:r w:rsidR="00DF1FE3">
        <w:t>MR-DC and NR-DC parameters, respectively</w:t>
      </w:r>
      <w:r w:rsidR="00873245">
        <w:t xml:space="preserve">. However, the WI description </w:t>
      </w:r>
      <w:r w:rsidR="001E6BFA">
        <w:t>for mobile IAB</w:t>
      </w:r>
      <w:r w:rsidR="00F46D87">
        <w:t xml:space="preserve"> (</w:t>
      </w:r>
      <w:hyperlink r:id="rId11" w:history="1">
        <w:r w:rsidR="00F46D87" w:rsidRPr="00CC296B">
          <w:rPr>
            <w:rStyle w:val="Hyperlink"/>
            <w:lang w:eastAsia="ja-JP"/>
          </w:rPr>
          <w:t>RP-222671</w:t>
        </w:r>
      </w:hyperlink>
      <w:r w:rsidR="00F46D87">
        <w:t>)</w:t>
      </w:r>
      <w:r w:rsidR="001E6BFA">
        <w:t xml:space="preserve"> notes that</w:t>
      </w:r>
      <w:r w:rsidR="00F46D87">
        <w:t>: “the mobility of dual-connected IAB-nodes is down-prioritized.”</w:t>
      </w:r>
    </w:p>
    <w:p w14:paraId="27441775" w14:textId="770EEDB8" w:rsidR="00C33DAE" w:rsidRDefault="00C33DAE" w:rsidP="000C011E">
      <w:r>
        <w:t xml:space="preserve">In the draft CRs </w:t>
      </w:r>
      <w:r w:rsidR="00B12862">
        <w:t>the following</w:t>
      </w:r>
      <w:r>
        <w:t xml:space="preserve"> note was captured </w:t>
      </w:r>
      <w:r w:rsidR="00C401F8">
        <w:t xml:space="preserve">in </w:t>
      </w:r>
      <w:r w:rsidR="00B12862">
        <w:t xml:space="preserve">TS </w:t>
      </w:r>
      <w:r w:rsidR="00C401F8">
        <w:t xml:space="preserve">38.306 4.2.15.9 and 4.2.15.10: </w:t>
      </w:r>
    </w:p>
    <w:p w14:paraId="1C6C2B9E" w14:textId="33B3B818" w:rsidR="00B12862" w:rsidRPr="00BE555F" w:rsidRDefault="00B12862" w:rsidP="00B12862">
      <w:r w:rsidRPr="000F6477">
        <w:rPr>
          <w:lang w:eastAsia="ja-JP"/>
        </w:rPr>
        <w:t>NOTE:</w:t>
      </w:r>
      <w:r w:rsidRPr="000F6477">
        <w:rPr>
          <w:lang w:eastAsia="ja-JP"/>
        </w:rPr>
        <w:tab/>
        <w:t xml:space="preserve">In this release of </w:t>
      </w:r>
      <w:r>
        <w:rPr>
          <w:lang w:eastAsia="ja-JP"/>
        </w:rPr>
        <w:t xml:space="preserve">the </w:t>
      </w:r>
      <w:r w:rsidRPr="000F6477">
        <w:rPr>
          <w:lang w:eastAsia="ja-JP"/>
        </w:rPr>
        <w:t xml:space="preserve">specification, </w:t>
      </w:r>
      <w:r>
        <w:rPr>
          <w:lang w:eastAsia="ja-JP"/>
        </w:rPr>
        <w:t xml:space="preserve">if an IAB-node indicates support for </w:t>
      </w:r>
      <w:r>
        <w:rPr>
          <w:i/>
          <w:iCs/>
          <w:lang w:eastAsia="ja-JP"/>
        </w:rPr>
        <w:t>mobile-IAB-r18</w:t>
      </w:r>
      <w:r w:rsidRPr="005A46F2">
        <w:rPr>
          <w:lang w:eastAsia="ja-JP"/>
        </w:rPr>
        <w:t>,</w:t>
      </w:r>
      <w:r>
        <w:rPr>
          <w:lang w:eastAsia="ja-JP"/>
        </w:rPr>
        <w:t xml:space="preserve"> </w:t>
      </w:r>
      <w:r w:rsidR="0015733C">
        <w:rPr>
          <w:lang w:eastAsia="ja-JP"/>
        </w:rPr>
        <w:t>[</w:t>
      </w:r>
      <w:r>
        <w:rPr>
          <w:lang w:eastAsia="ja-JP"/>
        </w:rPr>
        <w:t>M</w:t>
      </w:r>
      <w:r w:rsidRPr="000F6477">
        <w:rPr>
          <w:lang w:eastAsia="ja-JP"/>
        </w:rPr>
        <w:t>R-DC</w:t>
      </w:r>
      <w:r w:rsidR="0015733C">
        <w:rPr>
          <w:lang w:eastAsia="ja-JP"/>
        </w:rPr>
        <w:t>/NR-DC]</w:t>
      </w:r>
      <w:r>
        <w:rPr>
          <w:lang w:eastAsia="ja-JP"/>
        </w:rPr>
        <w:t xml:space="preserve"> parameters shall be ignored.</w:t>
      </w:r>
    </w:p>
    <w:p w14:paraId="2C22876B" w14:textId="77777777" w:rsidR="00B12862" w:rsidRPr="000C011E" w:rsidRDefault="00B12862" w:rsidP="000C011E"/>
    <w:p w14:paraId="77A66591" w14:textId="26F270D2" w:rsidR="00AA0982" w:rsidRDefault="000D18D6">
      <w:pPr>
        <w:rPr>
          <w:lang w:eastAsia="ja-JP"/>
        </w:rPr>
      </w:pPr>
      <w:r>
        <w:lastRenderedPageBreak/>
        <w:t>Huawei</w:t>
      </w:r>
      <w:r w:rsidR="00BA5717">
        <w:t xml:space="preserve"> c</w:t>
      </w:r>
      <w:r w:rsidR="008F0B86">
        <w:t xml:space="preserve">ommented over the reflector, however, that </w:t>
      </w:r>
      <w:r w:rsidR="00793EDB">
        <w:t>this note is ambiguous</w:t>
      </w:r>
      <w:r w:rsidR="0015733C">
        <w:t xml:space="preserve"> with respect to which entity (the mobile IAB node or the network) ignores the </w:t>
      </w:r>
      <w:r w:rsidR="0015733C">
        <w:rPr>
          <w:lang w:eastAsia="ja-JP"/>
        </w:rPr>
        <w:t>[M</w:t>
      </w:r>
      <w:r w:rsidR="0015733C" w:rsidRPr="000F6477">
        <w:rPr>
          <w:lang w:eastAsia="ja-JP"/>
        </w:rPr>
        <w:t>R-DC</w:t>
      </w:r>
      <w:r w:rsidR="0015733C">
        <w:rPr>
          <w:lang w:eastAsia="ja-JP"/>
        </w:rPr>
        <w:t>/NR-DC]</w:t>
      </w:r>
      <w:r w:rsidR="0015733C">
        <w:rPr>
          <w:lang w:eastAsia="ja-JP"/>
        </w:rPr>
        <w:t xml:space="preserve"> capability parameters. </w:t>
      </w:r>
      <w:r w:rsidR="00D45DD7">
        <w:rPr>
          <w:lang w:eastAsia="ja-JP"/>
        </w:rPr>
        <w:t xml:space="preserve">Furthermore, it was suggested that the clarification noted in the draft CR for 38.300 </w:t>
      </w:r>
      <w:r w:rsidR="00B8326D">
        <w:rPr>
          <w:lang w:eastAsia="ja-JP"/>
        </w:rPr>
        <w:t>“</w:t>
      </w:r>
      <w:r w:rsidR="00B8326D" w:rsidRPr="00B8326D">
        <w:rPr>
          <w:lang w:eastAsia="ja-JP"/>
        </w:rPr>
        <w:t>Dual</w:t>
      </w:r>
      <w:r w:rsidR="00974015">
        <w:rPr>
          <w:lang w:eastAsia="ja-JP"/>
        </w:rPr>
        <w:t xml:space="preserve"> </w:t>
      </w:r>
      <w:r w:rsidR="00B8326D" w:rsidRPr="00B8326D">
        <w:rPr>
          <w:lang w:eastAsia="ja-JP"/>
        </w:rPr>
        <w:t>connectivity is not supported for the mobile IAB-MT.”</w:t>
      </w:r>
      <w:r w:rsidR="00B8326D">
        <w:rPr>
          <w:lang w:eastAsia="ja-JP"/>
        </w:rPr>
        <w:t xml:space="preserve"> </w:t>
      </w:r>
      <w:proofErr w:type="gramStart"/>
      <w:r w:rsidR="00672EC1">
        <w:rPr>
          <w:lang w:eastAsia="ja-JP"/>
        </w:rPr>
        <w:t>was</w:t>
      </w:r>
      <w:r w:rsidR="00B8326D">
        <w:rPr>
          <w:lang w:eastAsia="ja-JP"/>
        </w:rPr>
        <w:t xml:space="preserve">  sufficient</w:t>
      </w:r>
      <w:proofErr w:type="gramEnd"/>
      <w:r w:rsidR="00B8326D">
        <w:rPr>
          <w:lang w:eastAsia="ja-JP"/>
        </w:rPr>
        <w:t xml:space="preserve"> and nothing </w:t>
      </w:r>
      <w:r w:rsidR="00974015">
        <w:rPr>
          <w:lang w:eastAsia="ja-JP"/>
        </w:rPr>
        <w:t xml:space="preserve">else </w:t>
      </w:r>
      <w:r w:rsidR="00B8326D">
        <w:rPr>
          <w:lang w:eastAsia="ja-JP"/>
        </w:rPr>
        <w:t>needs to be noted in 38.306.</w:t>
      </w:r>
      <w:r w:rsidR="00962A0C">
        <w:rPr>
          <w:lang w:eastAsia="ja-JP"/>
        </w:rPr>
        <w:t xml:space="preserve"> </w:t>
      </w:r>
      <w:r w:rsidR="00672EC1">
        <w:rPr>
          <w:lang w:eastAsia="ja-JP"/>
        </w:rPr>
        <w:t xml:space="preserve">Huawei also indicated that if this is specified </w:t>
      </w:r>
      <w:r w:rsidR="00FE3D78">
        <w:rPr>
          <w:lang w:eastAsia="ja-JP"/>
        </w:rPr>
        <w:t>at all in 38.306 it should be captured as normative text in clause 4.2.15.1.</w:t>
      </w:r>
    </w:p>
    <w:p w14:paraId="4DC530CF" w14:textId="3CC5B961" w:rsidR="00627584" w:rsidRDefault="00BA5717" w:rsidP="00033882">
      <w:pPr>
        <w:rPr>
          <w:lang w:eastAsia="ja-JP"/>
        </w:rPr>
      </w:pPr>
      <w:r>
        <w:rPr>
          <w:lang w:eastAsia="ja-JP"/>
        </w:rPr>
        <w:t>Rapporteur</w:t>
      </w:r>
      <w:r w:rsidR="00033882">
        <w:rPr>
          <w:lang w:eastAsia="ja-JP"/>
        </w:rPr>
        <w:t xml:space="preserve"> acknowledges the ambiguity and believes a couple options </w:t>
      </w:r>
      <w:r w:rsidR="00627584">
        <w:rPr>
          <w:lang w:eastAsia="ja-JP"/>
        </w:rPr>
        <w:t>could be considered:</w:t>
      </w:r>
    </w:p>
    <w:p w14:paraId="730D10C6" w14:textId="7222FBEB" w:rsidR="00627584" w:rsidRDefault="00627584" w:rsidP="00627584">
      <w:pPr>
        <w:pStyle w:val="ListParagraph"/>
        <w:numPr>
          <w:ilvl w:val="0"/>
          <w:numId w:val="4"/>
        </w:numPr>
        <w:rPr>
          <w:lang w:eastAsia="ja-JP"/>
        </w:rPr>
      </w:pPr>
      <w:r>
        <w:rPr>
          <w:lang w:eastAsia="ja-JP"/>
        </w:rPr>
        <w:t xml:space="preserve">Mobile-IAB does not report DC-related </w:t>
      </w:r>
      <w:proofErr w:type="gramStart"/>
      <w:r>
        <w:rPr>
          <w:lang w:eastAsia="ja-JP"/>
        </w:rPr>
        <w:t>capabilities</w:t>
      </w:r>
      <w:proofErr w:type="gramEnd"/>
    </w:p>
    <w:p w14:paraId="540AFBB4" w14:textId="341397A9" w:rsidR="00627584" w:rsidRDefault="00627584" w:rsidP="00627584">
      <w:pPr>
        <w:pStyle w:val="ListParagraph"/>
        <w:numPr>
          <w:ilvl w:val="0"/>
          <w:numId w:val="4"/>
        </w:numPr>
        <w:rPr>
          <w:lang w:eastAsia="ja-JP"/>
        </w:rPr>
      </w:pPr>
      <w:r>
        <w:rPr>
          <w:lang w:eastAsia="ja-JP"/>
        </w:rPr>
        <w:t xml:space="preserve">Mobile-IAB may report DC-related capabilities, but network shall ignore those capabilities if </w:t>
      </w:r>
      <w:proofErr w:type="gramStart"/>
      <w:r>
        <w:rPr>
          <w:lang w:eastAsia="ja-JP"/>
        </w:rPr>
        <w:t>reported</w:t>
      </w:r>
      <w:proofErr w:type="gramEnd"/>
    </w:p>
    <w:p w14:paraId="71EDAD5B" w14:textId="7D0A3BD1" w:rsidR="00033882" w:rsidRDefault="00033882" w:rsidP="00033882">
      <w:pPr>
        <w:rPr>
          <w:lang w:eastAsia="ja-JP"/>
        </w:rPr>
      </w:pPr>
      <w:r>
        <w:rPr>
          <w:lang w:eastAsia="ja-JP"/>
        </w:rPr>
        <w:t>A</w:t>
      </w:r>
      <w:r w:rsidR="00627584">
        <w:rPr>
          <w:lang w:eastAsia="ja-JP"/>
        </w:rPr>
        <w:t xml:space="preserve">s to </w:t>
      </w:r>
      <w:r w:rsidR="00593CE1">
        <w:rPr>
          <w:lang w:eastAsia="ja-JP"/>
        </w:rPr>
        <w:t>the question of w</w:t>
      </w:r>
      <w:r>
        <w:rPr>
          <w:lang w:eastAsia="ja-JP"/>
        </w:rPr>
        <w:t>hether/where to capture this restriction</w:t>
      </w:r>
      <w:r w:rsidR="00593CE1">
        <w:rPr>
          <w:lang w:eastAsia="ja-JP"/>
        </w:rPr>
        <w:t xml:space="preserve">, the following </w:t>
      </w:r>
      <w:r w:rsidR="000779B9">
        <w:rPr>
          <w:lang w:eastAsia="ja-JP"/>
        </w:rPr>
        <w:t>could</w:t>
      </w:r>
      <w:r w:rsidR="00593CE1">
        <w:rPr>
          <w:lang w:eastAsia="ja-JP"/>
        </w:rPr>
        <w:t xml:space="preserve"> be considered:</w:t>
      </w:r>
    </w:p>
    <w:p w14:paraId="2ACA58F2" w14:textId="7B78EEAC" w:rsidR="00593CE1" w:rsidRDefault="00593CE1" w:rsidP="00593CE1">
      <w:pPr>
        <w:pStyle w:val="ListParagraph"/>
        <w:numPr>
          <w:ilvl w:val="0"/>
          <w:numId w:val="4"/>
        </w:numPr>
        <w:rPr>
          <w:lang w:eastAsia="ja-JP"/>
        </w:rPr>
      </w:pPr>
      <w:r>
        <w:rPr>
          <w:lang w:eastAsia="ja-JP"/>
        </w:rPr>
        <w:t xml:space="preserve">As a note under the specific capabilities, as done currently in the draft </w:t>
      </w:r>
      <w:proofErr w:type="gramStart"/>
      <w:r>
        <w:rPr>
          <w:lang w:eastAsia="ja-JP"/>
        </w:rPr>
        <w:t>CR</w:t>
      </w:r>
      <w:proofErr w:type="gramEnd"/>
    </w:p>
    <w:p w14:paraId="1961C5F3" w14:textId="7CE8E6AA" w:rsidR="00593CE1" w:rsidRDefault="00593CE1" w:rsidP="00593CE1">
      <w:pPr>
        <w:pStyle w:val="ListParagraph"/>
        <w:numPr>
          <w:ilvl w:val="0"/>
          <w:numId w:val="4"/>
        </w:numPr>
        <w:rPr>
          <w:lang w:eastAsia="ja-JP"/>
        </w:rPr>
      </w:pPr>
      <w:r>
        <w:rPr>
          <w:lang w:eastAsia="ja-JP"/>
        </w:rPr>
        <w:t xml:space="preserve">Within the mobile-IAB capability description (if agreed) </w:t>
      </w:r>
      <w:r w:rsidR="007136C3">
        <w:rPr>
          <w:lang w:eastAsia="ja-JP"/>
        </w:rPr>
        <w:t>(supported by Intel)</w:t>
      </w:r>
    </w:p>
    <w:p w14:paraId="6DD430D1" w14:textId="0061AFB3" w:rsidR="007136C3" w:rsidRDefault="007136C3" w:rsidP="00593CE1">
      <w:pPr>
        <w:pStyle w:val="ListParagraph"/>
        <w:numPr>
          <w:ilvl w:val="0"/>
          <w:numId w:val="4"/>
        </w:numPr>
        <w:rPr>
          <w:lang w:eastAsia="ja-JP"/>
        </w:rPr>
      </w:pPr>
      <w:r>
        <w:rPr>
          <w:lang w:eastAsia="ja-JP"/>
        </w:rPr>
        <w:t>As normative text in 4.2.15.1</w:t>
      </w:r>
    </w:p>
    <w:p w14:paraId="58C4553D" w14:textId="1A3D13BD" w:rsidR="007136C3" w:rsidRDefault="007136C3" w:rsidP="00593CE1">
      <w:pPr>
        <w:pStyle w:val="ListParagraph"/>
        <w:numPr>
          <w:ilvl w:val="0"/>
          <w:numId w:val="4"/>
        </w:numPr>
        <w:rPr>
          <w:lang w:eastAsia="ja-JP"/>
        </w:rPr>
      </w:pPr>
      <w:r>
        <w:rPr>
          <w:lang w:eastAsia="ja-JP"/>
        </w:rPr>
        <w:t>Do not capture this in 38.306 since it is clarified in 38.300 already</w:t>
      </w:r>
      <w:r>
        <w:rPr>
          <w:lang w:eastAsia="ja-JP"/>
        </w:rPr>
        <w:t xml:space="preserve"> (supported by Huawei and ZTE)</w:t>
      </w:r>
    </w:p>
    <w:p w14:paraId="17042C1A" w14:textId="4299B132" w:rsidR="00B8326D" w:rsidRDefault="000779B9">
      <w:r w:rsidRPr="000779B9">
        <w:rPr>
          <w:b/>
          <w:bCs/>
          <w:u w:val="single"/>
        </w:rPr>
        <w:t>Phase 2</w:t>
      </w:r>
      <w:r>
        <w:t>:</w:t>
      </w:r>
    </w:p>
    <w:p w14:paraId="1956A62B" w14:textId="202A7B6C" w:rsidR="000779B9" w:rsidRDefault="000779B9">
      <w:r w:rsidRPr="00C23BE4">
        <w:rPr>
          <w:b/>
          <w:bCs/>
        </w:rPr>
        <w:t xml:space="preserve">Ph2-Summary </w:t>
      </w:r>
      <w:r w:rsidR="00E70A54">
        <w:rPr>
          <w:b/>
          <w:bCs/>
        </w:rPr>
        <w:t>6</w:t>
      </w:r>
      <w:r>
        <w:t xml:space="preserve">: </w:t>
      </w:r>
      <w:r w:rsidR="000D18D6">
        <w:t>Rappor</w:t>
      </w:r>
      <w:r w:rsidR="00FE3D78">
        <w:t xml:space="preserve">teur suggests </w:t>
      </w:r>
      <w:r w:rsidR="00791484">
        <w:t>discussing the issue further</w:t>
      </w:r>
      <w:r w:rsidR="00092933">
        <w:t>. For now</w:t>
      </w:r>
      <w:r w:rsidR="003F377D">
        <w:t xml:space="preserve">, the note will be removed from the draft CR and the issue will be noted in an editor note in </w:t>
      </w:r>
      <w:r w:rsidR="00C23BE4">
        <w:t>section 4.2.15.1 of the draft CR of TS 38.306.</w:t>
      </w:r>
    </w:p>
    <w:p w14:paraId="4FC1DEA0" w14:textId="3200B80C" w:rsidR="00DC44D3" w:rsidRDefault="00C23BE4">
      <w:r w:rsidRPr="00C23BE4">
        <w:rPr>
          <w:b/>
          <w:bCs/>
        </w:rPr>
        <w:t xml:space="preserve">Ph2-Proposal </w:t>
      </w:r>
      <w:r w:rsidR="00E70A54">
        <w:rPr>
          <w:b/>
          <w:bCs/>
        </w:rPr>
        <w:t>6</w:t>
      </w:r>
      <w:r>
        <w:t xml:space="preserve">: RAN2 should discuss </w:t>
      </w:r>
      <w:r w:rsidR="00DC44D3">
        <w:t>the following options</w:t>
      </w:r>
      <w:r w:rsidR="00DB3D91">
        <w:t xml:space="preserve"> </w:t>
      </w:r>
      <w:r w:rsidR="00DB3D91">
        <w:t>for a mobile-IAB node reporting DC capabilities</w:t>
      </w:r>
      <w:r w:rsidR="00DC44D3">
        <w:t xml:space="preserve">: </w:t>
      </w:r>
    </w:p>
    <w:p w14:paraId="4E770CC1" w14:textId="3DF2A0A1" w:rsidR="00C23BE4" w:rsidRDefault="00371498" w:rsidP="00371498">
      <w:pPr>
        <w:ind w:left="568"/>
      </w:pPr>
      <w:r>
        <w:t>O1: A</w:t>
      </w:r>
      <w:r w:rsidR="00E14594">
        <w:t xml:space="preserve"> mobile-IAB node </w:t>
      </w:r>
      <w:r w:rsidR="00E662E1">
        <w:t>is prohibited from reporting IAB MR-DC/NR-DC</w:t>
      </w:r>
      <w:r w:rsidR="00910CFB">
        <w:t xml:space="preserve"> capabilities</w:t>
      </w:r>
      <w:r>
        <w:t>.</w:t>
      </w:r>
    </w:p>
    <w:p w14:paraId="255BDB8F" w14:textId="7B6AF37F" w:rsidR="00371498" w:rsidRDefault="00371498" w:rsidP="00371498">
      <w:pPr>
        <w:ind w:left="568"/>
      </w:pPr>
      <w:r>
        <w:t>O2: A</w:t>
      </w:r>
      <w:r w:rsidR="00C60278">
        <w:t xml:space="preserve"> mobile-IAB node may report </w:t>
      </w:r>
      <w:r w:rsidR="00910CFB">
        <w:t xml:space="preserve">IAB </w:t>
      </w:r>
      <w:r w:rsidR="00C60278">
        <w:t>MR-DC/NR-DC capabilities, in which case a network shall ignore the</w:t>
      </w:r>
      <w:r w:rsidR="00910CFB">
        <w:t xml:space="preserve"> parameters.</w:t>
      </w:r>
    </w:p>
    <w:p w14:paraId="73B0FD1A" w14:textId="28ED2E34" w:rsidR="00540AB3" w:rsidRPr="008F0B86" w:rsidRDefault="00540AB3" w:rsidP="00371498">
      <w:pPr>
        <w:ind w:left="568"/>
      </w:pPr>
      <w:r>
        <w:t>FFS: whether any Stage-3 impact</w:t>
      </w:r>
      <w:r w:rsidR="00E70A54">
        <w:t xml:space="preserve">s to </w:t>
      </w:r>
      <w:r w:rsidR="00F56B16">
        <w:t xml:space="preserve">TS </w:t>
      </w:r>
      <w:r w:rsidR="00E70A54">
        <w:t>38.306.</w:t>
      </w:r>
    </w:p>
    <w:p w14:paraId="026AB767" w14:textId="77777777" w:rsidR="0094357C" w:rsidRDefault="00000000">
      <w:pPr>
        <w:pStyle w:val="Heading1"/>
      </w:pPr>
      <w:r>
        <w:t>4</w:t>
      </w:r>
      <w:r>
        <w:tab/>
        <w:t>Conclusion</w:t>
      </w:r>
    </w:p>
    <w:p w14:paraId="41D6EDCA" w14:textId="098A2B81" w:rsidR="00F660ED" w:rsidRDefault="00F660ED">
      <w:r>
        <w:t xml:space="preserve">The following proposals </w:t>
      </w:r>
      <w:r w:rsidR="00463F42">
        <w:t xml:space="preserve">are given as outcomes of the above </w:t>
      </w:r>
      <w:r w:rsidR="00E923A6">
        <w:t>discussion.</w:t>
      </w:r>
    </w:p>
    <w:p w14:paraId="4CC3C86E" w14:textId="4B447D9E" w:rsidR="003078F2" w:rsidRDefault="003078F2" w:rsidP="003078F2">
      <w:r>
        <w:rPr>
          <w:b/>
          <w:bCs/>
        </w:rPr>
        <w:t>Proposal 1</w:t>
      </w:r>
      <w:r>
        <w:t xml:space="preserve">: </w:t>
      </w:r>
      <w:r w:rsidR="00E55466" w:rsidRPr="00E55466">
        <w:t xml:space="preserve">RAN2 assumes mobile-IAB capability is introduced in Rel-18. FFS: if requirement for this capability is impacted by RAN3 decision to add/not add mobile IAB-node indication to </w:t>
      </w:r>
      <w:proofErr w:type="spellStart"/>
      <w:r w:rsidR="00E55466" w:rsidRPr="00E55466">
        <w:t>Xn</w:t>
      </w:r>
      <w:proofErr w:type="spellEnd"/>
      <w:r w:rsidR="00E55466" w:rsidRPr="00E55466">
        <w:t xml:space="preserve"> handover request. FFS: if any need to clarify with SA2 the intention of “for a MBSR node to operate as a MBSR” from clause 5.35A.1 of TS 23.501, </w:t>
      </w:r>
      <w:proofErr w:type="gramStart"/>
      <w:r w:rsidR="00E55466" w:rsidRPr="00E55466">
        <w:t>i.e.</w:t>
      </w:r>
      <w:proofErr w:type="gramEnd"/>
      <w:r w:rsidR="00E55466" w:rsidRPr="00E55466">
        <w:t xml:space="preserve"> whether a mobile IAB shall always include or optionally include mobileIAB-NodeIndication-r18 in Msg5.</w:t>
      </w:r>
    </w:p>
    <w:p w14:paraId="1DB3D320" w14:textId="523C2FBE" w:rsidR="003078F2" w:rsidRDefault="003078F2" w:rsidP="003078F2">
      <w:r w:rsidRPr="00B753CC">
        <w:rPr>
          <w:b/>
          <w:bCs/>
        </w:rPr>
        <w:t>Proposal 2</w:t>
      </w:r>
      <w:r>
        <w:t xml:space="preserve">: No spec impact to TS 38.306 </w:t>
      </w:r>
      <w:r w:rsidR="009E0F78">
        <w:t>related to</w:t>
      </w:r>
      <w:r>
        <w:t xml:space="preserve"> allowing mobile IAB nodes to access legacy IAB nodes.</w:t>
      </w:r>
    </w:p>
    <w:p w14:paraId="16B72175" w14:textId="5BCD1EE0" w:rsidR="003078F2" w:rsidRDefault="003078F2" w:rsidP="003078F2">
      <w:r>
        <w:rPr>
          <w:b/>
          <w:bCs/>
        </w:rPr>
        <w:t>Proposal 3</w:t>
      </w:r>
      <w:r>
        <w:t>: No spec impact to TS 38.306 related to mobile IAB cell reselection prioritization.</w:t>
      </w:r>
    </w:p>
    <w:p w14:paraId="2BBB554A" w14:textId="3B55AA31" w:rsidR="003078F2" w:rsidRDefault="009E0F78">
      <w:r>
        <w:rPr>
          <w:b/>
          <w:bCs/>
        </w:rPr>
        <w:t>Proposal 4</w:t>
      </w:r>
      <w:r>
        <w:t>: RAN2 waits for RAN4 before further discussing measurement and mobility-related capability impacts to Rel-18 mobile IAB.</w:t>
      </w:r>
    </w:p>
    <w:p w14:paraId="1BC7C947" w14:textId="40DED716" w:rsidR="009E0F78" w:rsidRDefault="009E0F78">
      <w:r>
        <w:rPr>
          <w:b/>
          <w:bCs/>
        </w:rPr>
        <w:t>Proposal 5</w:t>
      </w:r>
      <w:r>
        <w:t>: RAN2 awaits further progress on RACH-less HO before evaluating UE capability impacts</w:t>
      </w:r>
      <w:r w:rsidR="00341D68">
        <w:t xml:space="preserve"> for this feature</w:t>
      </w:r>
      <w:r>
        <w:t>.</w:t>
      </w:r>
    </w:p>
    <w:p w14:paraId="032A01DC" w14:textId="5AFE8D37" w:rsidR="00463F42" w:rsidRDefault="00463F42" w:rsidP="00463F42">
      <w:r w:rsidRPr="00C23BE4">
        <w:rPr>
          <w:b/>
          <w:bCs/>
        </w:rPr>
        <w:t xml:space="preserve">Proposal </w:t>
      </w:r>
      <w:r>
        <w:rPr>
          <w:b/>
          <w:bCs/>
        </w:rPr>
        <w:t>6</w:t>
      </w:r>
      <w:r>
        <w:t>: RAN2 should discuss the following options</w:t>
      </w:r>
      <w:r w:rsidR="00DB3D91">
        <w:t xml:space="preserve"> for a mobile-IAB node reporting DC capabilities</w:t>
      </w:r>
      <w:r>
        <w:t xml:space="preserve">: </w:t>
      </w:r>
    </w:p>
    <w:p w14:paraId="7D95F9EF" w14:textId="77777777" w:rsidR="00463F42" w:rsidRDefault="00463F42" w:rsidP="00463F42">
      <w:pPr>
        <w:ind w:left="568"/>
      </w:pPr>
      <w:r>
        <w:t>O1: A mobile-IAB node is prohibited from reporting IAB MR-DC/NR-DC capabilities.</w:t>
      </w:r>
    </w:p>
    <w:p w14:paraId="7DA23BAF" w14:textId="77777777" w:rsidR="00463F42" w:rsidRDefault="00463F42" w:rsidP="00463F42">
      <w:pPr>
        <w:ind w:left="568"/>
      </w:pPr>
      <w:r>
        <w:t>O2: A mobile-IAB node may report IAB MR-DC/NR-DC capabilities, in which case a network shall ignore the parameters.</w:t>
      </w:r>
    </w:p>
    <w:p w14:paraId="3D33B16A" w14:textId="46C5A67F" w:rsidR="00463F42" w:rsidRDefault="00463F42" w:rsidP="00463F42">
      <w:pPr>
        <w:ind w:left="568"/>
      </w:pPr>
      <w:r>
        <w:t xml:space="preserve">FFS: whether any Stage-3 impacts to </w:t>
      </w:r>
      <w:r w:rsidR="00F56B16">
        <w:t xml:space="preserve">TS </w:t>
      </w:r>
      <w:r>
        <w:t>38.306.</w:t>
      </w:r>
    </w:p>
    <w:p w14:paraId="026AB769" w14:textId="77777777" w:rsidR="0094357C" w:rsidRDefault="00000000">
      <w:pPr>
        <w:pStyle w:val="Heading1"/>
      </w:pPr>
      <w:r>
        <w:t xml:space="preserve">Annex A: </w:t>
      </w:r>
      <w:proofErr w:type="spellStart"/>
      <w:r>
        <w:t>MeasAndMobParameters</w:t>
      </w:r>
      <w:proofErr w:type="spellEnd"/>
    </w:p>
    <w:p w14:paraId="026AB76A" w14:textId="77777777" w:rsidR="0094357C" w:rsidRDefault="00000000">
      <w:r>
        <w:t xml:space="preserve">The following are the mandatory and conditionally mandatory </w:t>
      </w:r>
      <w:proofErr w:type="spellStart"/>
      <w:r>
        <w:t>MeasAndMobParameters</w:t>
      </w:r>
      <w:proofErr w:type="spellEnd"/>
      <w:r>
        <w:t xml:space="preserve"> for normal UEs.</w:t>
      </w:r>
    </w:p>
    <w:p w14:paraId="026AB76B" w14:textId="77777777" w:rsidR="0094357C" w:rsidRDefault="00000000">
      <w:pPr>
        <w:pStyle w:val="Heading3"/>
      </w:pPr>
      <w:bookmarkStart w:id="5" w:name="_Toc37093387"/>
      <w:bookmarkStart w:id="6" w:name="_Toc12750905"/>
      <w:bookmarkStart w:id="7" w:name="_Toc29382270"/>
      <w:bookmarkStart w:id="8" w:name="_Toc37238663"/>
      <w:bookmarkStart w:id="9" w:name="_Toc46488674"/>
      <w:bookmarkStart w:id="10" w:name="_Toc52574095"/>
      <w:bookmarkStart w:id="11" w:name="_Toc37238777"/>
      <w:bookmarkStart w:id="12" w:name="_Toc52574181"/>
      <w:bookmarkStart w:id="13" w:name="_Toc139146807"/>
      <w:r>
        <w:lastRenderedPageBreak/>
        <w:t>4.2.9</w:t>
      </w:r>
      <w:r>
        <w:tab/>
      </w:r>
      <w:proofErr w:type="spellStart"/>
      <w:r>
        <w:rPr>
          <w:i/>
        </w:rPr>
        <w:t>MeasAndMobParameters</w:t>
      </w:r>
      <w:bookmarkEnd w:id="5"/>
      <w:bookmarkEnd w:id="6"/>
      <w:bookmarkEnd w:id="7"/>
      <w:bookmarkEnd w:id="8"/>
      <w:bookmarkEnd w:id="9"/>
      <w:bookmarkEnd w:id="10"/>
      <w:bookmarkEnd w:id="11"/>
      <w:bookmarkEnd w:id="12"/>
      <w:bookmarkEnd w:id="13"/>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4357C" w14:paraId="026AB771" w14:textId="77777777">
        <w:trPr>
          <w:cantSplit/>
          <w:tblHeader/>
        </w:trPr>
        <w:tc>
          <w:tcPr>
            <w:tcW w:w="6807" w:type="dxa"/>
          </w:tcPr>
          <w:p w14:paraId="026AB76C" w14:textId="77777777" w:rsidR="0094357C" w:rsidRDefault="00000000">
            <w:pPr>
              <w:pStyle w:val="TAH"/>
              <w:rPr>
                <w:rFonts w:cs="Arial"/>
                <w:szCs w:val="18"/>
              </w:rPr>
            </w:pPr>
            <w:r>
              <w:rPr>
                <w:rFonts w:cs="Arial"/>
                <w:szCs w:val="18"/>
              </w:rPr>
              <w:lastRenderedPageBreak/>
              <w:t>Definitions for parameters</w:t>
            </w:r>
          </w:p>
        </w:tc>
        <w:tc>
          <w:tcPr>
            <w:tcW w:w="709" w:type="dxa"/>
          </w:tcPr>
          <w:p w14:paraId="026AB76D" w14:textId="77777777" w:rsidR="0094357C" w:rsidRDefault="00000000">
            <w:pPr>
              <w:pStyle w:val="TAH"/>
              <w:rPr>
                <w:rFonts w:cs="Arial"/>
                <w:szCs w:val="18"/>
              </w:rPr>
            </w:pPr>
            <w:r>
              <w:rPr>
                <w:rFonts w:cs="Arial"/>
                <w:szCs w:val="18"/>
              </w:rPr>
              <w:t>Per</w:t>
            </w:r>
          </w:p>
        </w:tc>
        <w:tc>
          <w:tcPr>
            <w:tcW w:w="564" w:type="dxa"/>
          </w:tcPr>
          <w:p w14:paraId="026AB76E" w14:textId="77777777" w:rsidR="0094357C" w:rsidRDefault="00000000">
            <w:pPr>
              <w:pStyle w:val="TAH"/>
              <w:rPr>
                <w:rFonts w:cs="Arial"/>
                <w:szCs w:val="18"/>
              </w:rPr>
            </w:pPr>
            <w:r>
              <w:rPr>
                <w:rFonts w:cs="Arial"/>
                <w:szCs w:val="18"/>
              </w:rPr>
              <w:t>M</w:t>
            </w:r>
          </w:p>
        </w:tc>
        <w:tc>
          <w:tcPr>
            <w:tcW w:w="712" w:type="dxa"/>
          </w:tcPr>
          <w:p w14:paraId="026AB76F" w14:textId="77777777" w:rsidR="0094357C" w:rsidRDefault="00000000">
            <w:pPr>
              <w:pStyle w:val="TAH"/>
              <w:rPr>
                <w:rFonts w:cs="Arial"/>
                <w:szCs w:val="18"/>
              </w:rPr>
            </w:pPr>
            <w:r>
              <w:rPr>
                <w:rFonts w:cs="Arial"/>
                <w:szCs w:val="18"/>
              </w:rPr>
              <w:t>FDD-TDD DIFF</w:t>
            </w:r>
          </w:p>
        </w:tc>
        <w:tc>
          <w:tcPr>
            <w:tcW w:w="737" w:type="dxa"/>
          </w:tcPr>
          <w:p w14:paraId="026AB770" w14:textId="77777777" w:rsidR="0094357C" w:rsidRDefault="00000000">
            <w:pPr>
              <w:pStyle w:val="TAH"/>
              <w:rPr>
                <w:rFonts w:eastAsia="MS Mincho" w:cs="Arial"/>
                <w:szCs w:val="18"/>
              </w:rPr>
            </w:pPr>
            <w:r>
              <w:rPr>
                <w:rFonts w:eastAsia="MS Mincho" w:cs="Arial"/>
                <w:szCs w:val="18"/>
              </w:rPr>
              <w:t>FR1-FR2 DIFF</w:t>
            </w:r>
          </w:p>
        </w:tc>
      </w:tr>
      <w:tr w:rsidR="0094357C" w14:paraId="026AB778" w14:textId="77777777">
        <w:trPr>
          <w:cantSplit/>
        </w:trPr>
        <w:tc>
          <w:tcPr>
            <w:tcW w:w="6807" w:type="dxa"/>
          </w:tcPr>
          <w:p w14:paraId="026AB772" w14:textId="77777777" w:rsidR="0094357C" w:rsidRDefault="00000000">
            <w:pPr>
              <w:pStyle w:val="TAL"/>
              <w:rPr>
                <w:rFonts w:cs="Arial"/>
                <w:b/>
                <w:bCs/>
                <w:i/>
                <w:iCs/>
                <w:szCs w:val="18"/>
              </w:rPr>
            </w:pPr>
            <w:proofErr w:type="spellStart"/>
            <w:r>
              <w:rPr>
                <w:rFonts w:cs="Arial"/>
                <w:b/>
                <w:bCs/>
                <w:i/>
                <w:iCs/>
                <w:szCs w:val="18"/>
                <w:highlight w:val="yellow"/>
              </w:rPr>
              <w:t>csi</w:t>
            </w:r>
            <w:proofErr w:type="spellEnd"/>
            <w:r>
              <w:rPr>
                <w:rFonts w:cs="Arial"/>
                <w:b/>
                <w:bCs/>
                <w:i/>
                <w:iCs/>
                <w:szCs w:val="18"/>
                <w:highlight w:val="yellow"/>
              </w:rPr>
              <w:t>-RS-RLM</w:t>
            </w:r>
          </w:p>
          <w:p w14:paraId="026AB773" w14:textId="77777777" w:rsidR="0094357C" w:rsidRDefault="00000000">
            <w:pPr>
              <w:pStyle w:val="TAL"/>
              <w:rPr>
                <w:rFonts w:cs="Arial"/>
                <w:b/>
                <w:bCs/>
                <w:i/>
                <w:iCs/>
                <w:szCs w:val="18"/>
              </w:rPr>
            </w:pPr>
            <w:r>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Pr>
                <w:rFonts w:eastAsia="MS PGothic" w:cs="Arial"/>
                <w:i/>
                <w:szCs w:val="18"/>
              </w:rPr>
              <w:t>maxNumberResource</w:t>
            </w:r>
            <w:proofErr w:type="spellEnd"/>
            <w:r>
              <w:rPr>
                <w:rFonts w:eastAsia="MS PGothic" w:cs="Arial"/>
                <w:i/>
                <w:szCs w:val="18"/>
              </w:rPr>
              <w:t>-CSI-RS-RLM</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026AB774" w14:textId="77777777" w:rsidR="0094357C" w:rsidRDefault="00000000">
            <w:pPr>
              <w:pStyle w:val="TAL"/>
              <w:jc w:val="center"/>
              <w:rPr>
                <w:rFonts w:cs="Arial"/>
                <w:bCs/>
                <w:iCs/>
                <w:szCs w:val="18"/>
              </w:rPr>
            </w:pPr>
            <w:r>
              <w:rPr>
                <w:rFonts w:cs="Arial"/>
                <w:bCs/>
                <w:iCs/>
                <w:szCs w:val="18"/>
              </w:rPr>
              <w:t>UE</w:t>
            </w:r>
          </w:p>
        </w:tc>
        <w:tc>
          <w:tcPr>
            <w:tcW w:w="564" w:type="dxa"/>
          </w:tcPr>
          <w:p w14:paraId="026AB775" w14:textId="77777777" w:rsidR="0094357C" w:rsidRDefault="00000000">
            <w:pPr>
              <w:pStyle w:val="TAL"/>
              <w:jc w:val="center"/>
              <w:rPr>
                <w:rFonts w:cs="Arial"/>
                <w:bCs/>
                <w:iCs/>
                <w:szCs w:val="18"/>
              </w:rPr>
            </w:pPr>
            <w:r>
              <w:rPr>
                <w:rFonts w:cs="Arial"/>
                <w:bCs/>
                <w:iCs/>
                <w:szCs w:val="18"/>
              </w:rPr>
              <w:t>Yes</w:t>
            </w:r>
          </w:p>
        </w:tc>
        <w:tc>
          <w:tcPr>
            <w:tcW w:w="712" w:type="dxa"/>
          </w:tcPr>
          <w:p w14:paraId="026AB776" w14:textId="77777777" w:rsidR="0094357C" w:rsidRDefault="00000000">
            <w:pPr>
              <w:pStyle w:val="TAL"/>
              <w:jc w:val="center"/>
              <w:rPr>
                <w:rFonts w:cs="Arial"/>
                <w:bCs/>
                <w:iCs/>
                <w:szCs w:val="18"/>
              </w:rPr>
            </w:pPr>
            <w:r>
              <w:rPr>
                <w:rFonts w:cs="Arial"/>
                <w:bCs/>
                <w:iCs/>
                <w:szCs w:val="18"/>
              </w:rPr>
              <w:t>No</w:t>
            </w:r>
          </w:p>
        </w:tc>
        <w:tc>
          <w:tcPr>
            <w:tcW w:w="737" w:type="dxa"/>
          </w:tcPr>
          <w:p w14:paraId="026AB777" w14:textId="77777777" w:rsidR="0094357C" w:rsidRDefault="00000000">
            <w:pPr>
              <w:pStyle w:val="TAL"/>
              <w:jc w:val="center"/>
              <w:rPr>
                <w:rFonts w:eastAsia="MS Mincho" w:cs="Arial"/>
                <w:bCs/>
                <w:iCs/>
                <w:szCs w:val="18"/>
              </w:rPr>
            </w:pPr>
            <w:r>
              <w:rPr>
                <w:rFonts w:eastAsia="MS Mincho" w:cs="Arial"/>
                <w:bCs/>
                <w:iCs/>
                <w:szCs w:val="18"/>
              </w:rPr>
              <w:t>Yes</w:t>
            </w:r>
          </w:p>
        </w:tc>
      </w:tr>
      <w:tr w:rsidR="0094357C" w14:paraId="026AB77F" w14:textId="77777777">
        <w:trPr>
          <w:cantSplit/>
        </w:trPr>
        <w:tc>
          <w:tcPr>
            <w:tcW w:w="6807" w:type="dxa"/>
          </w:tcPr>
          <w:p w14:paraId="026AB779" w14:textId="77777777" w:rsidR="0094357C" w:rsidRDefault="00000000">
            <w:pPr>
              <w:pStyle w:val="TAL"/>
              <w:rPr>
                <w:b/>
                <w:i/>
              </w:rPr>
            </w:pPr>
            <w:proofErr w:type="spellStart"/>
            <w:r>
              <w:rPr>
                <w:b/>
                <w:i/>
                <w:highlight w:val="magenta"/>
              </w:rPr>
              <w:t>eutra</w:t>
            </w:r>
            <w:proofErr w:type="spellEnd"/>
            <w:r>
              <w:rPr>
                <w:b/>
                <w:i/>
                <w:highlight w:val="magenta"/>
              </w:rPr>
              <w:t>-CGI-Reporting</w:t>
            </w:r>
          </w:p>
          <w:p w14:paraId="026AB77A" w14:textId="77777777" w:rsidR="0094357C" w:rsidRDefault="00000000">
            <w:pPr>
              <w:pStyle w:val="TAL"/>
            </w:pPr>
            <w: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xml:space="preserve">. It is mandated if the UE supports EUTRA. It is optional for </w:t>
            </w:r>
            <w:proofErr w:type="spellStart"/>
            <w:r>
              <w:t>RedCap</w:t>
            </w:r>
            <w:proofErr w:type="spellEnd"/>
            <w:r>
              <w:t xml:space="preserve"> UEs.</w:t>
            </w:r>
          </w:p>
        </w:tc>
        <w:tc>
          <w:tcPr>
            <w:tcW w:w="709" w:type="dxa"/>
          </w:tcPr>
          <w:p w14:paraId="026AB77B" w14:textId="77777777" w:rsidR="0094357C" w:rsidRDefault="00000000">
            <w:pPr>
              <w:pStyle w:val="TAL"/>
              <w:jc w:val="center"/>
            </w:pPr>
            <w:r>
              <w:t>UE</w:t>
            </w:r>
          </w:p>
        </w:tc>
        <w:tc>
          <w:tcPr>
            <w:tcW w:w="564" w:type="dxa"/>
          </w:tcPr>
          <w:p w14:paraId="026AB77C" w14:textId="77777777" w:rsidR="0094357C" w:rsidRDefault="00000000">
            <w:pPr>
              <w:pStyle w:val="TAL"/>
              <w:jc w:val="center"/>
            </w:pPr>
            <w:r>
              <w:t>CY</w:t>
            </w:r>
          </w:p>
        </w:tc>
        <w:tc>
          <w:tcPr>
            <w:tcW w:w="712" w:type="dxa"/>
          </w:tcPr>
          <w:p w14:paraId="026AB77D" w14:textId="77777777" w:rsidR="0094357C" w:rsidRDefault="00000000">
            <w:pPr>
              <w:pStyle w:val="TAL"/>
              <w:jc w:val="center"/>
            </w:pPr>
            <w:r>
              <w:t>No</w:t>
            </w:r>
          </w:p>
        </w:tc>
        <w:tc>
          <w:tcPr>
            <w:tcW w:w="737" w:type="dxa"/>
          </w:tcPr>
          <w:p w14:paraId="026AB77E" w14:textId="77777777" w:rsidR="0094357C" w:rsidRDefault="00000000">
            <w:pPr>
              <w:pStyle w:val="TAL"/>
              <w:jc w:val="center"/>
              <w:rPr>
                <w:rFonts w:eastAsia="MS Mincho"/>
              </w:rPr>
            </w:pPr>
            <w:r>
              <w:rPr>
                <w:rFonts w:eastAsia="MS Mincho"/>
              </w:rPr>
              <w:t>No</w:t>
            </w:r>
          </w:p>
        </w:tc>
      </w:tr>
      <w:tr w:rsidR="0094357C" w14:paraId="026AB786" w14:textId="77777777">
        <w:trPr>
          <w:cantSplit/>
        </w:trPr>
        <w:tc>
          <w:tcPr>
            <w:tcW w:w="6807" w:type="dxa"/>
          </w:tcPr>
          <w:p w14:paraId="026AB780" w14:textId="77777777" w:rsidR="0094357C" w:rsidRDefault="00000000">
            <w:pPr>
              <w:pStyle w:val="TAL"/>
              <w:rPr>
                <w:rFonts w:cs="Arial"/>
                <w:b/>
                <w:bCs/>
                <w:i/>
                <w:iCs/>
                <w:szCs w:val="18"/>
              </w:rPr>
            </w:pPr>
            <w:proofErr w:type="spellStart"/>
            <w:r>
              <w:rPr>
                <w:rFonts w:cs="Arial"/>
                <w:b/>
                <w:bCs/>
                <w:i/>
                <w:iCs/>
                <w:szCs w:val="18"/>
                <w:highlight w:val="green"/>
              </w:rPr>
              <w:t>eventA-MeasAndReport</w:t>
            </w:r>
            <w:proofErr w:type="spellEnd"/>
          </w:p>
          <w:p w14:paraId="026AB781" w14:textId="77777777" w:rsidR="0094357C" w:rsidRDefault="00000000">
            <w:pPr>
              <w:pStyle w:val="TAL"/>
              <w:rPr>
                <w:rFonts w:cs="Arial"/>
                <w:b/>
                <w:bCs/>
                <w:i/>
                <w:iCs/>
                <w:szCs w:val="18"/>
              </w:rPr>
            </w:pPr>
            <w:r>
              <w:rPr>
                <w:rFonts w:cs="Arial"/>
                <w:bCs/>
                <w:iCs/>
                <w:szCs w:val="18"/>
              </w:rPr>
              <w:t xml:space="preserve">Indicates whether the UE supports NR measurements and events A triggered reporting as specified in TS 38.331 [9]. </w:t>
            </w:r>
            <w:r>
              <w:t xml:space="preserve">This field only applies to SN configured measurement when </w:t>
            </w:r>
            <w:r>
              <w:rPr>
                <w:szCs w:val="22"/>
              </w:rPr>
              <w:t>(NG)</w:t>
            </w:r>
            <w:r>
              <w:t xml:space="preserve">EN-DC is configured. For NR SA, </w:t>
            </w:r>
            <w:proofErr w:type="gramStart"/>
            <w:r>
              <w:t>MN</w:t>
            </w:r>
            <w:proofErr w:type="gramEnd"/>
            <w:r>
              <w:t xml:space="preserve"> and SN configured measurement when NR-DC is configured, and MN configured measurement when NE-DC is configured, this feature is mandatory supported.</w:t>
            </w:r>
          </w:p>
        </w:tc>
        <w:tc>
          <w:tcPr>
            <w:tcW w:w="709" w:type="dxa"/>
          </w:tcPr>
          <w:p w14:paraId="026AB782" w14:textId="77777777" w:rsidR="0094357C" w:rsidRDefault="00000000">
            <w:pPr>
              <w:pStyle w:val="TAL"/>
              <w:jc w:val="center"/>
              <w:rPr>
                <w:rFonts w:cs="Arial"/>
                <w:bCs/>
                <w:iCs/>
                <w:szCs w:val="18"/>
              </w:rPr>
            </w:pPr>
            <w:r>
              <w:rPr>
                <w:rFonts w:cs="Arial"/>
                <w:bCs/>
                <w:iCs/>
                <w:szCs w:val="18"/>
              </w:rPr>
              <w:t>UE</w:t>
            </w:r>
          </w:p>
        </w:tc>
        <w:tc>
          <w:tcPr>
            <w:tcW w:w="564" w:type="dxa"/>
          </w:tcPr>
          <w:p w14:paraId="026AB783" w14:textId="77777777" w:rsidR="0094357C" w:rsidRDefault="00000000">
            <w:pPr>
              <w:pStyle w:val="TAL"/>
              <w:jc w:val="center"/>
              <w:rPr>
                <w:rFonts w:cs="Arial"/>
                <w:bCs/>
                <w:iCs/>
                <w:szCs w:val="18"/>
              </w:rPr>
            </w:pPr>
            <w:r>
              <w:rPr>
                <w:rFonts w:cs="Arial"/>
                <w:bCs/>
                <w:iCs/>
                <w:szCs w:val="18"/>
              </w:rPr>
              <w:t>Yes</w:t>
            </w:r>
          </w:p>
        </w:tc>
        <w:tc>
          <w:tcPr>
            <w:tcW w:w="712" w:type="dxa"/>
          </w:tcPr>
          <w:p w14:paraId="026AB784" w14:textId="77777777" w:rsidR="0094357C" w:rsidRDefault="00000000">
            <w:pPr>
              <w:pStyle w:val="TAL"/>
              <w:jc w:val="center"/>
              <w:rPr>
                <w:rFonts w:cs="Arial"/>
                <w:bCs/>
                <w:iCs/>
                <w:szCs w:val="18"/>
              </w:rPr>
            </w:pPr>
            <w:r>
              <w:rPr>
                <w:rFonts w:cs="Arial"/>
                <w:bCs/>
                <w:iCs/>
                <w:szCs w:val="18"/>
              </w:rPr>
              <w:t>Yes</w:t>
            </w:r>
          </w:p>
        </w:tc>
        <w:tc>
          <w:tcPr>
            <w:tcW w:w="737" w:type="dxa"/>
          </w:tcPr>
          <w:p w14:paraId="026AB785" w14:textId="77777777" w:rsidR="0094357C" w:rsidRDefault="00000000">
            <w:pPr>
              <w:pStyle w:val="TAL"/>
              <w:jc w:val="center"/>
              <w:rPr>
                <w:rFonts w:eastAsia="MS Mincho" w:cs="Arial"/>
                <w:bCs/>
                <w:iCs/>
                <w:szCs w:val="18"/>
              </w:rPr>
            </w:pPr>
            <w:r>
              <w:rPr>
                <w:rFonts w:eastAsia="MS Mincho" w:cs="Arial"/>
                <w:bCs/>
                <w:iCs/>
                <w:szCs w:val="18"/>
              </w:rPr>
              <w:t>No</w:t>
            </w:r>
          </w:p>
        </w:tc>
      </w:tr>
      <w:tr w:rsidR="0094357C" w14:paraId="026AB78D" w14:textId="77777777">
        <w:trPr>
          <w:cantSplit/>
        </w:trPr>
        <w:tc>
          <w:tcPr>
            <w:tcW w:w="6807" w:type="dxa"/>
          </w:tcPr>
          <w:p w14:paraId="026AB787" w14:textId="77777777" w:rsidR="0094357C" w:rsidRDefault="00000000">
            <w:pPr>
              <w:pStyle w:val="TAL"/>
              <w:rPr>
                <w:b/>
                <w:i/>
              </w:rPr>
            </w:pPr>
            <w:proofErr w:type="spellStart"/>
            <w:r>
              <w:rPr>
                <w:b/>
                <w:i/>
                <w:highlight w:val="magenta"/>
              </w:rPr>
              <w:t>eventB-MeasAndReport</w:t>
            </w:r>
            <w:proofErr w:type="spellEnd"/>
          </w:p>
          <w:p w14:paraId="026AB788" w14:textId="77777777" w:rsidR="0094357C" w:rsidRDefault="00000000">
            <w:pPr>
              <w:pStyle w:val="TAL"/>
            </w:pPr>
            <w:r>
              <w:t>Indicates whether the UE supports EUTRA measurement and event B triggered reporting as specified in TS 38.331 [9]. It is mandated if the UE supports EUTRA.</w:t>
            </w:r>
          </w:p>
        </w:tc>
        <w:tc>
          <w:tcPr>
            <w:tcW w:w="709" w:type="dxa"/>
          </w:tcPr>
          <w:p w14:paraId="026AB789" w14:textId="77777777" w:rsidR="0094357C" w:rsidRDefault="00000000">
            <w:pPr>
              <w:pStyle w:val="TAL"/>
              <w:jc w:val="center"/>
            </w:pPr>
            <w:r>
              <w:t>UE</w:t>
            </w:r>
          </w:p>
        </w:tc>
        <w:tc>
          <w:tcPr>
            <w:tcW w:w="564" w:type="dxa"/>
          </w:tcPr>
          <w:p w14:paraId="026AB78A" w14:textId="77777777" w:rsidR="0094357C" w:rsidRDefault="00000000">
            <w:pPr>
              <w:pStyle w:val="TAL"/>
              <w:jc w:val="center"/>
            </w:pPr>
            <w:r>
              <w:t>CY</w:t>
            </w:r>
          </w:p>
        </w:tc>
        <w:tc>
          <w:tcPr>
            <w:tcW w:w="712" w:type="dxa"/>
          </w:tcPr>
          <w:p w14:paraId="026AB78B" w14:textId="77777777" w:rsidR="0094357C" w:rsidRDefault="00000000">
            <w:pPr>
              <w:pStyle w:val="TAL"/>
              <w:jc w:val="center"/>
            </w:pPr>
            <w:r>
              <w:t>No</w:t>
            </w:r>
          </w:p>
        </w:tc>
        <w:tc>
          <w:tcPr>
            <w:tcW w:w="737" w:type="dxa"/>
          </w:tcPr>
          <w:p w14:paraId="026AB78C" w14:textId="77777777" w:rsidR="0094357C" w:rsidRDefault="00000000">
            <w:pPr>
              <w:pStyle w:val="TAL"/>
              <w:jc w:val="center"/>
              <w:rPr>
                <w:rFonts w:eastAsia="MS Mincho"/>
              </w:rPr>
            </w:pPr>
            <w:r>
              <w:rPr>
                <w:rFonts w:eastAsia="MS Mincho"/>
              </w:rPr>
              <w:t>No</w:t>
            </w:r>
          </w:p>
        </w:tc>
      </w:tr>
      <w:tr w:rsidR="0094357C" w14:paraId="026AB794" w14:textId="77777777">
        <w:trPr>
          <w:cantSplit/>
        </w:trPr>
        <w:tc>
          <w:tcPr>
            <w:tcW w:w="6807" w:type="dxa"/>
          </w:tcPr>
          <w:p w14:paraId="026AB78E" w14:textId="77777777" w:rsidR="0094357C" w:rsidRDefault="00000000">
            <w:pPr>
              <w:keepNext/>
              <w:keepLines/>
              <w:spacing w:after="0"/>
              <w:rPr>
                <w:rFonts w:ascii="Arial" w:hAnsi="Arial"/>
                <w:b/>
                <w:bCs/>
                <w:i/>
                <w:iCs/>
                <w:sz w:val="18"/>
                <w:szCs w:val="18"/>
              </w:rPr>
            </w:pPr>
            <w:r>
              <w:rPr>
                <w:rFonts w:ascii="Arial" w:hAnsi="Arial"/>
                <w:b/>
                <w:bCs/>
                <w:i/>
                <w:iCs/>
                <w:sz w:val="18"/>
                <w:szCs w:val="18"/>
                <w:highlight w:val="magenta"/>
              </w:rPr>
              <w:t>eventD1-MeasReportTrigger-r17</w:t>
            </w:r>
          </w:p>
          <w:p w14:paraId="026AB78F" w14:textId="77777777" w:rsidR="0094357C" w:rsidRDefault="00000000">
            <w:pPr>
              <w:pStyle w:val="TAL"/>
              <w:rPr>
                <w:b/>
                <w:i/>
              </w:rPr>
            </w:pPr>
            <w:r>
              <w:t xml:space="preserve">Indicates whether the UE supports location-based triggered measurement reporting (i.e., event D1) as specified in TS 38.331 [9]. It is mandated if the UE supports </w:t>
            </w:r>
            <w:r>
              <w:rPr>
                <w:i/>
                <w:iCs/>
              </w:rPr>
              <w:t>locationBasedCondHandover-r17</w:t>
            </w:r>
            <w:r>
              <w:t xml:space="preserve"> in any NTN band.</w:t>
            </w:r>
          </w:p>
        </w:tc>
        <w:tc>
          <w:tcPr>
            <w:tcW w:w="709" w:type="dxa"/>
          </w:tcPr>
          <w:p w14:paraId="026AB790" w14:textId="77777777" w:rsidR="0094357C" w:rsidRDefault="00000000">
            <w:pPr>
              <w:pStyle w:val="TAL"/>
              <w:jc w:val="center"/>
            </w:pPr>
            <w:r>
              <w:t>UE</w:t>
            </w:r>
          </w:p>
        </w:tc>
        <w:tc>
          <w:tcPr>
            <w:tcW w:w="564" w:type="dxa"/>
          </w:tcPr>
          <w:p w14:paraId="026AB791" w14:textId="77777777" w:rsidR="0094357C" w:rsidRDefault="00000000">
            <w:pPr>
              <w:pStyle w:val="TAL"/>
              <w:jc w:val="center"/>
            </w:pPr>
            <w:r>
              <w:t>CY</w:t>
            </w:r>
          </w:p>
        </w:tc>
        <w:tc>
          <w:tcPr>
            <w:tcW w:w="712" w:type="dxa"/>
          </w:tcPr>
          <w:p w14:paraId="026AB792" w14:textId="77777777" w:rsidR="0094357C" w:rsidRDefault="00000000">
            <w:pPr>
              <w:pStyle w:val="TAL"/>
              <w:jc w:val="center"/>
            </w:pPr>
            <w:r>
              <w:t>No</w:t>
            </w:r>
          </w:p>
        </w:tc>
        <w:tc>
          <w:tcPr>
            <w:tcW w:w="737" w:type="dxa"/>
          </w:tcPr>
          <w:p w14:paraId="026AB793" w14:textId="77777777" w:rsidR="0094357C" w:rsidRDefault="00000000">
            <w:pPr>
              <w:pStyle w:val="TAL"/>
              <w:jc w:val="center"/>
              <w:rPr>
                <w:rFonts w:eastAsia="MS Mincho"/>
              </w:rPr>
            </w:pPr>
            <w:r>
              <w:rPr>
                <w:rFonts w:eastAsia="MS Mincho"/>
              </w:rPr>
              <w:t>No</w:t>
            </w:r>
          </w:p>
        </w:tc>
      </w:tr>
      <w:tr w:rsidR="0094357C" w14:paraId="026AB79B" w14:textId="77777777">
        <w:trPr>
          <w:cantSplit/>
        </w:trPr>
        <w:tc>
          <w:tcPr>
            <w:tcW w:w="6807" w:type="dxa"/>
          </w:tcPr>
          <w:p w14:paraId="026AB795" w14:textId="77777777" w:rsidR="0094357C" w:rsidRDefault="00000000">
            <w:pPr>
              <w:pStyle w:val="TAL"/>
            </w:pPr>
            <w:r>
              <w:rPr>
                <w:b/>
                <w:i/>
                <w:highlight w:val="yellow"/>
              </w:rPr>
              <w:t>gNB-ID-LengthReporting-r17</w:t>
            </w:r>
          </w:p>
          <w:p w14:paraId="026AB796" w14:textId="77777777" w:rsidR="0094357C" w:rsidRDefault="00000000">
            <w:pPr>
              <w:pStyle w:val="TAL"/>
              <w:rPr>
                <w:b/>
                <w:i/>
              </w:rPr>
            </w:pPr>
            <w:r>
              <w:t xml:space="preserve">Indicates whether the UE supports acquisition and reporting of </w:t>
            </w:r>
            <w:proofErr w:type="spellStart"/>
            <w:r>
              <w:t>gNB</w:t>
            </w:r>
            <w:proofErr w:type="spellEnd"/>
            <w:r>
              <w:t xml:space="preserve"> ID length from a neighbouring intra-frequency or inter-frequency NR cell by reading the SI of the neighbouring cell and reporting the acquired </w:t>
            </w:r>
            <w:proofErr w:type="spellStart"/>
            <w:r>
              <w:t>gNB</w:t>
            </w:r>
            <w:proofErr w:type="spellEnd"/>
            <w:r>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026AB797" w14:textId="77777777" w:rsidR="0094357C" w:rsidRDefault="00000000">
            <w:pPr>
              <w:pStyle w:val="TAL"/>
              <w:jc w:val="center"/>
            </w:pPr>
            <w:r>
              <w:t>UE</w:t>
            </w:r>
          </w:p>
        </w:tc>
        <w:tc>
          <w:tcPr>
            <w:tcW w:w="564" w:type="dxa"/>
          </w:tcPr>
          <w:p w14:paraId="026AB798" w14:textId="77777777" w:rsidR="0094357C" w:rsidRDefault="00000000">
            <w:pPr>
              <w:pStyle w:val="TAL"/>
              <w:jc w:val="center"/>
            </w:pPr>
            <w:r>
              <w:t>CY</w:t>
            </w:r>
          </w:p>
        </w:tc>
        <w:tc>
          <w:tcPr>
            <w:tcW w:w="712" w:type="dxa"/>
          </w:tcPr>
          <w:p w14:paraId="026AB799" w14:textId="77777777" w:rsidR="0094357C" w:rsidRDefault="00000000">
            <w:pPr>
              <w:pStyle w:val="TAL"/>
              <w:jc w:val="center"/>
            </w:pPr>
            <w:r>
              <w:t>No</w:t>
            </w:r>
          </w:p>
        </w:tc>
        <w:tc>
          <w:tcPr>
            <w:tcW w:w="737" w:type="dxa"/>
          </w:tcPr>
          <w:p w14:paraId="026AB79A" w14:textId="77777777" w:rsidR="0094357C" w:rsidRDefault="00000000">
            <w:pPr>
              <w:pStyle w:val="TAL"/>
              <w:jc w:val="center"/>
              <w:rPr>
                <w:rFonts w:eastAsia="MS Mincho"/>
              </w:rPr>
            </w:pPr>
            <w:r>
              <w:rPr>
                <w:rFonts w:eastAsia="MS Mincho"/>
              </w:rPr>
              <w:t>No</w:t>
            </w:r>
          </w:p>
        </w:tc>
      </w:tr>
      <w:tr w:rsidR="0094357C" w14:paraId="026AB7A2" w14:textId="77777777">
        <w:trPr>
          <w:cantSplit/>
        </w:trPr>
        <w:tc>
          <w:tcPr>
            <w:tcW w:w="6807" w:type="dxa"/>
          </w:tcPr>
          <w:p w14:paraId="026AB79C" w14:textId="77777777" w:rsidR="0094357C" w:rsidRDefault="00000000">
            <w:pPr>
              <w:keepNext/>
              <w:keepLines/>
              <w:spacing w:after="0"/>
              <w:rPr>
                <w:rFonts w:ascii="Arial" w:hAnsi="Arial"/>
                <w:b/>
                <w:i/>
                <w:sz w:val="18"/>
              </w:rPr>
            </w:pPr>
            <w:r>
              <w:rPr>
                <w:rFonts w:ascii="Arial" w:hAnsi="Arial"/>
                <w:b/>
                <w:i/>
                <w:sz w:val="18"/>
                <w:highlight w:val="magenta"/>
              </w:rPr>
              <w:t>gNB-ID-LengthReporting-ENDC-r17</w:t>
            </w:r>
          </w:p>
          <w:p w14:paraId="026AB79D" w14:textId="77777777" w:rsidR="0094357C" w:rsidRDefault="00000000">
            <w:pPr>
              <w:pStyle w:val="TAL"/>
              <w:rPr>
                <w:b/>
                <w:i/>
              </w:rPr>
            </w:pPr>
            <w:r>
              <w:t xml:space="preserve">Indicates whether the UE supports acquisition and reporting of </w:t>
            </w:r>
            <w:proofErr w:type="spellStart"/>
            <w:r>
              <w:t>gNB</w:t>
            </w:r>
            <w:proofErr w:type="spellEnd"/>
            <w:r>
              <w:t xml:space="preserve"> ID length from a neighbouring intra-frequency or inter-frequency NR cell by reading the SI of the neighbouring cell and reporting the acquired </w:t>
            </w:r>
            <w:proofErr w:type="spellStart"/>
            <w:r>
              <w:t>gNB</w:t>
            </w:r>
            <w:proofErr w:type="spellEnd"/>
            <w:r>
              <w:t xml:space="preserve"> ID length to the network as specified in TS 38.331 [9] when the (NG)EN-DC is configured. It is mandated if UE supports NR CGI reporting when (NG)EN-DC is configured.</w:t>
            </w:r>
          </w:p>
        </w:tc>
        <w:tc>
          <w:tcPr>
            <w:tcW w:w="709" w:type="dxa"/>
          </w:tcPr>
          <w:p w14:paraId="026AB79E" w14:textId="77777777" w:rsidR="0094357C" w:rsidRDefault="00000000">
            <w:pPr>
              <w:pStyle w:val="TAL"/>
              <w:jc w:val="center"/>
            </w:pPr>
            <w:r>
              <w:t>UE</w:t>
            </w:r>
          </w:p>
        </w:tc>
        <w:tc>
          <w:tcPr>
            <w:tcW w:w="564" w:type="dxa"/>
          </w:tcPr>
          <w:p w14:paraId="026AB79F" w14:textId="77777777" w:rsidR="0094357C" w:rsidRDefault="00000000">
            <w:pPr>
              <w:pStyle w:val="TAL"/>
              <w:jc w:val="center"/>
            </w:pPr>
            <w:r>
              <w:t>CY</w:t>
            </w:r>
          </w:p>
        </w:tc>
        <w:tc>
          <w:tcPr>
            <w:tcW w:w="712" w:type="dxa"/>
          </w:tcPr>
          <w:p w14:paraId="026AB7A0" w14:textId="77777777" w:rsidR="0094357C" w:rsidRDefault="00000000">
            <w:pPr>
              <w:pStyle w:val="TAL"/>
              <w:jc w:val="center"/>
            </w:pPr>
            <w:r>
              <w:t>No</w:t>
            </w:r>
          </w:p>
        </w:tc>
        <w:tc>
          <w:tcPr>
            <w:tcW w:w="737" w:type="dxa"/>
          </w:tcPr>
          <w:p w14:paraId="026AB7A1" w14:textId="77777777" w:rsidR="0094357C" w:rsidRDefault="00000000">
            <w:pPr>
              <w:pStyle w:val="TAL"/>
              <w:jc w:val="center"/>
              <w:rPr>
                <w:rFonts w:eastAsia="MS Mincho"/>
              </w:rPr>
            </w:pPr>
            <w:r>
              <w:rPr>
                <w:rFonts w:eastAsia="MS Mincho"/>
              </w:rPr>
              <w:t>No</w:t>
            </w:r>
          </w:p>
        </w:tc>
      </w:tr>
      <w:tr w:rsidR="0094357C" w14:paraId="026AB7A9" w14:textId="77777777">
        <w:trPr>
          <w:cantSplit/>
        </w:trPr>
        <w:tc>
          <w:tcPr>
            <w:tcW w:w="6807" w:type="dxa"/>
          </w:tcPr>
          <w:p w14:paraId="026AB7A3" w14:textId="77777777" w:rsidR="0094357C" w:rsidRDefault="00000000">
            <w:pPr>
              <w:keepNext/>
              <w:keepLines/>
              <w:spacing w:after="0"/>
              <w:rPr>
                <w:rFonts w:ascii="Arial" w:hAnsi="Arial"/>
                <w:b/>
                <w:bCs/>
                <w:i/>
                <w:iCs/>
                <w:sz w:val="18"/>
              </w:rPr>
            </w:pPr>
            <w:r>
              <w:rPr>
                <w:rFonts w:ascii="Arial" w:hAnsi="Arial"/>
                <w:b/>
                <w:i/>
                <w:sz w:val="18"/>
                <w:highlight w:val="magenta"/>
              </w:rPr>
              <w:t>gNB-ID-LengthReporting</w:t>
            </w:r>
            <w:r>
              <w:rPr>
                <w:rFonts w:ascii="Arial" w:hAnsi="Arial"/>
                <w:b/>
                <w:bCs/>
                <w:i/>
                <w:iCs/>
                <w:sz w:val="18"/>
                <w:highlight w:val="magenta"/>
              </w:rPr>
              <w:t>-NEDC-r17</w:t>
            </w:r>
          </w:p>
          <w:p w14:paraId="026AB7A4" w14:textId="77777777" w:rsidR="0094357C" w:rsidRDefault="00000000">
            <w:pPr>
              <w:pStyle w:val="TAL"/>
              <w:rPr>
                <w:b/>
                <w:i/>
              </w:rPr>
            </w:pPr>
            <w:r>
              <w:t xml:space="preserve">Indicates whether the UE supports acquisition and reporting of </w:t>
            </w:r>
            <w:proofErr w:type="spellStart"/>
            <w:r>
              <w:t>gNB</w:t>
            </w:r>
            <w:proofErr w:type="spellEnd"/>
            <w:r>
              <w:t xml:space="preserve"> ID length from a neighbouring intra-frequency or inter-frequency NR cell by reading the SI of the neighbouring cell and reporting the acquired </w:t>
            </w:r>
            <w:proofErr w:type="spellStart"/>
            <w:r>
              <w:t>gNB</w:t>
            </w:r>
            <w:proofErr w:type="spellEnd"/>
            <w:r>
              <w:t xml:space="preserve"> ID length to the network as specified in TS 38.331 [9] </w:t>
            </w:r>
            <w:r>
              <w:rPr>
                <w:rFonts w:cs="Arial"/>
                <w:szCs w:val="18"/>
              </w:rPr>
              <w:t xml:space="preserve">when the NE-DC is configured. </w:t>
            </w:r>
            <w:r>
              <w:t>It is mandated if UE supports NR CGI reporting when NE-DC is configured.</w:t>
            </w:r>
          </w:p>
        </w:tc>
        <w:tc>
          <w:tcPr>
            <w:tcW w:w="709" w:type="dxa"/>
          </w:tcPr>
          <w:p w14:paraId="026AB7A5" w14:textId="77777777" w:rsidR="0094357C" w:rsidRDefault="00000000">
            <w:pPr>
              <w:pStyle w:val="TAL"/>
              <w:jc w:val="center"/>
            </w:pPr>
            <w:r>
              <w:t>UE</w:t>
            </w:r>
          </w:p>
        </w:tc>
        <w:tc>
          <w:tcPr>
            <w:tcW w:w="564" w:type="dxa"/>
          </w:tcPr>
          <w:p w14:paraId="026AB7A6" w14:textId="77777777" w:rsidR="0094357C" w:rsidRDefault="00000000">
            <w:pPr>
              <w:pStyle w:val="TAL"/>
              <w:jc w:val="center"/>
            </w:pPr>
            <w:r>
              <w:t>CY</w:t>
            </w:r>
          </w:p>
        </w:tc>
        <w:tc>
          <w:tcPr>
            <w:tcW w:w="712" w:type="dxa"/>
          </w:tcPr>
          <w:p w14:paraId="026AB7A7" w14:textId="77777777" w:rsidR="0094357C" w:rsidRDefault="00000000">
            <w:pPr>
              <w:pStyle w:val="TAL"/>
              <w:jc w:val="center"/>
            </w:pPr>
            <w:r>
              <w:t>No</w:t>
            </w:r>
          </w:p>
        </w:tc>
        <w:tc>
          <w:tcPr>
            <w:tcW w:w="737" w:type="dxa"/>
          </w:tcPr>
          <w:p w14:paraId="026AB7A8" w14:textId="77777777" w:rsidR="0094357C" w:rsidRDefault="00000000">
            <w:pPr>
              <w:pStyle w:val="TAL"/>
              <w:jc w:val="center"/>
              <w:rPr>
                <w:rFonts w:eastAsia="MS Mincho"/>
              </w:rPr>
            </w:pPr>
            <w:r>
              <w:rPr>
                <w:rFonts w:eastAsia="MS Mincho"/>
              </w:rPr>
              <w:t>No</w:t>
            </w:r>
          </w:p>
        </w:tc>
      </w:tr>
      <w:tr w:rsidR="0094357C" w14:paraId="026AB7B0" w14:textId="77777777">
        <w:trPr>
          <w:cantSplit/>
        </w:trPr>
        <w:tc>
          <w:tcPr>
            <w:tcW w:w="6807" w:type="dxa"/>
          </w:tcPr>
          <w:p w14:paraId="026AB7AA" w14:textId="77777777" w:rsidR="0094357C" w:rsidRDefault="00000000">
            <w:pPr>
              <w:keepNext/>
              <w:keepLines/>
              <w:spacing w:after="0"/>
              <w:rPr>
                <w:rFonts w:ascii="Arial" w:hAnsi="Arial"/>
                <w:b/>
                <w:bCs/>
                <w:i/>
                <w:iCs/>
                <w:sz w:val="18"/>
              </w:rPr>
            </w:pPr>
            <w:r>
              <w:rPr>
                <w:rFonts w:ascii="Arial" w:hAnsi="Arial"/>
                <w:b/>
                <w:i/>
                <w:sz w:val="18"/>
                <w:highlight w:val="magenta"/>
              </w:rPr>
              <w:t>gNB-ID-LengthReporting</w:t>
            </w:r>
            <w:r>
              <w:rPr>
                <w:rFonts w:ascii="Arial" w:hAnsi="Arial"/>
                <w:b/>
                <w:bCs/>
                <w:i/>
                <w:iCs/>
                <w:sz w:val="18"/>
                <w:highlight w:val="magenta"/>
              </w:rPr>
              <w:t>-NRDC-r17</w:t>
            </w:r>
          </w:p>
          <w:p w14:paraId="026AB7AB" w14:textId="77777777" w:rsidR="0094357C" w:rsidRDefault="00000000">
            <w:pPr>
              <w:pStyle w:val="TAL"/>
              <w:rPr>
                <w:b/>
                <w:i/>
              </w:rPr>
            </w:pPr>
            <w:r>
              <w:t xml:space="preserve">Indicates whether the UE supports acquisition and reporting of </w:t>
            </w:r>
            <w:proofErr w:type="spellStart"/>
            <w:r>
              <w:t>gNB</w:t>
            </w:r>
            <w:proofErr w:type="spellEnd"/>
            <w:r>
              <w:t xml:space="preserve"> ID length from a neighbouring intra-frequency or inter-frequency NR cell by reading the SI of the neighbouring cell and reporting the acquired </w:t>
            </w:r>
            <w:proofErr w:type="spellStart"/>
            <w:r>
              <w:t>gNB</w:t>
            </w:r>
            <w:proofErr w:type="spellEnd"/>
            <w:r>
              <w:t xml:space="preserve"> ID length to the network as specified in TS 38.331 [9] </w:t>
            </w:r>
            <w:r>
              <w:rPr>
                <w:rFonts w:cs="Arial"/>
                <w:szCs w:val="18"/>
              </w:rPr>
              <w:t xml:space="preserve">when the NR-DC is configured wherein MN and SN have different DRX cycles, or on-duration configured by MN does not contain on-duration configured by SN if the DRX cycles are the same. </w:t>
            </w:r>
            <w:r>
              <w:t>It is mandated if UE supports NR CGI reporting when NR-DC is configured.</w:t>
            </w:r>
          </w:p>
        </w:tc>
        <w:tc>
          <w:tcPr>
            <w:tcW w:w="709" w:type="dxa"/>
          </w:tcPr>
          <w:p w14:paraId="026AB7AC" w14:textId="77777777" w:rsidR="0094357C" w:rsidRDefault="00000000">
            <w:pPr>
              <w:pStyle w:val="TAL"/>
              <w:jc w:val="center"/>
            </w:pPr>
            <w:r>
              <w:t>UE</w:t>
            </w:r>
          </w:p>
        </w:tc>
        <w:tc>
          <w:tcPr>
            <w:tcW w:w="564" w:type="dxa"/>
          </w:tcPr>
          <w:p w14:paraId="026AB7AD" w14:textId="77777777" w:rsidR="0094357C" w:rsidRDefault="00000000">
            <w:pPr>
              <w:pStyle w:val="TAL"/>
              <w:jc w:val="center"/>
            </w:pPr>
            <w:r>
              <w:t>CY</w:t>
            </w:r>
          </w:p>
        </w:tc>
        <w:tc>
          <w:tcPr>
            <w:tcW w:w="712" w:type="dxa"/>
          </w:tcPr>
          <w:p w14:paraId="026AB7AE" w14:textId="77777777" w:rsidR="0094357C" w:rsidRDefault="00000000">
            <w:pPr>
              <w:pStyle w:val="TAL"/>
              <w:jc w:val="center"/>
            </w:pPr>
            <w:r>
              <w:t>No</w:t>
            </w:r>
          </w:p>
        </w:tc>
        <w:tc>
          <w:tcPr>
            <w:tcW w:w="737" w:type="dxa"/>
          </w:tcPr>
          <w:p w14:paraId="026AB7AF" w14:textId="77777777" w:rsidR="0094357C" w:rsidRDefault="00000000">
            <w:pPr>
              <w:pStyle w:val="TAL"/>
              <w:jc w:val="center"/>
              <w:rPr>
                <w:rFonts w:eastAsia="MS Mincho"/>
              </w:rPr>
            </w:pPr>
            <w:r>
              <w:rPr>
                <w:rFonts w:eastAsia="MS Mincho"/>
              </w:rPr>
              <w:t>No</w:t>
            </w:r>
          </w:p>
        </w:tc>
      </w:tr>
      <w:tr w:rsidR="0094357C" w14:paraId="026AB7B7" w14:textId="77777777">
        <w:trPr>
          <w:cantSplit/>
        </w:trPr>
        <w:tc>
          <w:tcPr>
            <w:tcW w:w="6807" w:type="dxa"/>
          </w:tcPr>
          <w:p w14:paraId="026AB7B1" w14:textId="77777777" w:rsidR="0094357C" w:rsidRDefault="00000000">
            <w:pPr>
              <w:keepNext/>
              <w:keepLines/>
              <w:spacing w:after="0"/>
              <w:rPr>
                <w:rFonts w:ascii="Arial" w:hAnsi="Arial"/>
                <w:b/>
                <w:i/>
                <w:sz w:val="18"/>
              </w:rPr>
            </w:pPr>
            <w:r>
              <w:rPr>
                <w:rFonts w:ascii="Arial" w:hAnsi="Arial"/>
                <w:b/>
                <w:i/>
                <w:sz w:val="18"/>
                <w:highlight w:val="yellow"/>
              </w:rPr>
              <w:t>gNB-ID-LengthReporting-NPN-r17</w:t>
            </w:r>
          </w:p>
          <w:p w14:paraId="026AB7B2" w14:textId="77777777" w:rsidR="0094357C" w:rsidRDefault="00000000">
            <w:pPr>
              <w:pStyle w:val="TAL"/>
              <w:rPr>
                <w:b/>
                <w:i/>
              </w:rPr>
            </w:pPr>
            <w:r>
              <w:t xml:space="preserve">Indicates whether the UE supports acquisition of NPN-relevant </w:t>
            </w:r>
            <w:proofErr w:type="spellStart"/>
            <w:r>
              <w:t>gNB</w:t>
            </w:r>
            <w:proofErr w:type="spellEnd"/>
            <w:r>
              <w:t xml:space="preserve"> ID length from a neighbouring intra-frequency or inter-frequency NR NPN cell by reading the SI of the neighbouring cell and reporting the acquired </w:t>
            </w:r>
            <w:proofErr w:type="spellStart"/>
            <w:r>
              <w:t>gNB</w:t>
            </w:r>
            <w:proofErr w:type="spellEnd"/>
            <w:r>
              <w:t xml:space="preserve"> ID length to the network as specified in TS 38.331 [9]. It is mandated if UE supports NPN CGI reporting.</w:t>
            </w:r>
          </w:p>
        </w:tc>
        <w:tc>
          <w:tcPr>
            <w:tcW w:w="709" w:type="dxa"/>
          </w:tcPr>
          <w:p w14:paraId="026AB7B3" w14:textId="77777777" w:rsidR="0094357C" w:rsidRDefault="00000000">
            <w:pPr>
              <w:pStyle w:val="TAL"/>
              <w:jc w:val="center"/>
            </w:pPr>
            <w:r>
              <w:rPr>
                <w:lang w:eastAsia="zh-CN"/>
              </w:rPr>
              <w:t>UE</w:t>
            </w:r>
          </w:p>
        </w:tc>
        <w:tc>
          <w:tcPr>
            <w:tcW w:w="564" w:type="dxa"/>
          </w:tcPr>
          <w:p w14:paraId="026AB7B4" w14:textId="77777777" w:rsidR="0094357C" w:rsidRDefault="00000000">
            <w:pPr>
              <w:pStyle w:val="TAL"/>
              <w:jc w:val="center"/>
            </w:pPr>
            <w:r>
              <w:rPr>
                <w:lang w:eastAsia="zh-CN"/>
              </w:rPr>
              <w:t>CY</w:t>
            </w:r>
          </w:p>
        </w:tc>
        <w:tc>
          <w:tcPr>
            <w:tcW w:w="712" w:type="dxa"/>
          </w:tcPr>
          <w:p w14:paraId="026AB7B5" w14:textId="77777777" w:rsidR="0094357C" w:rsidRDefault="00000000">
            <w:pPr>
              <w:pStyle w:val="TAL"/>
              <w:jc w:val="center"/>
            </w:pPr>
            <w:r>
              <w:rPr>
                <w:lang w:eastAsia="zh-CN"/>
              </w:rPr>
              <w:t>No</w:t>
            </w:r>
          </w:p>
        </w:tc>
        <w:tc>
          <w:tcPr>
            <w:tcW w:w="737" w:type="dxa"/>
          </w:tcPr>
          <w:p w14:paraId="026AB7B6" w14:textId="77777777" w:rsidR="0094357C" w:rsidRDefault="00000000">
            <w:pPr>
              <w:pStyle w:val="TAL"/>
              <w:jc w:val="center"/>
              <w:rPr>
                <w:rFonts w:eastAsia="MS Mincho"/>
              </w:rPr>
            </w:pPr>
            <w:r>
              <w:rPr>
                <w:lang w:eastAsia="zh-CN"/>
              </w:rPr>
              <w:t>No</w:t>
            </w:r>
          </w:p>
        </w:tc>
      </w:tr>
      <w:tr w:rsidR="0094357C" w14:paraId="026AB7BF" w14:textId="77777777">
        <w:trPr>
          <w:cantSplit/>
        </w:trPr>
        <w:tc>
          <w:tcPr>
            <w:tcW w:w="6807" w:type="dxa"/>
          </w:tcPr>
          <w:p w14:paraId="026AB7B8" w14:textId="77777777" w:rsidR="0094357C" w:rsidRDefault="00000000">
            <w:pPr>
              <w:pStyle w:val="TAL"/>
              <w:rPr>
                <w:b/>
                <w:i/>
              </w:rPr>
            </w:pPr>
            <w:r>
              <w:rPr>
                <w:b/>
                <w:i/>
                <w:highlight w:val="magenta"/>
              </w:rPr>
              <w:lastRenderedPageBreak/>
              <w:t>handoverLTE-5GC, handoverLTE-5GC-r17</w:t>
            </w:r>
          </w:p>
          <w:p w14:paraId="026AB7B9" w14:textId="77777777" w:rsidR="0094357C" w:rsidRDefault="00000000">
            <w:pPr>
              <w:pStyle w:val="TAL"/>
            </w:pPr>
            <w:r>
              <w:t>Indicates whether the UE supports HO to EUTRA connected to 5GC. It is mandated if the UE supports EUTRA connected to 5GC.</w:t>
            </w:r>
          </w:p>
        </w:tc>
        <w:tc>
          <w:tcPr>
            <w:tcW w:w="709" w:type="dxa"/>
          </w:tcPr>
          <w:p w14:paraId="026AB7BA" w14:textId="77777777" w:rsidR="0094357C" w:rsidRDefault="00000000">
            <w:pPr>
              <w:pStyle w:val="TAL"/>
              <w:jc w:val="center"/>
            </w:pPr>
            <w:r>
              <w:t>UE</w:t>
            </w:r>
          </w:p>
        </w:tc>
        <w:tc>
          <w:tcPr>
            <w:tcW w:w="564" w:type="dxa"/>
          </w:tcPr>
          <w:p w14:paraId="026AB7BB" w14:textId="77777777" w:rsidR="0094357C" w:rsidRDefault="00000000">
            <w:pPr>
              <w:pStyle w:val="TAL"/>
              <w:jc w:val="center"/>
            </w:pPr>
            <w:r>
              <w:t>CY</w:t>
            </w:r>
          </w:p>
        </w:tc>
        <w:tc>
          <w:tcPr>
            <w:tcW w:w="712" w:type="dxa"/>
          </w:tcPr>
          <w:p w14:paraId="026AB7BC" w14:textId="77777777" w:rsidR="0094357C" w:rsidRDefault="00000000">
            <w:pPr>
              <w:pStyle w:val="TAL"/>
              <w:jc w:val="center"/>
            </w:pPr>
            <w:r>
              <w:t>Yes</w:t>
            </w:r>
          </w:p>
        </w:tc>
        <w:tc>
          <w:tcPr>
            <w:tcW w:w="737" w:type="dxa"/>
          </w:tcPr>
          <w:p w14:paraId="026AB7BD" w14:textId="77777777" w:rsidR="0094357C" w:rsidRDefault="00000000">
            <w:pPr>
              <w:pStyle w:val="TAL"/>
              <w:jc w:val="center"/>
              <w:rPr>
                <w:rFonts w:eastAsia="MS Mincho"/>
              </w:rPr>
            </w:pPr>
            <w:r>
              <w:rPr>
                <w:rFonts w:eastAsia="MS Mincho"/>
              </w:rPr>
              <w:t>Yes</w:t>
            </w:r>
          </w:p>
          <w:p w14:paraId="026AB7BE" w14:textId="77777777" w:rsidR="0094357C" w:rsidRDefault="00000000">
            <w:pPr>
              <w:pStyle w:val="TAL"/>
              <w:jc w:val="center"/>
              <w:rPr>
                <w:rFonts w:eastAsia="MS Mincho"/>
              </w:rPr>
            </w:pPr>
            <w:r>
              <w:rPr>
                <w:rFonts w:eastAsia="MS Mincho"/>
              </w:rPr>
              <w:t>(</w:t>
            </w:r>
            <w:proofErr w:type="spellStart"/>
            <w:r>
              <w:rPr>
                <w:rFonts w:eastAsia="MS Mincho"/>
              </w:rPr>
              <w:t>Incl</w:t>
            </w:r>
            <w:proofErr w:type="spellEnd"/>
            <w:r>
              <w:rPr>
                <w:rFonts w:eastAsia="MS Mincho"/>
              </w:rPr>
              <w:t xml:space="preserve"> FR2-2 DIFF)</w:t>
            </w:r>
          </w:p>
        </w:tc>
      </w:tr>
      <w:tr w:rsidR="0094357C" w14:paraId="026AB7C6" w14:textId="77777777">
        <w:trPr>
          <w:cantSplit/>
        </w:trPr>
        <w:tc>
          <w:tcPr>
            <w:tcW w:w="6807" w:type="dxa"/>
          </w:tcPr>
          <w:p w14:paraId="026AB7C0" w14:textId="77777777" w:rsidR="0094357C" w:rsidRDefault="00000000">
            <w:pPr>
              <w:pStyle w:val="TAL"/>
              <w:rPr>
                <w:b/>
                <w:i/>
              </w:rPr>
            </w:pPr>
            <w:proofErr w:type="spellStart"/>
            <w:r>
              <w:rPr>
                <w:b/>
                <w:i/>
                <w:highlight w:val="yellow"/>
              </w:rPr>
              <w:t>handoverFDD</w:t>
            </w:r>
            <w:proofErr w:type="spellEnd"/>
            <w:r>
              <w:rPr>
                <w:b/>
                <w:i/>
                <w:highlight w:val="yellow"/>
              </w:rPr>
              <w:t>-TDD</w:t>
            </w:r>
          </w:p>
          <w:p w14:paraId="026AB7C1" w14:textId="77777777" w:rsidR="0094357C" w:rsidRDefault="00000000">
            <w:pPr>
              <w:pStyle w:val="TAL"/>
            </w:pPr>
            <w:r>
              <w:t>Indicates whether the UE supports HO between FDD and TDD. It is mandated if the UE supports both FDD and TDD. This field only applies to NR SA/NR-DC/NE-DC (</w:t>
            </w:r>
            <w:proofErr w:type="gramStart"/>
            <w:r>
              <w:t>e.g.</w:t>
            </w:r>
            <w:proofErr w:type="gramEnd"/>
            <w:r>
              <w:t xml:space="preserve"> </w:t>
            </w:r>
            <w:proofErr w:type="spellStart"/>
            <w:r>
              <w:t>PCell</w:t>
            </w:r>
            <w:proofErr w:type="spellEnd"/>
            <w:r>
              <w:t xml:space="preserve"> handover). For </w:t>
            </w:r>
            <w:proofErr w:type="spellStart"/>
            <w:r>
              <w:t>PSCell</w:t>
            </w:r>
            <w:proofErr w:type="spellEnd"/>
            <w:r>
              <w:t xml:space="preserve"> change when </w:t>
            </w:r>
            <w:r>
              <w:rPr>
                <w:szCs w:val="22"/>
              </w:rPr>
              <w:t>(NG)</w:t>
            </w:r>
            <w:r>
              <w:t xml:space="preserve">EN-DC/NR-DC is configured, this feature is mandatory supported. </w:t>
            </w:r>
            <w:r>
              <w:rPr>
                <w:lang w:eastAsia="zh-CN"/>
              </w:rPr>
              <w:t xml:space="preserve">UEs supporting this shall indicate support of </w:t>
            </w:r>
            <w:proofErr w:type="spellStart"/>
            <w:r>
              <w:rPr>
                <w:i/>
                <w:lang w:eastAsia="zh-CN"/>
              </w:rPr>
              <w:t>handoverInterF</w:t>
            </w:r>
            <w:proofErr w:type="spellEnd"/>
            <w:r>
              <w:rPr>
                <w:lang w:eastAsia="zh-CN"/>
              </w:rPr>
              <w:t xml:space="preserve"> for both FDD and TDD.</w:t>
            </w:r>
          </w:p>
        </w:tc>
        <w:tc>
          <w:tcPr>
            <w:tcW w:w="709" w:type="dxa"/>
          </w:tcPr>
          <w:p w14:paraId="026AB7C2" w14:textId="77777777" w:rsidR="0094357C" w:rsidRDefault="00000000">
            <w:pPr>
              <w:pStyle w:val="TAL"/>
              <w:jc w:val="center"/>
            </w:pPr>
            <w:r>
              <w:t>UE</w:t>
            </w:r>
          </w:p>
        </w:tc>
        <w:tc>
          <w:tcPr>
            <w:tcW w:w="564" w:type="dxa"/>
          </w:tcPr>
          <w:p w14:paraId="026AB7C3" w14:textId="77777777" w:rsidR="0094357C" w:rsidRDefault="00000000">
            <w:pPr>
              <w:pStyle w:val="TAL"/>
              <w:jc w:val="center"/>
            </w:pPr>
            <w:r>
              <w:t>Yes</w:t>
            </w:r>
          </w:p>
        </w:tc>
        <w:tc>
          <w:tcPr>
            <w:tcW w:w="712" w:type="dxa"/>
          </w:tcPr>
          <w:p w14:paraId="026AB7C4" w14:textId="77777777" w:rsidR="0094357C" w:rsidRDefault="00000000">
            <w:pPr>
              <w:pStyle w:val="TAL"/>
              <w:jc w:val="center"/>
            </w:pPr>
            <w:r>
              <w:t>No</w:t>
            </w:r>
          </w:p>
        </w:tc>
        <w:tc>
          <w:tcPr>
            <w:tcW w:w="737" w:type="dxa"/>
          </w:tcPr>
          <w:p w14:paraId="026AB7C5" w14:textId="77777777" w:rsidR="0094357C" w:rsidRDefault="00000000">
            <w:pPr>
              <w:pStyle w:val="TAL"/>
              <w:jc w:val="center"/>
              <w:rPr>
                <w:rFonts w:eastAsia="MS Mincho"/>
              </w:rPr>
            </w:pPr>
            <w:r>
              <w:rPr>
                <w:rFonts w:eastAsia="MS Mincho"/>
              </w:rPr>
              <w:t>No</w:t>
            </w:r>
          </w:p>
        </w:tc>
      </w:tr>
      <w:tr w:rsidR="0094357C" w14:paraId="026AB7CD" w14:textId="77777777">
        <w:trPr>
          <w:cantSplit/>
        </w:trPr>
        <w:tc>
          <w:tcPr>
            <w:tcW w:w="6807" w:type="dxa"/>
          </w:tcPr>
          <w:p w14:paraId="026AB7C7" w14:textId="77777777" w:rsidR="0094357C" w:rsidRDefault="00000000">
            <w:pPr>
              <w:pStyle w:val="TAL"/>
              <w:rPr>
                <w:b/>
                <w:i/>
              </w:rPr>
            </w:pPr>
            <w:r>
              <w:rPr>
                <w:b/>
                <w:i/>
                <w:highlight w:val="yellow"/>
              </w:rPr>
              <w:t>handoverFR1-FR2</w:t>
            </w:r>
          </w:p>
          <w:p w14:paraId="026AB7C8" w14:textId="77777777" w:rsidR="0094357C" w:rsidRDefault="00000000">
            <w:pPr>
              <w:pStyle w:val="TAL"/>
              <w:rPr>
                <w:b/>
                <w:i/>
              </w:rPr>
            </w:pPr>
            <w:r>
              <w:t>Indicates whether the UE supports HO between FR1 and FR2. Support is mandatory for the UE supporting both FR1 and FR2. This field only applies to NR SA/NR-DC/NE-DC (</w:t>
            </w:r>
            <w:proofErr w:type="gramStart"/>
            <w:r>
              <w:t>e.g.</w:t>
            </w:r>
            <w:proofErr w:type="gramEnd"/>
            <w:r>
              <w:t xml:space="preserve"> </w:t>
            </w:r>
            <w:proofErr w:type="spellStart"/>
            <w:r>
              <w:t>PCell</w:t>
            </w:r>
            <w:proofErr w:type="spellEnd"/>
            <w:r>
              <w:t xml:space="preserve"> handover). For </w:t>
            </w:r>
            <w:proofErr w:type="spellStart"/>
            <w:r>
              <w:t>PSCell</w:t>
            </w:r>
            <w:proofErr w:type="spellEnd"/>
            <w:r>
              <w:t xml:space="preserve"> change when (NG)EN-DC/NR-DC is configured, this feature is mandatory supported. </w:t>
            </w:r>
            <w:r>
              <w:rPr>
                <w:lang w:eastAsia="zh-CN"/>
              </w:rPr>
              <w:t xml:space="preserve">UEs supporting this shall indicate support of </w:t>
            </w:r>
            <w:proofErr w:type="spellStart"/>
            <w:r>
              <w:rPr>
                <w:i/>
                <w:lang w:eastAsia="zh-CN"/>
              </w:rPr>
              <w:t>handoverInterF</w:t>
            </w:r>
            <w:proofErr w:type="spellEnd"/>
            <w:r>
              <w:rPr>
                <w:lang w:eastAsia="zh-CN"/>
              </w:rPr>
              <w:t xml:space="preserve"> for both FR1 and FR2.</w:t>
            </w:r>
          </w:p>
        </w:tc>
        <w:tc>
          <w:tcPr>
            <w:tcW w:w="709" w:type="dxa"/>
          </w:tcPr>
          <w:p w14:paraId="026AB7C9" w14:textId="77777777" w:rsidR="0094357C" w:rsidRDefault="00000000">
            <w:pPr>
              <w:pStyle w:val="TAL"/>
              <w:jc w:val="center"/>
              <w:rPr>
                <w:rFonts w:eastAsia="Yu Mincho"/>
              </w:rPr>
            </w:pPr>
            <w:r>
              <w:rPr>
                <w:rFonts w:eastAsia="Yu Mincho"/>
              </w:rPr>
              <w:t>UE</w:t>
            </w:r>
          </w:p>
        </w:tc>
        <w:tc>
          <w:tcPr>
            <w:tcW w:w="564" w:type="dxa"/>
          </w:tcPr>
          <w:p w14:paraId="026AB7CA" w14:textId="77777777" w:rsidR="0094357C" w:rsidRDefault="00000000">
            <w:pPr>
              <w:pStyle w:val="TAL"/>
              <w:jc w:val="center"/>
              <w:rPr>
                <w:rFonts w:eastAsia="Yu Mincho"/>
              </w:rPr>
            </w:pPr>
            <w:r>
              <w:rPr>
                <w:rFonts w:eastAsia="Yu Mincho"/>
              </w:rPr>
              <w:t>Yes</w:t>
            </w:r>
          </w:p>
        </w:tc>
        <w:tc>
          <w:tcPr>
            <w:tcW w:w="712" w:type="dxa"/>
          </w:tcPr>
          <w:p w14:paraId="026AB7CB" w14:textId="77777777" w:rsidR="0094357C" w:rsidRDefault="00000000">
            <w:pPr>
              <w:pStyle w:val="TAL"/>
              <w:jc w:val="center"/>
              <w:rPr>
                <w:rFonts w:eastAsia="Yu Mincho"/>
              </w:rPr>
            </w:pPr>
            <w:r>
              <w:rPr>
                <w:rFonts w:eastAsia="Yu Mincho"/>
              </w:rPr>
              <w:t>No</w:t>
            </w:r>
          </w:p>
        </w:tc>
        <w:tc>
          <w:tcPr>
            <w:tcW w:w="737" w:type="dxa"/>
          </w:tcPr>
          <w:p w14:paraId="026AB7CC" w14:textId="77777777" w:rsidR="0094357C" w:rsidRDefault="00000000">
            <w:pPr>
              <w:pStyle w:val="TAL"/>
              <w:jc w:val="center"/>
              <w:rPr>
                <w:rFonts w:eastAsia="MS Mincho"/>
              </w:rPr>
            </w:pPr>
            <w:r>
              <w:rPr>
                <w:rFonts w:eastAsia="MS Mincho"/>
              </w:rPr>
              <w:t>No</w:t>
            </w:r>
          </w:p>
        </w:tc>
      </w:tr>
      <w:tr w:rsidR="0094357C" w14:paraId="026AB7D5" w14:textId="77777777">
        <w:trPr>
          <w:cantSplit/>
        </w:trPr>
        <w:tc>
          <w:tcPr>
            <w:tcW w:w="6807" w:type="dxa"/>
          </w:tcPr>
          <w:p w14:paraId="026AB7CE" w14:textId="77777777" w:rsidR="0094357C" w:rsidRDefault="00000000">
            <w:pPr>
              <w:pStyle w:val="TAL"/>
              <w:rPr>
                <w:b/>
                <w:i/>
              </w:rPr>
            </w:pPr>
            <w:proofErr w:type="spellStart"/>
            <w:r>
              <w:rPr>
                <w:b/>
                <w:i/>
                <w:highlight w:val="green"/>
              </w:rPr>
              <w:t>handoverInterF</w:t>
            </w:r>
            <w:proofErr w:type="spellEnd"/>
            <w:r>
              <w:rPr>
                <w:b/>
                <w:i/>
                <w:highlight w:val="green"/>
              </w:rPr>
              <w:t>, handoverInterF-r17</w:t>
            </w:r>
          </w:p>
          <w:p w14:paraId="026AB7CF" w14:textId="77777777" w:rsidR="0094357C" w:rsidRDefault="00000000">
            <w:pPr>
              <w:pStyle w:val="TAL"/>
            </w:pPr>
            <w:r>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t>e.g.</w:t>
            </w:r>
            <w:proofErr w:type="gramEnd"/>
            <w:r>
              <w:t xml:space="preserve"> </w:t>
            </w:r>
            <w:proofErr w:type="spellStart"/>
            <w:r>
              <w:t>PCell</w:t>
            </w:r>
            <w:proofErr w:type="spellEnd"/>
            <w:r>
              <w:t xml:space="preserve"> handover). For </w:t>
            </w:r>
            <w:proofErr w:type="spellStart"/>
            <w:r>
              <w:t>PSCell</w:t>
            </w:r>
            <w:proofErr w:type="spellEnd"/>
            <w:r>
              <w:t xml:space="preserve"> change when (NG)EN-DC/NR-DC is configured, this feature is mandatory supported.</w:t>
            </w:r>
          </w:p>
        </w:tc>
        <w:tc>
          <w:tcPr>
            <w:tcW w:w="709" w:type="dxa"/>
          </w:tcPr>
          <w:p w14:paraId="026AB7D0" w14:textId="77777777" w:rsidR="0094357C" w:rsidRDefault="00000000">
            <w:pPr>
              <w:pStyle w:val="TAL"/>
              <w:jc w:val="center"/>
            </w:pPr>
            <w:r>
              <w:t>UE</w:t>
            </w:r>
          </w:p>
        </w:tc>
        <w:tc>
          <w:tcPr>
            <w:tcW w:w="564" w:type="dxa"/>
          </w:tcPr>
          <w:p w14:paraId="026AB7D1" w14:textId="77777777" w:rsidR="0094357C" w:rsidRDefault="00000000">
            <w:pPr>
              <w:pStyle w:val="TAL"/>
              <w:jc w:val="center"/>
            </w:pPr>
            <w:r>
              <w:t>Yes</w:t>
            </w:r>
          </w:p>
        </w:tc>
        <w:tc>
          <w:tcPr>
            <w:tcW w:w="712" w:type="dxa"/>
          </w:tcPr>
          <w:p w14:paraId="026AB7D2" w14:textId="77777777" w:rsidR="0094357C" w:rsidRDefault="00000000">
            <w:pPr>
              <w:pStyle w:val="TAL"/>
              <w:jc w:val="center"/>
            </w:pPr>
            <w:r>
              <w:t>Yes</w:t>
            </w:r>
          </w:p>
        </w:tc>
        <w:tc>
          <w:tcPr>
            <w:tcW w:w="737" w:type="dxa"/>
          </w:tcPr>
          <w:p w14:paraId="026AB7D3" w14:textId="77777777" w:rsidR="0094357C" w:rsidRDefault="00000000">
            <w:pPr>
              <w:pStyle w:val="TAL"/>
              <w:jc w:val="center"/>
              <w:rPr>
                <w:rFonts w:eastAsia="MS Mincho"/>
              </w:rPr>
            </w:pPr>
            <w:r>
              <w:rPr>
                <w:rFonts w:eastAsia="MS Mincho"/>
              </w:rPr>
              <w:t>Yes</w:t>
            </w:r>
          </w:p>
          <w:p w14:paraId="026AB7D4" w14:textId="77777777" w:rsidR="0094357C" w:rsidRDefault="00000000">
            <w:pPr>
              <w:pStyle w:val="TAL"/>
              <w:jc w:val="center"/>
              <w:rPr>
                <w:rFonts w:eastAsia="MS Mincho"/>
              </w:rPr>
            </w:pPr>
            <w:r>
              <w:rPr>
                <w:rFonts w:eastAsia="MS Mincho"/>
              </w:rPr>
              <w:t>(</w:t>
            </w:r>
            <w:proofErr w:type="spellStart"/>
            <w:r>
              <w:rPr>
                <w:rFonts w:eastAsia="MS Mincho"/>
              </w:rPr>
              <w:t>Incl</w:t>
            </w:r>
            <w:proofErr w:type="spellEnd"/>
            <w:r>
              <w:rPr>
                <w:rFonts w:eastAsia="MS Mincho"/>
              </w:rPr>
              <w:t xml:space="preserve"> FR2-2 DIFF)</w:t>
            </w:r>
          </w:p>
        </w:tc>
      </w:tr>
      <w:tr w:rsidR="0094357C" w14:paraId="026AB7DD" w14:textId="77777777">
        <w:trPr>
          <w:cantSplit/>
        </w:trPr>
        <w:tc>
          <w:tcPr>
            <w:tcW w:w="6807" w:type="dxa"/>
          </w:tcPr>
          <w:p w14:paraId="026AB7D6" w14:textId="77777777" w:rsidR="0094357C" w:rsidRDefault="00000000">
            <w:pPr>
              <w:pStyle w:val="TAL"/>
              <w:rPr>
                <w:b/>
                <w:i/>
              </w:rPr>
            </w:pPr>
            <w:proofErr w:type="spellStart"/>
            <w:r>
              <w:rPr>
                <w:b/>
                <w:i/>
                <w:highlight w:val="magenta"/>
              </w:rPr>
              <w:t>handoverLTE</w:t>
            </w:r>
            <w:proofErr w:type="spellEnd"/>
            <w:r>
              <w:rPr>
                <w:b/>
                <w:i/>
                <w:highlight w:val="magenta"/>
              </w:rPr>
              <w:t>-EPC, handoverLTE-EPC-r17</w:t>
            </w:r>
          </w:p>
          <w:p w14:paraId="026AB7D7" w14:textId="77777777" w:rsidR="0094357C" w:rsidRDefault="00000000">
            <w:pPr>
              <w:pStyle w:val="TAL"/>
            </w:pPr>
            <w:r>
              <w:t>Indicates whether the UE supports HO to EUTRA connected to EPC. It is mandated if the UE supports EUTRA connected to EPC.</w:t>
            </w:r>
          </w:p>
        </w:tc>
        <w:tc>
          <w:tcPr>
            <w:tcW w:w="709" w:type="dxa"/>
          </w:tcPr>
          <w:p w14:paraId="026AB7D8" w14:textId="77777777" w:rsidR="0094357C" w:rsidRDefault="00000000">
            <w:pPr>
              <w:pStyle w:val="TAL"/>
              <w:jc w:val="center"/>
            </w:pPr>
            <w:r>
              <w:t>UE</w:t>
            </w:r>
          </w:p>
        </w:tc>
        <w:tc>
          <w:tcPr>
            <w:tcW w:w="564" w:type="dxa"/>
          </w:tcPr>
          <w:p w14:paraId="026AB7D9" w14:textId="77777777" w:rsidR="0094357C" w:rsidRDefault="00000000">
            <w:pPr>
              <w:pStyle w:val="TAL"/>
              <w:jc w:val="center"/>
            </w:pPr>
            <w:r>
              <w:t>CY</w:t>
            </w:r>
          </w:p>
        </w:tc>
        <w:tc>
          <w:tcPr>
            <w:tcW w:w="712" w:type="dxa"/>
          </w:tcPr>
          <w:p w14:paraId="026AB7DA" w14:textId="77777777" w:rsidR="0094357C" w:rsidRDefault="00000000">
            <w:pPr>
              <w:pStyle w:val="TAL"/>
              <w:jc w:val="center"/>
            </w:pPr>
            <w:r>
              <w:t>Yes</w:t>
            </w:r>
          </w:p>
        </w:tc>
        <w:tc>
          <w:tcPr>
            <w:tcW w:w="737" w:type="dxa"/>
          </w:tcPr>
          <w:p w14:paraId="026AB7DB" w14:textId="77777777" w:rsidR="0094357C" w:rsidRDefault="00000000">
            <w:pPr>
              <w:pStyle w:val="TAL"/>
              <w:jc w:val="center"/>
              <w:rPr>
                <w:rFonts w:eastAsia="MS Mincho"/>
              </w:rPr>
            </w:pPr>
            <w:r>
              <w:rPr>
                <w:rFonts w:eastAsia="MS Mincho"/>
              </w:rPr>
              <w:t>Yes</w:t>
            </w:r>
          </w:p>
          <w:p w14:paraId="026AB7DC" w14:textId="77777777" w:rsidR="0094357C" w:rsidRDefault="00000000">
            <w:pPr>
              <w:pStyle w:val="TAL"/>
              <w:jc w:val="center"/>
              <w:rPr>
                <w:rFonts w:eastAsia="MS Mincho"/>
              </w:rPr>
            </w:pPr>
            <w:r>
              <w:rPr>
                <w:rFonts w:eastAsia="MS Mincho"/>
              </w:rPr>
              <w:t>(</w:t>
            </w:r>
            <w:proofErr w:type="spellStart"/>
            <w:r>
              <w:rPr>
                <w:rFonts w:eastAsia="MS Mincho"/>
              </w:rPr>
              <w:t>Incl</w:t>
            </w:r>
            <w:proofErr w:type="spellEnd"/>
            <w:r>
              <w:rPr>
                <w:rFonts w:eastAsia="MS Mincho"/>
              </w:rPr>
              <w:t xml:space="preserve"> FR2-2 DIFF)</w:t>
            </w:r>
          </w:p>
        </w:tc>
      </w:tr>
      <w:tr w:rsidR="0094357C" w14:paraId="026AB7E4" w14:textId="77777777">
        <w:trPr>
          <w:cantSplit/>
        </w:trPr>
        <w:tc>
          <w:tcPr>
            <w:tcW w:w="6807" w:type="dxa"/>
          </w:tcPr>
          <w:p w14:paraId="026AB7DE" w14:textId="77777777" w:rsidR="0094357C" w:rsidRDefault="00000000">
            <w:pPr>
              <w:pStyle w:val="TAL"/>
              <w:rPr>
                <w:rFonts w:cs="Arial"/>
                <w:b/>
                <w:bCs/>
                <w:i/>
                <w:iCs/>
                <w:szCs w:val="18"/>
              </w:rPr>
            </w:pPr>
            <w:proofErr w:type="spellStart"/>
            <w:r>
              <w:rPr>
                <w:rFonts w:cs="Arial"/>
                <w:b/>
                <w:bCs/>
                <w:i/>
                <w:iCs/>
                <w:szCs w:val="18"/>
                <w:highlight w:val="green"/>
              </w:rPr>
              <w:t>intraAndInterF-MeasAndReport</w:t>
            </w:r>
            <w:proofErr w:type="spellEnd"/>
          </w:p>
          <w:p w14:paraId="026AB7DF" w14:textId="77777777" w:rsidR="0094357C" w:rsidRDefault="00000000">
            <w:pPr>
              <w:pStyle w:val="TAL"/>
              <w:rPr>
                <w:rFonts w:cs="Arial"/>
                <w:b/>
                <w:bCs/>
                <w:i/>
                <w:iCs/>
                <w:szCs w:val="18"/>
              </w:rPr>
            </w:pPr>
            <w:r>
              <w:rPr>
                <w:rFonts w:cs="Arial"/>
                <w:bCs/>
                <w:iCs/>
                <w:szCs w:val="18"/>
              </w:rPr>
              <w:t xml:space="preserve">Indicates whether the UE supports NR intra-frequency and inter-frequency measurements and at least periodical reporting. </w:t>
            </w:r>
            <w:r>
              <w:t xml:space="preserve">This field only applies to SN configured measurement when (NG)EN-DC is configured. For NR SA, </w:t>
            </w:r>
            <w:proofErr w:type="gramStart"/>
            <w:r>
              <w:t>MN</w:t>
            </w:r>
            <w:proofErr w:type="gramEnd"/>
            <w:r>
              <w:t xml:space="preserve"> and SN configured measurement when NR-DC is configured, and MN configured measurement when NE-DC is configured, this feature is mandatory supported.</w:t>
            </w:r>
          </w:p>
        </w:tc>
        <w:tc>
          <w:tcPr>
            <w:tcW w:w="709" w:type="dxa"/>
          </w:tcPr>
          <w:p w14:paraId="026AB7E0" w14:textId="77777777" w:rsidR="0094357C" w:rsidRDefault="00000000">
            <w:pPr>
              <w:pStyle w:val="TAL"/>
              <w:jc w:val="center"/>
              <w:rPr>
                <w:rFonts w:cs="Arial"/>
                <w:bCs/>
                <w:iCs/>
                <w:szCs w:val="18"/>
              </w:rPr>
            </w:pPr>
            <w:r>
              <w:rPr>
                <w:rFonts w:cs="Arial"/>
                <w:bCs/>
                <w:iCs/>
                <w:szCs w:val="18"/>
              </w:rPr>
              <w:t>UE</w:t>
            </w:r>
          </w:p>
        </w:tc>
        <w:tc>
          <w:tcPr>
            <w:tcW w:w="564" w:type="dxa"/>
          </w:tcPr>
          <w:p w14:paraId="026AB7E1" w14:textId="77777777" w:rsidR="0094357C" w:rsidRDefault="00000000">
            <w:pPr>
              <w:pStyle w:val="TAL"/>
              <w:jc w:val="center"/>
              <w:rPr>
                <w:rFonts w:cs="Arial"/>
                <w:bCs/>
                <w:iCs/>
                <w:szCs w:val="18"/>
              </w:rPr>
            </w:pPr>
            <w:r>
              <w:rPr>
                <w:rFonts w:cs="Arial"/>
                <w:bCs/>
                <w:iCs/>
                <w:szCs w:val="18"/>
              </w:rPr>
              <w:t>Yes</w:t>
            </w:r>
          </w:p>
        </w:tc>
        <w:tc>
          <w:tcPr>
            <w:tcW w:w="712" w:type="dxa"/>
          </w:tcPr>
          <w:p w14:paraId="026AB7E2" w14:textId="77777777" w:rsidR="0094357C" w:rsidRDefault="00000000">
            <w:pPr>
              <w:pStyle w:val="TAL"/>
              <w:jc w:val="center"/>
              <w:rPr>
                <w:rFonts w:cs="Arial"/>
                <w:bCs/>
                <w:iCs/>
                <w:szCs w:val="18"/>
              </w:rPr>
            </w:pPr>
            <w:r>
              <w:rPr>
                <w:rFonts w:cs="Arial"/>
                <w:bCs/>
                <w:iCs/>
                <w:szCs w:val="18"/>
              </w:rPr>
              <w:t>Yes</w:t>
            </w:r>
          </w:p>
        </w:tc>
        <w:tc>
          <w:tcPr>
            <w:tcW w:w="737" w:type="dxa"/>
          </w:tcPr>
          <w:p w14:paraId="026AB7E3" w14:textId="77777777" w:rsidR="0094357C" w:rsidRDefault="00000000">
            <w:pPr>
              <w:pStyle w:val="TAL"/>
              <w:jc w:val="center"/>
              <w:rPr>
                <w:rFonts w:eastAsia="MS Mincho" w:cs="Arial"/>
                <w:bCs/>
                <w:iCs/>
                <w:szCs w:val="18"/>
              </w:rPr>
            </w:pPr>
            <w:r>
              <w:rPr>
                <w:rFonts w:eastAsia="MS Mincho" w:cs="Arial"/>
                <w:bCs/>
                <w:iCs/>
                <w:szCs w:val="18"/>
              </w:rPr>
              <w:t>No</w:t>
            </w:r>
          </w:p>
        </w:tc>
      </w:tr>
      <w:tr w:rsidR="0094357C" w14:paraId="026AB7E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6AB7E5" w14:textId="77777777" w:rsidR="0094357C" w:rsidRDefault="00000000">
            <w:pPr>
              <w:pStyle w:val="TAL"/>
              <w:rPr>
                <w:b/>
                <w:bCs/>
                <w:i/>
                <w:iCs/>
              </w:rPr>
            </w:pPr>
            <w:r>
              <w:rPr>
                <w:b/>
                <w:bCs/>
                <w:i/>
                <w:iCs/>
                <w:highlight w:val="magenta"/>
              </w:rPr>
              <w:t>interSatMeas-r17</w:t>
            </w:r>
          </w:p>
          <w:p w14:paraId="026AB7E6" w14:textId="77777777" w:rsidR="0094357C" w:rsidRDefault="00000000">
            <w:pPr>
              <w:pStyle w:val="TAL"/>
            </w:pPr>
            <w:r>
              <w:t xml:space="preserve">Indicates whether the UE supports inter-satellite measurement as specified in TS 38.331 [9]. It is mandatory if the UE supports </w:t>
            </w:r>
            <w:r>
              <w:rPr>
                <w:i/>
                <w:iCs/>
              </w:rPr>
              <w:t>nonTerrestrialNetwork-r17</w:t>
            </w:r>
            <w:r>
              <w:t>.</w:t>
            </w:r>
          </w:p>
        </w:tc>
        <w:tc>
          <w:tcPr>
            <w:tcW w:w="709" w:type="dxa"/>
            <w:tcBorders>
              <w:top w:val="single" w:sz="4" w:space="0" w:color="808080"/>
              <w:left w:val="single" w:sz="4" w:space="0" w:color="808080"/>
              <w:bottom w:val="single" w:sz="4" w:space="0" w:color="808080"/>
              <w:right w:val="single" w:sz="4" w:space="0" w:color="808080"/>
            </w:tcBorders>
          </w:tcPr>
          <w:p w14:paraId="026AB7E7" w14:textId="77777777" w:rsidR="0094357C" w:rsidRDefault="00000000">
            <w:pPr>
              <w:pStyle w:val="TAL"/>
              <w:jc w:val="center"/>
            </w:pPr>
            <w:r>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026AB7E8" w14:textId="77777777" w:rsidR="0094357C" w:rsidRDefault="00000000">
            <w:pPr>
              <w:pStyle w:val="TAL"/>
              <w:jc w:val="center"/>
            </w:pPr>
            <w:r>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026AB7E9" w14:textId="77777777" w:rsidR="0094357C" w:rsidRDefault="00000000">
            <w:pPr>
              <w:pStyle w:val="TAL"/>
              <w:jc w:val="center"/>
            </w:pPr>
            <w:r>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026AB7EA" w14:textId="77777777" w:rsidR="0094357C" w:rsidRDefault="00000000">
            <w:pPr>
              <w:pStyle w:val="TAL"/>
              <w:jc w:val="center"/>
              <w:rPr>
                <w:rFonts w:eastAsia="MS Mincho"/>
              </w:rPr>
            </w:pPr>
            <w:r>
              <w:rPr>
                <w:rFonts w:eastAsia="PMingLiU"/>
                <w:lang w:eastAsia="zh-TW"/>
              </w:rPr>
              <w:t>No</w:t>
            </w:r>
          </w:p>
        </w:tc>
      </w:tr>
      <w:tr w:rsidR="0094357C" w14:paraId="026AB7F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6AB7EC" w14:textId="77777777" w:rsidR="0094357C" w:rsidRDefault="00000000">
            <w:pPr>
              <w:keepNext/>
              <w:keepLines/>
              <w:spacing w:after="0"/>
              <w:rPr>
                <w:rFonts w:ascii="Arial" w:hAnsi="Arial" w:cs="Arial"/>
                <w:b/>
                <w:bCs/>
                <w:i/>
                <w:iCs/>
                <w:sz w:val="18"/>
                <w:szCs w:val="18"/>
              </w:rPr>
            </w:pPr>
            <w:proofErr w:type="spellStart"/>
            <w:r>
              <w:rPr>
                <w:rFonts w:ascii="Arial" w:hAnsi="Arial" w:cs="Arial"/>
                <w:b/>
                <w:bCs/>
                <w:i/>
                <w:iCs/>
                <w:sz w:val="18"/>
                <w:szCs w:val="18"/>
                <w:highlight w:val="magenta"/>
              </w:rPr>
              <w:t>periodicEUTRA-MeasAndReport</w:t>
            </w:r>
            <w:proofErr w:type="spellEnd"/>
          </w:p>
          <w:p w14:paraId="026AB7ED" w14:textId="77777777" w:rsidR="0094357C" w:rsidRDefault="00000000">
            <w:pPr>
              <w:pStyle w:val="TAL"/>
              <w:rPr>
                <w:rFonts w:cs="Arial"/>
                <w:b/>
                <w:bCs/>
                <w:i/>
                <w:iCs/>
                <w:szCs w:val="18"/>
              </w:rPr>
            </w:pPr>
            <w:r>
              <w:rPr>
                <w:rFonts w:cs="Arial"/>
                <w:bCs/>
                <w:iCs/>
                <w:szCs w:val="18"/>
              </w:rPr>
              <w:t xml:space="preserve">Indicates whether the UE supports periodic EUTRA measurement and reporting. </w:t>
            </w:r>
            <w:r>
              <w:t>It is mandated if the UE supports EUTRA</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026AB7EE" w14:textId="77777777" w:rsidR="0094357C" w:rsidRDefault="0000000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6AB7EF" w14:textId="77777777" w:rsidR="0094357C" w:rsidRDefault="00000000">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26AB7F0" w14:textId="77777777" w:rsidR="0094357C" w:rsidRDefault="00000000">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6AB7F1" w14:textId="77777777" w:rsidR="0094357C" w:rsidRDefault="00000000">
            <w:pPr>
              <w:pStyle w:val="TAL"/>
              <w:jc w:val="center"/>
              <w:rPr>
                <w:rFonts w:eastAsia="MS Mincho" w:cs="Arial"/>
                <w:bCs/>
                <w:iCs/>
                <w:szCs w:val="18"/>
              </w:rPr>
            </w:pPr>
            <w:r>
              <w:rPr>
                <w:rFonts w:eastAsia="MS Mincho" w:cs="Arial"/>
                <w:bCs/>
                <w:iCs/>
                <w:szCs w:val="18"/>
              </w:rPr>
              <w:t>No</w:t>
            </w:r>
          </w:p>
        </w:tc>
      </w:tr>
      <w:tr w:rsidR="0094357C" w14:paraId="026AB7F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6AB7F3" w14:textId="77777777" w:rsidR="0094357C" w:rsidRDefault="00000000">
            <w:pPr>
              <w:pStyle w:val="TAL"/>
              <w:rPr>
                <w:b/>
                <w:bCs/>
                <w:i/>
                <w:iCs/>
              </w:rPr>
            </w:pPr>
            <w:r>
              <w:rPr>
                <w:b/>
                <w:bCs/>
                <w:i/>
                <w:iCs/>
                <w:highlight w:val="lightGray"/>
              </w:rPr>
              <w:t>maxNumberCLI-RSSI-r16</w:t>
            </w:r>
          </w:p>
          <w:p w14:paraId="026AB7F4" w14:textId="77777777" w:rsidR="0094357C" w:rsidRDefault="00000000">
            <w:pPr>
              <w:pStyle w:val="TAL"/>
            </w:pPr>
            <w:r>
              <w:t xml:space="preserve">Defines the maximum number of CLI-RSSI measurement resources for CLI RSSI measurement. </w:t>
            </w:r>
            <w:r>
              <w:rPr>
                <w:rFonts w:eastAsia="MS PGothic"/>
              </w:rPr>
              <w:t xml:space="preserve">If the UE supports </w:t>
            </w:r>
            <w:r>
              <w:rPr>
                <w:rFonts w:eastAsia="MS PGothic"/>
                <w:i/>
                <w:iCs/>
              </w:rPr>
              <w:t>cli-RSSI-Meas-r16</w:t>
            </w:r>
            <w:r>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026AB7F5" w14:textId="77777777" w:rsidR="0094357C" w:rsidRDefault="0000000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6AB7F6" w14:textId="77777777" w:rsidR="0094357C" w:rsidRDefault="00000000">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26AB7F7" w14:textId="77777777" w:rsidR="0094357C" w:rsidRDefault="00000000">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26AB7F8" w14:textId="77777777" w:rsidR="0094357C" w:rsidRDefault="00000000">
            <w:pPr>
              <w:pStyle w:val="TAL"/>
              <w:jc w:val="center"/>
              <w:rPr>
                <w:rFonts w:eastAsia="MS Mincho" w:cs="Arial"/>
                <w:bCs/>
                <w:iCs/>
                <w:szCs w:val="18"/>
              </w:rPr>
            </w:pPr>
            <w:r>
              <w:rPr>
                <w:rFonts w:eastAsia="MS Mincho" w:cs="Arial"/>
                <w:bCs/>
                <w:iCs/>
                <w:szCs w:val="18"/>
              </w:rPr>
              <w:t>No</w:t>
            </w:r>
          </w:p>
        </w:tc>
      </w:tr>
      <w:tr w:rsidR="0094357C" w14:paraId="026AB80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6AB7FA" w14:textId="77777777" w:rsidR="0094357C" w:rsidRDefault="00000000">
            <w:pPr>
              <w:pStyle w:val="TAL"/>
              <w:rPr>
                <w:b/>
                <w:bCs/>
                <w:i/>
                <w:iCs/>
              </w:rPr>
            </w:pPr>
            <w:r>
              <w:rPr>
                <w:b/>
                <w:bCs/>
                <w:i/>
                <w:iCs/>
                <w:highlight w:val="lightGray"/>
              </w:rPr>
              <w:t>maxNumberCLI-SRS-RSRP-r16</w:t>
            </w:r>
          </w:p>
          <w:p w14:paraId="026AB7FB" w14:textId="77777777" w:rsidR="0094357C" w:rsidRDefault="00000000">
            <w:pPr>
              <w:pStyle w:val="TAL"/>
              <w:rPr>
                <w:rFonts w:eastAsia="MS PGothic"/>
              </w:rPr>
            </w:pPr>
            <w:r>
              <w:t xml:space="preserve">Defines the maximum number of SRS-RSRP measurement resources for SRS-RSRP measurement. </w:t>
            </w:r>
            <w:r>
              <w:rPr>
                <w:rFonts w:eastAsia="MS PGothic"/>
              </w:rPr>
              <w:t xml:space="preserve">If the UE supports </w:t>
            </w:r>
            <w:r>
              <w:rPr>
                <w:rFonts w:eastAsia="MS PGothic"/>
                <w:i/>
                <w:iCs/>
              </w:rPr>
              <w:t>cli-SRS-RSRP-Meas-r16</w:t>
            </w:r>
            <w:r>
              <w:rPr>
                <w:rFonts w:eastAsia="MS PGothic"/>
              </w:rPr>
              <w:t>, the UE shall report this capability.</w:t>
            </w:r>
          </w:p>
          <w:p w14:paraId="026AB7FC" w14:textId="77777777" w:rsidR="0094357C" w:rsidRDefault="0094357C">
            <w:pPr>
              <w:pStyle w:val="TAL"/>
              <w:rPr>
                <w:rFonts w:eastAsia="MS PGothic"/>
              </w:rPr>
            </w:pPr>
          </w:p>
          <w:p w14:paraId="026AB7FD" w14:textId="77777777" w:rsidR="0094357C" w:rsidRDefault="00000000">
            <w:pPr>
              <w:pStyle w:val="TAN"/>
              <w:rPr>
                <w:rFonts w:eastAsia="MS PGothic"/>
              </w:rPr>
            </w:pPr>
            <w:r>
              <w:rPr>
                <w:rFonts w:eastAsia="MS PGothic"/>
              </w:rPr>
              <w:t>NOTE 1:</w:t>
            </w:r>
            <w:r>
              <w:rPr>
                <w:rFonts w:eastAsia="MS PGothic"/>
              </w:rPr>
              <w:tab/>
              <w:t>A slot is based on minimum SCS among active BWPs across all CCs configured for SRS-RSRP measurement.</w:t>
            </w:r>
          </w:p>
          <w:p w14:paraId="026AB7FE" w14:textId="77777777" w:rsidR="0094357C" w:rsidRDefault="00000000">
            <w:pPr>
              <w:pStyle w:val="TAN"/>
              <w:rPr>
                <w:rFonts w:eastAsia="MS PGothic"/>
              </w:rPr>
            </w:pPr>
            <w:r>
              <w:rPr>
                <w:rFonts w:eastAsia="MS PGothic"/>
              </w:rPr>
              <w:t>NOTE 2:</w:t>
            </w:r>
            <w:r>
              <w:rPr>
                <w:rFonts w:eastAsia="MS PGothic"/>
              </w:rPr>
              <w:tab/>
            </w:r>
            <w:proofErr w:type="gramStart"/>
            <w:r>
              <w:rPr>
                <w:rFonts w:eastAsia="MS PGothic"/>
              </w:rPr>
              <w:t>A</w:t>
            </w:r>
            <w:proofErr w:type="gramEnd"/>
            <w:r>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AB7FF" w14:textId="77777777" w:rsidR="0094357C" w:rsidRDefault="0000000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6AB800" w14:textId="77777777" w:rsidR="0094357C" w:rsidRDefault="00000000">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26AB801" w14:textId="77777777" w:rsidR="0094357C" w:rsidRDefault="00000000">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26AB802" w14:textId="77777777" w:rsidR="0094357C" w:rsidRDefault="00000000">
            <w:pPr>
              <w:pStyle w:val="TAL"/>
              <w:jc w:val="center"/>
              <w:rPr>
                <w:rFonts w:eastAsia="MS Mincho" w:cs="Arial"/>
                <w:bCs/>
                <w:iCs/>
                <w:szCs w:val="18"/>
              </w:rPr>
            </w:pPr>
            <w:r>
              <w:rPr>
                <w:rFonts w:eastAsia="MS Mincho" w:cs="Arial"/>
                <w:bCs/>
                <w:iCs/>
                <w:szCs w:val="18"/>
              </w:rPr>
              <w:t>No</w:t>
            </w:r>
          </w:p>
        </w:tc>
      </w:tr>
      <w:tr w:rsidR="0094357C" w14:paraId="026AB80C" w14:textId="77777777">
        <w:trPr>
          <w:cantSplit/>
        </w:trPr>
        <w:tc>
          <w:tcPr>
            <w:tcW w:w="6807" w:type="dxa"/>
          </w:tcPr>
          <w:p w14:paraId="026AB804" w14:textId="77777777" w:rsidR="0094357C" w:rsidRDefault="00000000">
            <w:pPr>
              <w:pStyle w:val="TAL"/>
              <w:rPr>
                <w:b/>
                <w:i/>
              </w:rPr>
            </w:pPr>
            <w:proofErr w:type="spellStart"/>
            <w:r>
              <w:rPr>
                <w:b/>
                <w:i/>
                <w:highlight w:val="lightGray"/>
              </w:rPr>
              <w:t>maxNumberCSI</w:t>
            </w:r>
            <w:proofErr w:type="spellEnd"/>
            <w:r>
              <w:rPr>
                <w:b/>
                <w:i/>
                <w:highlight w:val="lightGray"/>
              </w:rPr>
              <w:t>-RS-RRM-RS-SINR</w:t>
            </w:r>
          </w:p>
          <w:p w14:paraId="026AB805" w14:textId="77777777" w:rsidR="0094357C" w:rsidRDefault="00000000">
            <w:pPr>
              <w:pStyle w:val="TAL"/>
            </w:pPr>
            <w:r>
              <w:t xml:space="preserve">Defines the maximum number of CSI-RS resources for RRM and RS-SINR measurement across all measurement frequencies per slot. If UE supports any of </w:t>
            </w:r>
            <w:proofErr w:type="spellStart"/>
            <w:r>
              <w:rPr>
                <w:i/>
              </w:rPr>
              <w:t>csi</w:t>
            </w:r>
            <w:proofErr w:type="spellEnd"/>
            <w:r>
              <w:rPr>
                <w:i/>
              </w:rPr>
              <w:t>-RSRP-</w:t>
            </w:r>
            <w:proofErr w:type="spellStart"/>
            <w:r>
              <w:rPr>
                <w:i/>
              </w:rPr>
              <w:t>AndRSRQ</w:t>
            </w:r>
            <w:proofErr w:type="spellEnd"/>
            <w:r>
              <w:rPr>
                <w:i/>
              </w:rPr>
              <w:t>-</w:t>
            </w:r>
            <w:proofErr w:type="spellStart"/>
            <w:r>
              <w:rPr>
                <w:i/>
              </w:rPr>
              <w:t>MeasWithSSB</w:t>
            </w:r>
            <w:proofErr w:type="spellEnd"/>
            <w:r>
              <w:t xml:space="preserve">, </w:t>
            </w:r>
            <w:proofErr w:type="spellStart"/>
            <w:r>
              <w:rPr>
                <w:i/>
              </w:rPr>
              <w:t>csi</w:t>
            </w:r>
            <w:proofErr w:type="spellEnd"/>
            <w:r>
              <w:rPr>
                <w:i/>
              </w:rPr>
              <w:t>-RSRP-</w:t>
            </w:r>
            <w:proofErr w:type="spellStart"/>
            <w:r>
              <w:rPr>
                <w:i/>
              </w:rPr>
              <w:t>AndRSRQ</w:t>
            </w:r>
            <w:proofErr w:type="spellEnd"/>
            <w:r>
              <w:rPr>
                <w:i/>
              </w:rPr>
              <w:t>-</w:t>
            </w:r>
            <w:proofErr w:type="spellStart"/>
            <w:r>
              <w:rPr>
                <w:i/>
              </w:rPr>
              <w:t>MeasWithoutSSB</w:t>
            </w:r>
            <w:proofErr w:type="spellEnd"/>
            <w:r>
              <w:t xml:space="preserve">, and </w:t>
            </w:r>
            <w:proofErr w:type="spellStart"/>
            <w:r>
              <w:rPr>
                <w:i/>
              </w:rPr>
              <w:t>csi</w:t>
            </w:r>
            <w:proofErr w:type="spellEnd"/>
            <w:r>
              <w:rPr>
                <w:i/>
              </w:rPr>
              <w:t>-SINR-</w:t>
            </w:r>
            <w:proofErr w:type="spellStart"/>
            <w:r>
              <w:rPr>
                <w:i/>
              </w:rPr>
              <w:t>Meas</w:t>
            </w:r>
            <w:proofErr w:type="spellEnd"/>
            <w:r>
              <w:t>, UE shall report this capability.</w:t>
            </w:r>
          </w:p>
          <w:p w14:paraId="026AB806" w14:textId="77777777" w:rsidR="0094357C" w:rsidRDefault="0094357C">
            <w:pPr>
              <w:pStyle w:val="TAL"/>
            </w:pPr>
          </w:p>
          <w:p w14:paraId="026AB807" w14:textId="77777777" w:rsidR="0094357C" w:rsidRDefault="00000000">
            <w:pPr>
              <w:pStyle w:val="TAN"/>
              <w:rPr>
                <w:rFonts w:eastAsia="MS PGothic"/>
              </w:rPr>
            </w:pPr>
            <w:r>
              <w:rPr>
                <w:rFonts w:eastAsia="MS PGothic"/>
              </w:rPr>
              <w:t>NOTE:</w:t>
            </w:r>
            <w:r>
              <w:rPr>
                <w:rFonts w:eastAsia="MS PGothic"/>
              </w:rPr>
              <w:tab/>
              <w:t xml:space="preserve">A slot is based on minimum SCS among all measurement frequencies configured for </w:t>
            </w:r>
            <w:r>
              <w:t>RRM and RS-SINR measurement</w:t>
            </w:r>
            <w:r>
              <w:rPr>
                <w:rFonts w:eastAsia="MS PGothic"/>
              </w:rPr>
              <w:t>.</w:t>
            </w:r>
          </w:p>
        </w:tc>
        <w:tc>
          <w:tcPr>
            <w:tcW w:w="709" w:type="dxa"/>
          </w:tcPr>
          <w:p w14:paraId="026AB808" w14:textId="77777777" w:rsidR="0094357C" w:rsidRDefault="00000000">
            <w:pPr>
              <w:pStyle w:val="TAL"/>
              <w:jc w:val="center"/>
            </w:pPr>
            <w:r>
              <w:t>UE</w:t>
            </w:r>
          </w:p>
        </w:tc>
        <w:tc>
          <w:tcPr>
            <w:tcW w:w="564" w:type="dxa"/>
          </w:tcPr>
          <w:p w14:paraId="026AB809" w14:textId="77777777" w:rsidR="0094357C" w:rsidRDefault="00000000">
            <w:pPr>
              <w:pStyle w:val="TAL"/>
              <w:jc w:val="center"/>
            </w:pPr>
            <w:r>
              <w:t>CY</w:t>
            </w:r>
          </w:p>
        </w:tc>
        <w:tc>
          <w:tcPr>
            <w:tcW w:w="712" w:type="dxa"/>
          </w:tcPr>
          <w:p w14:paraId="026AB80A" w14:textId="77777777" w:rsidR="0094357C" w:rsidRDefault="00000000">
            <w:pPr>
              <w:pStyle w:val="TAL"/>
              <w:jc w:val="center"/>
            </w:pPr>
            <w:r>
              <w:t>No</w:t>
            </w:r>
          </w:p>
        </w:tc>
        <w:tc>
          <w:tcPr>
            <w:tcW w:w="737" w:type="dxa"/>
          </w:tcPr>
          <w:p w14:paraId="026AB80B" w14:textId="77777777" w:rsidR="0094357C" w:rsidRDefault="00000000">
            <w:pPr>
              <w:pStyle w:val="TAL"/>
              <w:jc w:val="center"/>
              <w:rPr>
                <w:rFonts w:eastAsia="MS Mincho"/>
              </w:rPr>
            </w:pPr>
            <w:r>
              <w:rPr>
                <w:rFonts w:eastAsia="MS Mincho"/>
              </w:rPr>
              <w:t>No</w:t>
            </w:r>
          </w:p>
        </w:tc>
      </w:tr>
      <w:tr w:rsidR="0094357C" w14:paraId="026AB813" w14:textId="77777777">
        <w:trPr>
          <w:cantSplit/>
        </w:trPr>
        <w:tc>
          <w:tcPr>
            <w:tcW w:w="6807" w:type="dxa"/>
          </w:tcPr>
          <w:p w14:paraId="026AB80D" w14:textId="77777777" w:rsidR="0094357C" w:rsidRDefault="00000000">
            <w:pPr>
              <w:pStyle w:val="TAL"/>
              <w:rPr>
                <w:rFonts w:cs="Arial"/>
                <w:b/>
                <w:bCs/>
                <w:i/>
                <w:iCs/>
                <w:szCs w:val="18"/>
              </w:rPr>
            </w:pPr>
            <w:r>
              <w:rPr>
                <w:rFonts w:cs="Arial"/>
                <w:b/>
                <w:bCs/>
                <w:i/>
                <w:iCs/>
                <w:szCs w:val="18"/>
                <w:highlight w:val="lightGray"/>
              </w:rPr>
              <w:t>maxNumberPerSlotCLI-SRS-RSRP-r16</w:t>
            </w:r>
          </w:p>
          <w:p w14:paraId="026AB80E" w14:textId="77777777" w:rsidR="0094357C" w:rsidRDefault="00000000">
            <w:pPr>
              <w:pStyle w:val="TAL"/>
              <w:rPr>
                <w:b/>
                <w:i/>
              </w:rPr>
            </w:pPr>
            <w:r>
              <w:rPr>
                <w:rFonts w:cs="Arial"/>
                <w:bCs/>
                <w:iCs/>
                <w:szCs w:val="18"/>
              </w:rPr>
              <w:t xml:space="preserve">Defines the maximum number of SRS-RSRP measurement resources per slot for SRS-RSRP measurement.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p>
        </w:tc>
        <w:tc>
          <w:tcPr>
            <w:tcW w:w="709" w:type="dxa"/>
          </w:tcPr>
          <w:p w14:paraId="026AB80F" w14:textId="77777777" w:rsidR="0094357C" w:rsidRDefault="00000000">
            <w:pPr>
              <w:pStyle w:val="TAL"/>
              <w:jc w:val="center"/>
            </w:pPr>
            <w:r>
              <w:rPr>
                <w:rFonts w:cs="Arial"/>
                <w:bCs/>
                <w:iCs/>
                <w:szCs w:val="18"/>
              </w:rPr>
              <w:t>UE</w:t>
            </w:r>
          </w:p>
        </w:tc>
        <w:tc>
          <w:tcPr>
            <w:tcW w:w="564" w:type="dxa"/>
          </w:tcPr>
          <w:p w14:paraId="026AB810" w14:textId="77777777" w:rsidR="0094357C" w:rsidRDefault="00000000">
            <w:pPr>
              <w:pStyle w:val="TAL"/>
              <w:jc w:val="center"/>
            </w:pPr>
            <w:r>
              <w:rPr>
                <w:rFonts w:cs="Arial"/>
                <w:bCs/>
                <w:iCs/>
                <w:szCs w:val="18"/>
              </w:rPr>
              <w:t>CY</w:t>
            </w:r>
          </w:p>
        </w:tc>
        <w:tc>
          <w:tcPr>
            <w:tcW w:w="712" w:type="dxa"/>
          </w:tcPr>
          <w:p w14:paraId="026AB811" w14:textId="77777777" w:rsidR="0094357C" w:rsidRDefault="00000000">
            <w:pPr>
              <w:pStyle w:val="TAL"/>
              <w:jc w:val="center"/>
            </w:pPr>
            <w:r>
              <w:rPr>
                <w:rFonts w:cs="Arial"/>
                <w:bCs/>
                <w:iCs/>
                <w:szCs w:val="18"/>
              </w:rPr>
              <w:t>TDD only</w:t>
            </w:r>
          </w:p>
        </w:tc>
        <w:tc>
          <w:tcPr>
            <w:tcW w:w="737" w:type="dxa"/>
          </w:tcPr>
          <w:p w14:paraId="026AB812" w14:textId="77777777" w:rsidR="0094357C" w:rsidRDefault="00000000">
            <w:pPr>
              <w:pStyle w:val="TAL"/>
              <w:jc w:val="center"/>
              <w:rPr>
                <w:rFonts w:eastAsia="MS Mincho"/>
              </w:rPr>
            </w:pPr>
            <w:r>
              <w:rPr>
                <w:rFonts w:eastAsia="MS Mincho" w:cs="Arial"/>
                <w:bCs/>
                <w:iCs/>
                <w:szCs w:val="18"/>
              </w:rPr>
              <w:t>No</w:t>
            </w:r>
          </w:p>
        </w:tc>
      </w:tr>
      <w:tr w:rsidR="0094357C" w14:paraId="026AB81A" w14:textId="77777777">
        <w:trPr>
          <w:cantSplit/>
        </w:trPr>
        <w:tc>
          <w:tcPr>
            <w:tcW w:w="6807" w:type="dxa"/>
          </w:tcPr>
          <w:p w14:paraId="026AB814" w14:textId="77777777" w:rsidR="0094357C" w:rsidRDefault="00000000">
            <w:pPr>
              <w:pStyle w:val="TAL"/>
              <w:rPr>
                <w:b/>
                <w:i/>
              </w:rPr>
            </w:pPr>
            <w:proofErr w:type="spellStart"/>
            <w:r>
              <w:rPr>
                <w:b/>
                <w:i/>
                <w:highlight w:val="yellow"/>
              </w:rPr>
              <w:lastRenderedPageBreak/>
              <w:t>maxNumberResource</w:t>
            </w:r>
            <w:proofErr w:type="spellEnd"/>
            <w:r>
              <w:rPr>
                <w:b/>
                <w:i/>
                <w:highlight w:val="yellow"/>
              </w:rPr>
              <w:t>-CSI-RS-RLM</w:t>
            </w:r>
          </w:p>
          <w:p w14:paraId="026AB815" w14:textId="77777777" w:rsidR="0094357C" w:rsidRDefault="00000000">
            <w:pPr>
              <w:pStyle w:val="TAL"/>
            </w:pPr>
            <w:r>
              <w:t xml:space="preserve">Defines the maximum number of CSI-RS resources within a slot per </w:t>
            </w:r>
            <w:proofErr w:type="spellStart"/>
            <w:r>
              <w:t>spCell</w:t>
            </w:r>
            <w:proofErr w:type="spellEnd"/>
            <w:r>
              <w:t xml:space="preserve"> for CSI-RS based RLM. If UE supports any of </w:t>
            </w:r>
            <w:proofErr w:type="spellStart"/>
            <w:r>
              <w:rPr>
                <w:i/>
              </w:rPr>
              <w:t>csi</w:t>
            </w:r>
            <w:proofErr w:type="spellEnd"/>
            <w:r>
              <w:rPr>
                <w:i/>
              </w:rPr>
              <w:t>-RS-RLM</w:t>
            </w:r>
            <w:r>
              <w:t xml:space="preserve"> and </w:t>
            </w:r>
            <w:proofErr w:type="spellStart"/>
            <w:r>
              <w:rPr>
                <w:i/>
              </w:rPr>
              <w:t>ssb</w:t>
            </w:r>
            <w:proofErr w:type="spellEnd"/>
            <w:r>
              <w:rPr>
                <w:i/>
              </w:rPr>
              <w:t>-</w:t>
            </w:r>
            <w:proofErr w:type="spellStart"/>
            <w:r>
              <w:rPr>
                <w:i/>
              </w:rPr>
              <w:t>AndCSI</w:t>
            </w:r>
            <w:proofErr w:type="spellEnd"/>
            <w:r>
              <w:rPr>
                <w:i/>
              </w:rPr>
              <w:t>-RS-RLM</w:t>
            </w:r>
            <w:r>
              <w:t>, UE shall report this capability.</w:t>
            </w:r>
          </w:p>
        </w:tc>
        <w:tc>
          <w:tcPr>
            <w:tcW w:w="709" w:type="dxa"/>
          </w:tcPr>
          <w:p w14:paraId="026AB816" w14:textId="77777777" w:rsidR="0094357C" w:rsidRDefault="00000000">
            <w:pPr>
              <w:pStyle w:val="TAL"/>
              <w:jc w:val="center"/>
            </w:pPr>
            <w:r>
              <w:t>UE</w:t>
            </w:r>
          </w:p>
        </w:tc>
        <w:tc>
          <w:tcPr>
            <w:tcW w:w="564" w:type="dxa"/>
          </w:tcPr>
          <w:p w14:paraId="026AB817" w14:textId="77777777" w:rsidR="0094357C" w:rsidRDefault="00000000">
            <w:pPr>
              <w:pStyle w:val="TAL"/>
              <w:jc w:val="center"/>
            </w:pPr>
            <w:r>
              <w:t>CY</w:t>
            </w:r>
          </w:p>
        </w:tc>
        <w:tc>
          <w:tcPr>
            <w:tcW w:w="712" w:type="dxa"/>
          </w:tcPr>
          <w:p w14:paraId="026AB818" w14:textId="77777777" w:rsidR="0094357C" w:rsidRDefault="00000000">
            <w:pPr>
              <w:pStyle w:val="TAL"/>
              <w:jc w:val="center"/>
            </w:pPr>
            <w:r>
              <w:t>No</w:t>
            </w:r>
          </w:p>
        </w:tc>
        <w:tc>
          <w:tcPr>
            <w:tcW w:w="737" w:type="dxa"/>
          </w:tcPr>
          <w:p w14:paraId="026AB819" w14:textId="77777777" w:rsidR="0094357C" w:rsidRDefault="00000000">
            <w:pPr>
              <w:pStyle w:val="TAL"/>
              <w:jc w:val="center"/>
              <w:rPr>
                <w:rFonts w:eastAsia="MS Mincho"/>
              </w:rPr>
            </w:pPr>
            <w:r>
              <w:rPr>
                <w:rFonts w:eastAsia="MS Mincho"/>
              </w:rPr>
              <w:t>Yes</w:t>
            </w:r>
          </w:p>
        </w:tc>
      </w:tr>
      <w:tr w:rsidR="0094357C" w14:paraId="026AB821" w14:textId="77777777">
        <w:trPr>
          <w:cantSplit/>
        </w:trPr>
        <w:tc>
          <w:tcPr>
            <w:tcW w:w="6807" w:type="dxa"/>
          </w:tcPr>
          <w:p w14:paraId="026AB81B" w14:textId="77777777" w:rsidR="0094357C" w:rsidRDefault="00000000">
            <w:pPr>
              <w:pStyle w:val="TAL"/>
              <w:rPr>
                <w:b/>
                <w:i/>
              </w:rPr>
            </w:pPr>
            <w:r>
              <w:rPr>
                <w:b/>
                <w:i/>
                <w:highlight w:val="yellow"/>
              </w:rPr>
              <w:t>nr-CGI-Reporting</w:t>
            </w:r>
          </w:p>
          <w:p w14:paraId="026AB81C" w14:textId="77777777" w:rsidR="0094357C" w:rsidRDefault="00000000">
            <w:pPr>
              <w:pStyle w:val="TAL"/>
            </w:pPr>
            <w: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xml:space="preserve">. It is optional for </w:t>
            </w:r>
            <w:proofErr w:type="spellStart"/>
            <w:r>
              <w:t>RedCap</w:t>
            </w:r>
            <w:proofErr w:type="spellEnd"/>
            <w:r>
              <w:t xml:space="preserve"> UEs.</w:t>
            </w:r>
          </w:p>
        </w:tc>
        <w:tc>
          <w:tcPr>
            <w:tcW w:w="709" w:type="dxa"/>
          </w:tcPr>
          <w:p w14:paraId="026AB81D" w14:textId="77777777" w:rsidR="0094357C" w:rsidRDefault="00000000">
            <w:pPr>
              <w:pStyle w:val="TAL"/>
              <w:jc w:val="center"/>
            </w:pPr>
            <w:r>
              <w:t>UE</w:t>
            </w:r>
          </w:p>
        </w:tc>
        <w:tc>
          <w:tcPr>
            <w:tcW w:w="564" w:type="dxa"/>
          </w:tcPr>
          <w:p w14:paraId="026AB81E" w14:textId="77777777" w:rsidR="0094357C" w:rsidRDefault="00000000">
            <w:pPr>
              <w:pStyle w:val="TAL"/>
              <w:jc w:val="center"/>
            </w:pPr>
            <w:r>
              <w:rPr>
                <w:rFonts w:cs="Arial"/>
                <w:lang w:eastAsia="fr-FR"/>
              </w:rPr>
              <w:t>CY</w:t>
            </w:r>
          </w:p>
        </w:tc>
        <w:tc>
          <w:tcPr>
            <w:tcW w:w="712" w:type="dxa"/>
          </w:tcPr>
          <w:p w14:paraId="026AB81F" w14:textId="77777777" w:rsidR="0094357C" w:rsidRDefault="00000000">
            <w:pPr>
              <w:pStyle w:val="TAL"/>
              <w:jc w:val="center"/>
            </w:pPr>
            <w:r>
              <w:t>No</w:t>
            </w:r>
          </w:p>
        </w:tc>
        <w:tc>
          <w:tcPr>
            <w:tcW w:w="737" w:type="dxa"/>
          </w:tcPr>
          <w:p w14:paraId="026AB820" w14:textId="77777777" w:rsidR="0094357C" w:rsidRDefault="00000000">
            <w:pPr>
              <w:pStyle w:val="TAL"/>
              <w:jc w:val="center"/>
              <w:rPr>
                <w:rFonts w:eastAsia="MS Mincho"/>
              </w:rPr>
            </w:pPr>
            <w:r>
              <w:rPr>
                <w:rFonts w:eastAsia="MS Mincho"/>
              </w:rPr>
              <w:t>No</w:t>
            </w:r>
          </w:p>
        </w:tc>
      </w:tr>
      <w:tr w:rsidR="0094357C" w14:paraId="026AB828" w14:textId="77777777">
        <w:trPr>
          <w:cantSplit/>
        </w:trPr>
        <w:tc>
          <w:tcPr>
            <w:tcW w:w="6807" w:type="dxa"/>
          </w:tcPr>
          <w:p w14:paraId="026AB822" w14:textId="77777777" w:rsidR="0094357C" w:rsidRDefault="00000000">
            <w:pPr>
              <w:keepNext/>
              <w:keepLines/>
              <w:spacing w:after="0"/>
              <w:rPr>
                <w:rFonts w:ascii="Arial" w:hAnsi="Arial"/>
                <w:b/>
                <w:i/>
                <w:sz w:val="18"/>
              </w:rPr>
            </w:pPr>
            <w:r>
              <w:rPr>
                <w:rFonts w:ascii="Arial" w:hAnsi="Arial"/>
                <w:b/>
                <w:i/>
                <w:sz w:val="18"/>
                <w:highlight w:val="magenta"/>
              </w:rPr>
              <w:t>nr-CGI-Reporting-ENDC</w:t>
            </w:r>
          </w:p>
          <w:p w14:paraId="026AB823" w14:textId="77777777" w:rsidR="0094357C" w:rsidRDefault="00000000">
            <w:pPr>
              <w:pStyle w:val="TAL"/>
              <w:rPr>
                <w:b/>
                <w:i/>
              </w:rPr>
            </w:pPr>
            <w: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026AB824" w14:textId="77777777" w:rsidR="0094357C" w:rsidRDefault="00000000">
            <w:pPr>
              <w:pStyle w:val="TAL"/>
              <w:jc w:val="center"/>
            </w:pPr>
            <w:r>
              <w:t>UE</w:t>
            </w:r>
          </w:p>
        </w:tc>
        <w:tc>
          <w:tcPr>
            <w:tcW w:w="564" w:type="dxa"/>
          </w:tcPr>
          <w:p w14:paraId="026AB825" w14:textId="77777777" w:rsidR="0094357C" w:rsidRDefault="00000000">
            <w:pPr>
              <w:pStyle w:val="TAL"/>
              <w:jc w:val="center"/>
            </w:pPr>
            <w:r>
              <w:t>Yes</w:t>
            </w:r>
          </w:p>
        </w:tc>
        <w:tc>
          <w:tcPr>
            <w:tcW w:w="712" w:type="dxa"/>
          </w:tcPr>
          <w:p w14:paraId="026AB826" w14:textId="77777777" w:rsidR="0094357C" w:rsidRDefault="00000000">
            <w:pPr>
              <w:pStyle w:val="TAL"/>
              <w:jc w:val="center"/>
            </w:pPr>
            <w:r>
              <w:t>No</w:t>
            </w:r>
          </w:p>
        </w:tc>
        <w:tc>
          <w:tcPr>
            <w:tcW w:w="737" w:type="dxa"/>
          </w:tcPr>
          <w:p w14:paraId="026AB827" w14:textId="77777777" w:rsidR="0094357C" w:rsidRDefault="00000000">
            <w:pPr>
              <w:pStyle w:val="TAL"/>
              <w:jc w:val="center"/>
              <w:rPr>
                <w:rFonts w:eastAsia="MS Mincho"/>
              </w:rPr>
            </w:pPr>
            <w:r>
              <w:rPr>
                <w:rFonts w:eastAsia="MS Mincho"/>
              </w:rPr>
              <w:t>No</w:t>
            </w:r>
          </w:p>
        </w:tc>
      </w:tr>
      <w:tr w:rsidR="0094357C" w14:paraId="026AB82F" w14:textId="77777777">
        <w:trPr>
          <w:cantSplit/>
        </w:trPr>
        <w:tc>
          <w:tcPr>
            <w:tcW w:w="6807" w:type="dxa"/>
          </w:tcPr>
          <w:p w14:paraId="026AB829" w14:textId="77777777" w:rsidR="0094357C" w:rsidRDefault="00000000">
            <w:pPr>
              <w:pStyle w:val="TAL"/>
              <w:rPr>
                <w:b/>
                <w:bCs/>
                <w:i/>
                <w:iCs/>
              </w:rPr>
            </w:pPr>
            <w:r>
              <w:rPr>
                <w:b/>
                <w:bCs/>
                <w:i/>
                <w:iCs/>
                <w:highlight w:val="yellow"/>
              </w:rPr>
              <w:t>reportAddNeighMeasForPeriodic-r16</w:t>
            </w:r>
          </w:p>
          <w:p w14:paraId="026AB82A" w14:textId="77777777" w:rsidR="0094357C" w:rsidRDefault="00000000">
            <w:pPr>
              <w:pStyle w:val="TAL"/>
            </w:pPr>
            <w:r>
              <w:rPr>
                <w:rFonts w:cs="Arial"/>
                <w:szCs w:val="18"/>
              </w:rPr>
              <w:t>Defines whether the UE supports periodic reporting of best neighbour cells per serving frequency, as defined in TS 38.331 [9].</w:t>
            </w:r>
            <w:r>
              <w:t xml:space="preserve"> It is optional for </w:t>
            </w:r>
            <w:proofErr w:type="spellStart"/>
            <w:r>
              <w:t>RedCap</w:t>
            </w:r>
            <w:proofErr w:type="spellEnd"/>
            <w:r>
              <w:t xml:space="preserve"> UEs.</w:t>
            </w:r>
          </w:p>
        </w:tc>
        <w:tc>
          <w:tcPr>
            <w:tcW w:w="709" w:type="dxa"/>
          </w:tcPr>
          <w:p w14:paraId="026AB82B" w14:textId="77777777" w:rsidR="0094357C" w:rsidRDefault="00000000">
            <w:pPr>
              <w:pStyle w:val="TAL"/>
              <w:jc w:val="center"/>
            </w:pPr>
            <w:r>
              <w:t>UE</w:t>
            </w:r>
          </w:p>
        </w:tc>
        <w:tc>
          <w:tcPr>
            <w:tcW w:w="564" w:type="dxa"/>
          </w:tcPr>
          <w:p w14:paraId="026AB82C" w14:textId="77777777" w:rsidR="0094357C" w:rsidRDefault="00000000">
            <w:pPr>
              <w:pStyle w:val="TAL"/>
              <w:jc w:val="center"/>
            </w:pPr>
            <w:r>
              <w:rPr>
                <w:rFonts w:cs="Arial"/>
                <w:lang w:eastAsia="fr-FR"/>
              </w:rPr>
              <w:t>CY</w:t>
            </w:r>
          </w:p>
        </w:tc>
        <w:tc>
          <w:tcPr>
            <w:tcW w:w="712" w:type="dxa"/>
          </w:tcPr>
          <w:p w14:paraId="026AB82D" w14:textId="77777777" w:rsidR="0094357C" w:rsidRDefault="00000000">
            <w:pPr>
              <w:pStyle w:val="TAL"/>
              <w:jc w:val="center"/>
            </w:pPr>
            <w:r>
              <w:t>No</w:t>
            </w:r>
          </w:p>
        </w:tc>
        <w:tc>
          <w:tcPr>
            <w:tcW w:w="737" w:type="dxa"/>
          </w:tcPr>
          <w:p w14:paraId="026AB82E" w14:textId="77777777" w:rsidR="0094357C" w:rsidRDefault="00000000">
            <w:pPr>
              <w:pStyle w:val="TAL"/>
              <w:jc w:val="center"/>
              <w:rPr>
                <w:rFonts w:eastAsia="MS Mincho"/>
              </w:rPr>
            </w:pPr>
            <w:r>
              <w:rPr>
                <w:rFonts w:eastAsia="MS Mincho"/>
              </w:rPr>
              <w:t>No</w:t>
            </w:r>
          </w:p>
        </w:tc>
      </w:tr>
      <w:tr w:rsidR="0094357C" w14:paraId="026AB836" w14:textId="77777777">
        <w:trPr>
          <w:cantSplit/>
        </w:trPr>
        <w:tc>
          <w:tcPr>
            <w:tcW w:w="6807" w:type="dxa"/>
          </w:tcPr>
          <w:p w14:paraId="026AB830" w14:textId="77777777" w:rsidR="0094357C" w:rsidRDefault="00000000">
            <w:pPr>
              <w:pStyle w:val="TAL"/>
              <w:rPr>
                <w:b/>
                <w:bCs/>
                <w:i/>
                <w:iCs/>
              </w:rPr>
            </w:pPr>
            <w:r>
              <w:rPr>
                <w:b/>
                <w:bCs/>
                <w:i/>
                <w:iCs/>
                <w:highlight w:val="magenta"/>
              </w:rPr>
              <w:t>nr-CGI-Reporting-NEDC</w:t>
            </w:r>
          </w:p>
          <w:p w14:paraId="026AB831" w14:textId="77777777" w:rsidR="0094357C" w:rsidRDefault="00000000">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026AB832" w14:textId="77777777" w:rsidR="0094357C" w:rsidRDefault="00000000">
            <w:pPr>
              <w:pStyle w:val="TAL"/>
              <w:jc w:val="center"/>
            </w:pPr>
            <w:r>
              <w:t>UE</w:t>
            </w:r>
          </w:p>
        </w:tc>
        <w:tc>
          <w:tcPr>
            <w:tcW w:w="564" w:type="dxa"/>
          </w:tcPr>
          <w:p w14:paraId="026AB833" w14:textId="77777777" w:rsidR="0094357C" w:rsidRDefault="00000000">
            <w:pPr>
              <w:pStyle w:val="TAL"/>
              <w:jc w:val="center"/>
            </w:pPr>
            <w:r>
              <w:t>Yes</w:t>
            </w:r>
          </w:p>
        </w:tc>
        <w:tc>
          <w:tcPr>
            <w:tcW w:w="712" w:type="dxa"/>
          </w:tcPr>
          <w:p w14:paraId="026AB834" w14:textId="77777777" w:rsidR="0094357C" w:rsidRDefault="00000000">
            <w:pPr>
              <w:pStyle w:val="TAL"/>
              <w:jc w:val="center"/>
            </w:pPr>
            <w:r>
              <w:t>No</w:t>
            </w:r>
          </w:p>
        </w:tc>
        <w:tc>
          <w:tcPr>
            <w:tcW w:w="737" w:type="dxa"/>
          </w:tcPr>
          <w:p w14:paraId="026AB835" w14:textId="77777777" w:rsidR="0094357C" w:rsidRDefault="00000000">
            <w:pPr>
              <w:pStyle w:val="TAL"/>
              <w:jc w:val="center"/>
              <w:rPr>
                <w:rFonts w:eastAsia="MS Mincho"/>
              </w:rPr>
            </w:pPr>
            <w:r>
              <w:rPr>
                <w:rFonts w:eastAsia="MS Mincho"/>
              </w:rPr>
              <w:t>No</w:t>
            </w:r>
          </w:p>
        </w:tc>
      </w:tr>
      <w:tr w:rsidR="0094357C" w14:paraId="026AB83D" w14:textId="77777777">
        <w:trPr>
          <w:cantSplit/>
        </w:trPr>
        <w:tc>
          <w:tcPr>
            <w:tcW w:w="6807" w:type="dxa"/>
          </w:tcPr>
          <w:p w14:paraId="026AB837" w14:textId="77777777" w:rsidR="0094357C" w:rsidRDefault="00000000">
            <w:pPr>
              <w:keepNext/>
              <w:keepLines/>
              <w:spacing w:after="0"/>
              <w:rPr>
                <w:rFonts w:ascii="Arial" w:hAnsi="Arial"/>
                <w:b/>
                <w:i/>
                <w:sz w:val="18"/>
              </w:rPr>
            </w:pPr>
            <w:r>
              <w:rPr>
                <w:rFonts w:ascii="Arial" w:hAnsi="Arial"/>
                <w:b/>
                <w:i/>
                <w:sz w:val="18"/>
                <w:highlight w:val="yellow"/>
              </w:rPr>
              <w:t>nr-CGI-Reporting-NPN-r16</w:t>
            </w:r>
          </w:p>
          <w:p w14:paraId="026AB838" w14:textId="77777777" w:rsidR="0094357C" w:rsidRDefault="00000000">
            <w:pPr>
              <w:keepNext/>
              <w:keepLines/>
              <w:spacing w:after="0"/>
              <w:rPr>
                <w:rFonts w:ascii="Arial" w:hAnsi="Arial"/>
                <w:b/>
                <w:i/>
                <w:sz w:val="18"/>
              </w:rPr>
            </w:pPr>
            <w:r>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Pr>
                <w:rFonts w:ascii="Arial" w:hAnsi="Arial"/>
                <w:sz w:val="18"/>
              </w:rPr>
              <w:t>RedCap</w:t>
            </w:r>
            <w:proofErr w:type="spellEnd"/>
            <w:r>
              <w:rPr>
                <w:rFonts w:ascii="Arial" w:hAnsi="Arial"/>
                <w:sz w:val="18"/>
              </w:rPr>
              <w:t xml:space="preserve"> UEs.</w:t>
            </w:r>
          </w:p>
        </w:tc>
        <w:tc>
          <w:tcPr>
            <w:tcW w:w="709" w:type="dxa"/>
          </w:tcPr>
          <w:p w14:paraId="026AB839" w14:textId="77777777" w:rsidR="0094357C" w:rsidRDefault="00000000">
            <w:pPr>
              <w:pStyle w:val="TAL"/>
              <w:jc w:val="center"/>
            </w:pPr>
            <w:r>
              <w:rPr>
                <w:lang w:eastAsia="zh-CN"/>
              </w:rPr>
              <w:t>UE</w:t>
            </w:r>
          </w:p>
        </w:tc>
        <w:tc>
          <w:tcPr>
            <w:tcW w:w="564" w:type="dxa"/>
          </w:tcPr>
          <w:p w14:paraId="026AB83A" w14:textId="77777777" w:rsidR="0094357C" w:rsidRDefault="00000000">
            <w:pPr>
              <w:pStyle w:val="TAL"/>
              <w:jc w:val="center"/>
            </w:pPr>
            <w:r>
              <w:rPr>
                <w:lang w:eastAsia="zh-CN"/>
              </w:rPr>
              <w:t>CY</w:t>
            </w:r>
          </w:p>
        </w:tc>
        <w:tc>
          <w:tcPr>
            <w:tcW w:w="712" w:type="dxa"/>
          </w:tcPr>
          <w:p w14:paraId="026AB83B" w14:textId="77777777" w:rsidR="0094357C" w:rsidRDefault="00000000">
            <w:pPr>
              <w:pStyle w:val="TAL"/>
              <w:jc w:val="center"/>
            </w:pPr>
            <w:r>
              <w:rPr>
                <w:lang w:eastAsia="zh-CN"/>
              </w:rPr>
              <w:t>No</w:t>
            </w:r>
          </w:p>
        </w:tc>
        <w:tc>
          <w:tcPr>
            <w:tcW w:w="737" w:type="dxa"/>
          </w:tcPr>
          <w:p w14:paraId="026AB83C" w14:textId="77777777" w:rsidR="0094357C" w:rsidRDefault="00000000">
            <w:pPr>
              <w:pStyle w:val="TAL"/>
              <w:jc w:val="center"/>
              <w:rPr>
                <w:rFonts w:eastAsia="MS Mincho"/>
              </w:rPr>
            </w:pPr>
            <w:r>
              <w:rPr>
                <w:lang w:eastAsia="zh-CN"/>
              </w:rPr>
              <w:t>No</w:t>
            </w:r>
          </w:p>
        </w:tc>
      </w:tr>
      <w:tr w:rsidR="0094357C" w14:paraId="026AB844" w14:textId="77777777">
        <w:trPr>
          <w:cantSplit/>
        </w:trPr>
        <w:tc>
          <w:tcPr>
            <w:tcW w:w="6807" w:type="dxa"/>
          </w:tcPr>
          <w:p w14:paraId="026AB83E" w14:textId="77777777" w:rsidR="0094357C" w:rsidRDefault="00000000">
            <w:pPr>
              <w:pStyle w:val="TAL"/>
              <w:rPr>
                <w:b/>
                <w:bCs/>
                <w:i/>
                <w:iCs/>
              </w:rPr>
            </w:pPr>
            <w:r>
              <w:rPr>
                <w:b/>
                <w:bCs/>
                <w:i/>
                <w:iCs/>
                <w:highlight w:val="magenta"/>
              </w:rPr>
              <w:t>nr-CGI-Reporting-NRDC</w:t>
            </w:r>
          </w:p>
          <w:p w14:paraId="026AB83F" w14:textId="77777777" w:rsidR="0094357C" w:rsidRDefault="00000000">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026AB840" w14:textId="77777777" w:rsidR="0094357C" w:rsidRDefault="00000000">
            <w:pPr>
              <w:pStyle w:val="TAL"/>
              <w:jc w:val="center"/>
              <w:rPr>
                <w:lang w:eastAsia="zh-CN"/>
              </w:rPr>
            </w:pPr>
            <w:r>
              <w:t>UE</w:t>
            </w:r>
          </w:p>
        </w:tc>
        <w:tc>
          <w:tcPr>
            <w:tcW w:w="564" w:type="dxa"/>
          </w:tcPr>
          <w:p w14:paraId="026AB841" w14:textId="77777777" w:rsidR="0094357C" w:rsidRDefault="00000000">
            <w:pPr>
              <w:pStyle w:val="TAL"/>
              <w:jc w:val="center"/>
              <w:rPr>
                <w:lang w:eastAsia="zh-CN"/>
              </w:rPr>
            </w:pPr>
            <w:r>
              <w:t>Yes</w:t>
            </w:r>
          </w:p>
        </w:tc>
        <w:tc>
          <w:tcPr>
            <w:tcW w:w="712" w:type="dxa"/>
          </w:tcPr>
          <w:p w14:paraId="026AB842" w14:textId="77777777" w:rsidR="0094357C" w:rsidRDefault="00000000">
            <w:pPr>
              <w:pStyle w:val="TAL"/>
              <w:jc w:val="center"/>
              <w:rPr>
                <w:lang w:eastAsia="zh-CN"/>
              </w:rPr>
            </w:pPr>
            <w:r>
              <w:t>No</w:t>
            </w:r>
          </w:p>
        </w:tc>
        <w:tc>
          <w:tcPr>
            <w:tcW w:w="737" w:type="dxa"/>
          </w:tcPr>
          <w:p w14:paraId="026AB843" w14:textId="77777777" w:rsidR="0094357C" w:rsidRDefault="00000000">
            <w:pPr>
              <w:pStyle w:val="TAL"/>
              <w:jc w:val="center"/>
              <w:rPr>
                <w:lang w:eastAsia="zh-CN"/>
              </w:rPr>
            </w:pPr>
            <w:r>
              <w:rPr>
                <w:rFonts w:eastAsia="MS Mincho"/>
              </w:rPr>
              <w:t>No</w:t>
            </w:r>
          </w:p>
        </w:tc>
      </w:tr>
      <w:tr w:rsidR="0094357C" w14:paraId="026AB84B" w14:textId="77777777">
        <w:trPr>
          <w:cantSplit/>
        </w:trPr>
        <w:tc>
          <w:tcPr>
            <w:tcW w:w="6807" w:type="dxa"/>
          </w:tcPr>
          <w:p w14:paraId="026AB845" w14:textId="77777777" w:rsidR="0094357C" w:rsidRDefault="00000000">
            <w:pPr>
              <w:pStyle w:val="TAL"/>
              <w:rPr>
                <w:b/>
                <w:i/>
              </w:rPr>
            </w:pPr>
            <w:proofErr w:type="spellStart"/>
            <w:r>
              <w:rPr>
                <w:b/>
                <w:i/>
                <w:highlight w:val="yellow"/>
              </w:rPr>
              <w:t>ssb</w:t>
            </w:r>
            <w:proofErr w:type="spellEnd"/>
            <w:r>
              <w:rPr>
                <w:b/>
                <w:i/>
                <w:highlight w:val="yellow"/>
              </w:rPr>
              <w:t>-RLM</w:t>
            </w:r>
          </w:p>
          <w:p w14:paraId="026AB846" w14:textId="77777777" w:rsidR="0094357C" w:rsidRDefault="00000000">
            <w:pPr>
              <w:pStyle w:val="TAL"/>
            </w:pPr>
            <w:r>
              <w:rPr>
                <w:rFonts w:eastAsia="MS PGothic"/>
              </w:rPr>
              <w:t>Indicates whether the UE can perform radio link monitoring procedure based on measurement of SS/PBCH block as specified in TS 38.213 [11] and TS 38.133 [5].</w:t>
            </w:r>
            <w:r>
              <w:t xml:space="preserve"> This field shall be set to </w:t>
            </w:r>
            <w:r>
              <w:rPr>
                <w:i/>
              </w:rPr>
              <w:t>supported</w:t>
            </w:r>
            <w:r>
              <w:t xml:space="preserve">. This applies only to non-shared spectrum channel access. For shared spectrum channel access, </w:t>
            </w:r>
            <w:r>
              <w:rPr>
                <w:bCs/>
                <w:i/>
              </w:rPr>
              <w:t xml:space="preserve">ssb-RLM-DynamicChAccess-r16 </w:t>
            </w:r>
            <w:r>
              <w:rPr>
                <w:bCs/>
              </w:rPr>
              <w:t xml:space="preserve">or </w:t>
            </w:r>
            <w:r>
              <w:rPr>
                <w:bCs/>
                <w:i/>
              </w:rPr>
              <w:t xml:space="preserve">ssb-RLM-Semi-StaticChAccess-r16 </w:t>
            </w:r>
            <w:r>
              <w:rPr>
                <w:bCs/>
              </w:rPr>
              <w:t>applies.</w:t>
            </w:r>
          </w:p>
        </w:tc>
        <w:tc>
          <w:tcPr>
            <w:tcW w:w="709" w:type="dxa"/>
          </w:tcPr>
          <w:p w14:paraId="026AB847" w14:textId="77777777" w:rsidR="0094357C" w:rsidRDefault="00000000">
            <w:pPr>
              <w:pStyle w:val="TAL"/>
              <w:jc w:val="center"/>
            </w:pPr>
            <w:r>
              <w:t>UE</w:t>
            </w:r>
          </w:p>
        </w:tc>
        <w:tc>
          <w:tcPr>
            <w:tcW w:w="564" w:type="dxa"/>
          </w:tcPr>
          <w:p w14:paraId="026AB848" w14:textId="77777777" w:rsidR="0094357C" w:rsidRDefault="00000000">
            <w:pPr>
              <w:pStyle w:val="TAL"/>
              <w:jc w:val="center"/>
            </w:pPr>
            <w:r>
              <w:t>Yes</w:t>
            </w:r>
          </w:p>
        </w:tc>
        <w:tc>
          <w:tcPr>
            <w:tcW w:w="712" w:type="dxa"/>
          </w:tcPr>
          <w:p w14:paraId="026AB849" w14:textId="77777777" w:rsidR="0094357C" w:rsidRDefault="00000000">
            <w:pPr>
              <w:pStyle w:val="TAL"/>
              <w:jc w:val="center"/>
            </w:pPr>
            <w:r>
              <w:t>No</w:t>
            </w:r>
          </w:p>
        </w:tc>
        <w:tc>
          <w:tcPr>
            <w:tcW w:w="737" w:type="dxa"/>
          </w:tcPr>
          <w:p w14:paraId="026AB84A" w14:textId="77777777" w:rsidR="0094357C" w:rsidRDefault="00000000">
            <w:pPr>
              <w:pStyle w:val="TAL"/>
              <w:jc w:val="center"/>
              <w:rPr>
                <w:rFonts w:eastAsia="MS Mincho"/>
              </w:rPr>
            </w:pPr>
            <w:r>
              <w:rPr>
                <w:rFonts w:eastAsia="MS Mincho"/>
              </w:rPr>
              <w:t>No</w:t>
            </w:r>
          </w:p>
        </w:tc>
      </w:tr>
      <w:tr w:rsidR="0094357C" w14:paraId="026AB85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6AB84C" w14:textId="77777777" w:rsidR="0094357C" w:rsidRDefault="00000000">
            <w:pPr>
              <w:pStyle w:val="TAL"/>
              <w:rPr>
                <w:rFonts w:cs="Arial"/>
                <w:b/>
                <w:bCs/>
                <w:i/>
                <w:iCs/>
                <w:szCs w:val="18"/>
              </w:rPr>
            </w:pPr>
            <w:proofErr w:type="spellStart"/>
            <w:r>
              <w:rPr>
                <w:rFonts w:cs="Arial"/>
                <w:b/>
                <w:bCs/>
                <w:i/>
                <w:iCs/>
                <w:szCs w:val="18"/>
                <w:highlight w:val="lightGray"/>
              </w:rPr>
              <w:t>supportedGapPattern</w:t>
            </w:r>
            <w:proofErr w:type="spellEnd"/>
          </w:p>
          <w:p w14:paraId="026AB84D" w14:textId="77777777" w:rsidR="0094357C" w:rsidRDefault="00000000">
            <w:pPr>
              <w:pStyle w:val="TAL"/>
              <w:rPr>
                <w:rFonts w:cs="Arial"/>
                <w:bCs/>
                <w:iCs/>
                <w:szCs w:val="18"/>
              </w:rPr>
            </w:pPr>
            <w:r>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Pr>
                <w:rFonts w:cs="Arial"/>
                <w:bCs/>
                <w:i/>
                <w:iCs/>
                <w:szCs w:val="18"/>
              </w:rPr>
              <w:t>independentGapConfig</w:t>
            </w:r>
            <w:proofErr w:type="spellEnd"/>
            <w:r>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26AB84E" w14:textId="77777777" w:rsidR="0094357C" w:rsidRDefault="0000000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6AB84F" w14:textId="77777777" w:rsidR="0094357C" w:rsidRDefault="00000000">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26AB850" w14:textId="77777777" w:rsidR="0094357C" w:rsidRDefault="00000000">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6AB851" w14:textId="77777777" w:rsidR="0094357C" w:rsidRDefault="00000000">
            <w:pPr>
              <w:pStyle w:val="TAL"/>
              <w:jc w:val="center"/>
              <w:rPr>
                <w:rFonts w:eastAsia="MS Mincho" w:cs="Arial"/>
                <w:bCs/>
                <w:iCs/>
                <w:szCs w:val="18"/>
              </w:rPr>
            </w:pPr>
            <w:r>
              <w:rPr>
                <w:rFonts w:eastAsia="MS Mincho" w:cs="Arial"/>
                <w:bCs/>
                <w:iCs/>
                <w:szCs w:val="18"/>
              </w:rPr>
              <w:t>No</w:t>
            </w:r>
          </w:p>
        </w:tc>
      </w:tr>
      <w:tr w:rsidR="0094357C" w14:paraId="026AB85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6AB853" w14:textId="77777777" w:rsidR="0094357C" w:rsidRDefault="00000000">
            <w:pPr>
              <w:pStyle w:val="TAL"/>
              <w:rPr>
                <w:rFonts w:eastAsia="DengXian" w:cs="Arial"/>
                <w:b/>
                <w:bCs/>
                <w:i/>
                <w:iCs/>
                <w:szCs w:val="18"/>
              </w:rPr>
            </w:pPr>
            <w:r>
              <w:rPr>
                <w:rFonts w:cs="Arial"/>
                <w:b/>
                <w:bCs/>
                <w:i/>
                <w:iCs/>
                <w:szCs w:val="18"/>
                <w:highlight w:val="lightGray"/>
              </w:rPr>
              <w:t>supportedGapPattern-</w:t>
            </w:r>
            <w:r>
              <w:rPr>
                <w:rFonts w:eastAsia="DengXian" w:cs="Arial"/>
                <w:b/>
                <w:bCs/>
                <w:i/>
                <w:iCs/>
                <w:szCs w:val="18"/>
                <w:highlight w:val="lightGray"/>
              </w:rPr>
              <w:t>NRonly-r16</w:t>
            </w:r>
          </w:p>
          <w:p w14:paraId="026AB854" w14:textId="77777777" w:rsidR="0094357C" w:rsidRDefault="00000000">
            <w:pPr>
              <w:pStyle w:val="TAL"/>
              <w:rPr>
                <w:rFonts w:cs="Arial"/>
                <w:b/>
                <w:bCs/>
                <w:i/>
                <w:iCs/>
                <w:szCs w:val="18"/>
              </w:rPr>
            </w:pPr>
            <w:r>
              <w:rPr>
                <w:rFonts w:cs="Arial"/>
                <w:bCs/>
                <w:iCs/>
                <w:szCs w:val="18"/>
              </w:rPr>
              <w:t>Indicates</w:t>
            </w:r>
            <w:r>
              <w:rPr>
                <w:rFonts w:eastAsia="DengXian" w:cs="Arial"/>
                <w:bCs/>
                <w:iCs/>
                <w:szCs w:val="18"/>
              </w:rPr>
              <w:t xml:space="preserve"> </w:t>
            </w:r>
            <w:r>
              <w:rPr>
                <w:rFonts w:cs="Arial"/>
                <w:bCs/>
                <w:iCs/>
                <w:szCs w:val="18"/>
              </w:rPr>
              <w:t>measurement gap pattern(s) optionally supported by the UE for NR SA</w:t>
            </w:r>
            <w:r>
              <w:rPr>
                <w:rFonts w:eastAsia="DengXian" w:cs="Arial"/>
                <w:bCs/>
                <w:iCs/>
                <w:szCs w:val="18"/>
              </w:rPr>
              <w:t xml:space="preserve"> and </w:t>
            </w:r>
            <w:r>
              <w:rPr>
                <w:rFonts w:cs="Arial"/>
                <w:bCs/>
                <w:iCs/>
                <w:szCs w:val="18"/>
              </w:rPr>
              <w:t>NR-DC</w:t>
            </w:r>
            <w:r>
              <w:rPr>
                <w:rFonts w:eastAsia="DengXian" w:cs="Arial"/>
                <w:bCs/>
                <w:iCs/>
                <w:szCs w:val="18"/>
              </w:rPr>
              <w:t xml:space="preserve"> when the frequencies to be measured within this measurement gap are all NR frequencies. </w:t>
            </w:r>
            <w:r>
              <w:rPr>
                <w:rFonts w:cs="Arial"/>
                <w:bCs/>
                <w:iCs/>
                <w:szCs w:val="18"/>
              </w:rPr>
              <w:t>The leading / leftmost bit (bit 0) corresponds to the gap pattern 2, the next bit corresponds to the gap pattern 3</w:t>
            </w:r>
            <w:r>
              <w:rPr>
                <w:rFonts w:eastAsia="DengXian" w:cs="Arial"/>
                <w:bCs/>
                <w:iCs/>
                <w:szCs w:val="18"/>
              </w:rPr>
              <w:t xml:space="preserve"> </w:t>
            </w:r>
            <w:r>
              <w:rPr>
                <w:rFonts w:cs="Arial"/>
                <w:bCs/>
                <w:iCs/>
                <w:szCs w:val="18"/>
              </w:rPr>
              <w:t xml:space="preserve">and so on. </w:t>
            </w:r>
            <w:r>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26AB855" w14:textId="77777777" w:rsidR="0094357C" w:rsidRDefault="00000000">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6AB856" w14:textId="77777777" w:rsidR="0094357C" w:rsidRDefault="00000000">
            <w:pPr>
              <w:pStyle w:val="TAL"/>
              <w:jc w:val="center"/>
              <w:rPr>
                <w:rFonts w:cs="Arial"/>
                <w:bCs/>
                <w:iCs/>
                <w:szCs w:val="18"/>
              </w:rPr>
            </w:pPr>
            <w:r>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026AB857" w14:textId="77777777" w:rsidR="0094357C" w:rsidRDefault="00000000">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6AB858" w14:textId="77777777" w:rsidR="0094357C" w:rsidRDefault="00000000">
            <w:pPr>
              <w:pStyle w:val="TAL"/>
              <w:jc w:val="center"/>
              <w:rPr>
                <w:rFonts w:eastAsia="MS Mincho" w:cs="Arial"/>
                <w:bCs/>
                <w:iCs/>
                <w:szCs w:val="18"/>
              </w:rPr>
            </w:pPr>
            <w:r>
              <w:rPr>
                <w:rFonts w:eastAsia="DengXian" w:cs="Arial"/>
                <w:bCs/>
                <w:iCs/>
                <w:szCs w:val="18"/>
              </w:rPr>
              <w:t>No</w:t>
            </w:r>
          </w:p>
        </w:tc>
      </w:tr>
    </w:tbl>
    <w:p w14:paraId="026AB85A" w14:textId="77777777" w:rsidR="0094357C" w:rsidRDefault="0094357C"/>
    <w:p w14:paraId="026AB85B" w14:textId="77777777" w:rsidR="0094357C" w:rsidRDefault="00000000">
      <w:pPr>
        <w:pStyle w:val="Heading1"/>
      </w:pPr>
      <w:r>
        <w:lastRenderedPageBreak/>
        <w:t>Annex B: Agreements from RAN2 meetings</w:t>
      </w:r>
    </w:p>
    <w:p w14:paraId="026AB85C" w14:textId="77777777" w:rsidR="0094357C" w:rsidRDefault="00000000">
      <w:pPr>
        <w:rPr>
          <w:lang w:eastAsia="ja-JP"/>
        </w:rPr>
      </w:pPr>
      <w:r>
        <w:rPr>
          <w:highlight w:val="yellow"/>
          <w:lang w:eastAsia="ja-JP"/>
        </w:rPr>
        <w:t>Relevant agreements to the above discussion are highlighted.</w:t>
      </w:r>
    </w:p>
    <w:p w14:paraId="026AB85D" w14:textId="77777777" w:rsidR="0094357C" w:rsidRDefault="00000000">
      <w:pPr>
        <w:rPr>
          <w:b/>
          <w:bCs/>
          <w:lang w:eastAsia="ja-JP"/>
        </w:rPr>
      </w:pPr>
      <w:r>
        <w:rPr>
          <w:b/>
          <w:bCs/>
          <w:lang w:eastAsia="ja-JP"/>
        </w:rPr>
        <w:t>RAN2#119:</w:t>
      </w:r>
    </w:p>
    <w:p w14:paraId="026AB85E" w14:textId="77777777" w:rsidR="0094357C" w:rsidRDefault="00000000">
      <w:pPr>
        <w:pStyle w:val="Agreement"/>
        <w:overflowPunct/>
        <w:autoSpaceDE/>
        <w:adjustRightInd/>
        <w:ind w:left="1619" w:hanging="360"/>
        <w:rPr>
          <w:b w:val="0"/>
        </w:rPr>
      </w:pPr>
      <w:r>
        <w:rPr>
          <w:b w:val="0"/>
        </w:rPr>
        <w:t xml:space="preserve">The following Points are Endorsed, </w:t>
      </w:r>
      <w:proofErr w:type="gramStart"/>
      <w:r>
        <w:rPr>
          <w:b w:val="0"/>
        </w:rPr>
        <w:t>i.e.</w:t>
      </w:r>
      <w:proofErr w:type="gramEnd"/>
      <w:r>
        <w:rPr>
          <w:b w:val="0"/>
        </w:rPr>
        <w:t xml:space="preserve"> for the plan for next meeting (after one round of discussion at R2 119-e): </w:t>
      </w:r>
    </w:p>
    <w:p w14:paraId="026AB85F" w14:textId="77777777" w:rsidR="0094357C" w:rsidRDefault="00000000">
      <w:pPr>
        <w:pStyle w:val="Agreement"/>
        <w:numPr>
          <w:ilvl w:val="0"/>
          <w:numId w:val="0"/>
        </w:numPr>
        <w:tabs>
          <w:tab w:val="left" w:pos="720"/>
        </w:tabs>
        <w:ind w:left="1619"/>
        <w:rPr>
          <w:b w:val="0"/>
        </w:rPr>
      </w:pPr>
      <w:r>
        <w:rPr>
          <w:b w:val="0"/>
        </w:rPr>
        <w:t xml:space="preserve">P1: RAN2 to discuss scenarios, if and where enhancements to cell (re-)selection to/from the mobile IAB-node apply, </w:t>
      </w:r>
      <w:proofErr w:type="gramStart"/>
      <w:r>
        <w:rPr>
          <w:b w:val="0"/>
        </w:rPr>
        <w:t>e.g.</w:t>
      </w:r>
      <w:proofErr w:type="gramEnd"/>
      <w:r>
        <w:rPr>
          <w:b w:val="0"/>
        </w:rPr>
        <w:t xml:space="preserve"> based on mobile IAB-node broadcast parameter (this point doesn’t preclude other potential usage of </w:t>
      </w:r>
      <w:proofErr w:type="spellStart"/>
      <w:r>
        <w:rPr>
          <w:b w:val="0"/>
        </w:rPr>
        <w:t>Bcast</w:t>
      </w:r>
      <w:proofErr w:type="spellEnd"/>
      <w:r>
        <w:rPr>
          <w:b w:val="0"/>
        </w:rPr>
        <w:t xml:space="preserve"> info).</w:t>
      </w:r>
    </w:p>
    <w:p w14:paraId="026AB860" w14:textId="77777777" w:rsidR="0094357C" w:rsidRDefault="00000000">
      <w:pPr>
        <w:pStyle w:val="Agreement"/>
        <w:numPr>
          <w:ilvl w:val="0"/>
          <w:numId w:val="0"/>
        </w:numPr>
        <w:tabs>
          <w:tab w:val="left" w:pos="720"/>
        </w:tabs>
        <w:ind w:left="1619"/>
        <w:rPr>
          <w:b w:val="0"/>
        </w:rPr>
      </w:pPr>
      <w:r>
        <w:rPr>
          <w:b w:val="0"/>
        </w:rPr>
        <w:t xml:space="preserve">P2: Can discuss whether </w:t>
      </w:r>
      <w:proofErr w:type="gramStart"/>
      <w:r>
        <w:rPr>
          <w:b w:val="0"/>
        </w:rPr>
        <w:t>The</w:t>
      </w:r>
      <w:proofErr w:type="gramEnd"/>
      <w:r>
        <w:rPr>
          <w:b w:val="0"/>
        </w:rPr>
        <w:t xml:space="preserve"> mobile IAB-MT need to send a mobile-IAB indication (capability or mobility) to the IAB-donor-CU,</w:t>
      </w:r>
    </w:p>
    <w:p w14:paraId="026AB861" w14:textId="77777777" w:rsidR="0094357C" w:rsidRDefault="00000000">
      <w:pPr>
        <w:pStyle w:val="Agreement"/>
        <w:numPr>
          <w:ilvl w:val="0"/>
          <w:numId w:val="0"/>
        </w:numPr>
        <w:tabs>
          <w:tab w:val="left" w:pos="720"/>
        </w:tabs>
        <w:ind w:left="1619"/>
        <w:rPr>
          <w:b w:val="0"/>
        </w:rPr>
      </w:pPr>
      <w:r>
        <w:rPr>
          <w:b w:val="0"/>
        </w:rPr>
        <w:t xml:space="preserve">P3: For “dual-DU-way” of doing full migration, RAN2 may discuss whether the legacy UE should see the two logical cells/DUs as separate or same physical cell(s), and what procedure(s) the legacy UE needs to perform in either case. </w:t>
      </w:r>
    </w:p>
    <w:p w14:paraId="026AB862" w14:textId="77777777" w:rsidR="0094357C" w:rsidRDefault="00000000">
      <w:pPr>
        <w:pStyle w:val="Agreement"/>
        <w:numPr>
          <w:ilvl w:val="0"/>
          <w:numId w:val="0"/>
        </w:numPr>
        <w:tabs>
          <w:tab w:val="left" w:pos="720"/>
        </w:tabs>
        <w:ind w:left="1619"/>
        <w:rPr>
          <w:b w:val="0"/>
        </w:rPr>
      </w:pPr>
      <w:r>
        <w:rPr>
          <w:b w:val="0"/>
        </w:rPr>
        <w:t xml:space="preserve">P4: RAN2 may discuss whether there are issues with PCI partitioning that needs to/can be addressed (to be used in applicable scenario), if any found within R2 scope. May discuss need for and feasibility from R2 point of view of a dynamic PCI change mechanism. May also discuss whether enhancements to/vs current UE/MT reporting are useful/necessary to improve PCI collision detection. </w:t>
      </w:r>
    </w:p>
    <w:p w14:paraId="026AB863" w14:textId="77777777" w:rsidR="0094357C" w:rsidRDefault="00000000">
      <w:pPr>
        <w:pStyle w:val="Agreement"/>
        <w:numPr>
          <w:ilvl w:val="0"/>
          <w:numId w:val="0"/>
        </w:numPr>
        <w:tabs>
          <w:tab w:val="left" w:pos="720"/>
        </w:tabs>
        <w:ind w:left="1619"/>
        <w:rPr>
          <w:b w:val="0"/>
        </w:rPr>
      </w:pPr>
      <w:r>
        <w:rPr>
          <w:b w:val="0"/>
        </w:rPr>
        <w:t xml:space="preserve">P5: RAN2 may discuss whether there is a problem of RACH configuration collision between mobile IAB and stationary network from RAN2 perspective and/or whether RAN2 should ask RAN1 to consider RAN1-related aspects. </w:t>
      </w:r>
    </w:p>
    <w:p w14:paraId="026AB864" w14:textId="77777777" w:rsidR="0094357C" w:rsidRDefault="00000000">
      <w:pPr>
        <w:pStyle w:val="Agreement"/>
        <w:overflowPunct/>
        <w:autoSpaceDE/>
        <w:adjustRightInd/>
        <w:ind w:left="1619" w:hanging="360"/>
        <w:rPr>
          <w:b w:val="0"/>
        </w:rPr>
      </w:pPr>
      <w:r>
        <w:rPr>
          <w:b w:val="0"/>
        </w:rPr>
        <w:t>The method of not broadcasting “</w:t>
      </w:r>
      <w:proofErr w:type="spellStart"/>
      <w:r>
        <w:rPr>
          <w:b w:val="0"/>
        </w:rPr>
        <w:t>iab</w:t>
      </w:r>
      <w:proofErr w:type="spellEnd"/>
      <w:r>
        <w:rPr>
          <w:b w:val="0"/>
        </w:rPr>
        <w:t>-Support” indication, is sufficient to prevent other IAB-node from accessing mobile IAB (without further spec impact).</w:t>
      </w:r>
    </w:p>
    <w:p w14:paraId="026AB865" w14:textId="77777777" w:rsidR="0094357C" w:rsidRDefault="00000000">
      <w:pPr>
        <w:pStyle w:val="Agreement"/>
        <w:overflowPunct/>
        <w:autoSpaceDE/>
        <w:adjustRightInd/>
        <w:ind w:left="1619" w:hanging="360"/>
        <w:rPr>
          <w:b w:val="0"/>
        </w:rPr>
      </w:pPr>
      <w:r>
        <w:rPr>
          <w:b w:val="0"/>
        </w:rPr>
        <w:t xml:space="preserve">R2 assumes RACH-less procedure may be considered for on-board RRC_CONNECTED UEs, which are to be handed over together with the mobile IAB-node (would depend also on the assumptions for UL synch). </w:t>
      </w:r>
    </w:p>
    <w:p w14:paraId="026AB866" w14:textId="77777777" w:rsidR="0094357C" w:rsidRDefault="00000000">
      <w:pPr>
        <w:pStyle w:val="Agreement"/>
        <w:overflowPunct/>
        <w:autoSpaceDE/>
        <w:adjustRightInd/>
        <w:ind w:left="1619" w:hanging="360"/>
        <w:rPr>
          <w:b w:val="0"/>
        </w:rPr>
      </w:pPr>
      <w:r>
        <w:rPr>
          <w:b w:val="0"/>
        </w:rPr>
        <w:t xml:space="preserve">R2 assumes that CHO or delayed RRC config could be the baseline for group mobility (FFS if could be applicable for mobility of IAB MT), </w:t>
      </w:r>
      <w:proofErr w:type="gramStart"/>
      <w:r>
        <w:rPr>
          <w:b w:val="0"/>
        </w:rPr>
        <w:t>i.e.</w:t>
      </w:r>
      <w:proofErr w:type="gramEnd"/>
      <w:r>
        <w:rPr>
          <w:b w:val="0"/>
        </w:rPr>
        <w:t xml:space="preserve"> with a preparation in advance (not immediately) of the execution. </w:t>
      </w:r>
    </w:p>
    <w:p w14:paraId="026AB867" w14:textId="77777777" w:rsidR="0094357C" w:rsidRDefault="00000000">
      <w:pPr>
        <w:pStyle w:val="Agreement"/>
        <w:overflowPunct/>
        <w:autoSpaceDE/>
        <w:adjustRightInd/>
        <w:ind w:left="1619" w:hanging="360"/>
        <w:rPr>
          <w:b w:val="0"/>
        </w:rPr>
      </w:pPr>
      <w:r>
        <w:rPr>
          <w:b w:val="0"/>
        </w:rPr>
        <w:t xml:space="preserve">R2 assumes that Mobile IAB connecting to a stationary (intermediate) IAB node is/can be supported. R2 assumes this can be supported with no (or limited) impact. </w:t>
      </w:r>
    </w:p>
    <w:p w14:paraId="026AB868" w14:textId="77777777" w:rsidR="0094357C" w:rsidRDefault="0094357C">
      <w:pPr>
        <w:rPr>
          <w:lang w:eastAsia="ja-JP"/>
        </w:rPr>
      </w:pPr>
    </w:p>
    <w:p w14:paraId="026AB869" w14:textId="77777777" w:rsidR="0094357C" w:rsidRDefault="00000000">
      <w:pPr>
        <w:rPr>
          <w:b/>
          <w:bCs/>
          <w:lang w:eastAsia="ja-JP"/>
        </w:rPr>
      </w:pPr>
      <w:r>
        <w:rPr>
          <w:b/>
          <w:bCs/>
          <w:lang w:eastAsia="ja-JP"/>
        </w:rPr>
        <w:t>RAN2#119bis:</w:t>
      </w:r>
    </w:p>
    <w:p w14:paraId="026AB86A" w14:textId="77777777" w:rsidR="0094357C" w:rsidRDefault="00000000">
      <w:pPr>
        <w:pStyle w:val="Agreement"/>
        <w:overflowPunct/>
        <w:autoSpaceDE/>
        <w:adjustRightInd/>
        <w:ind w:left="1619" w:hanging="360"/>
        <w:rPr>
          <w:b w:val="0"/>
          <w:highlight w:val="yellow"/>
        </w:rPr>
      </w:pPr>
      <w:r>
        <w:rPr>
          <w:b w:val="0"/>
          <w:highlight w:val="yellow"/>
        </w:rPr>
        <w:t xml:space="preserve">UE capability signalling is the baseline to let CU know that the MT is a “mobile-IAB” type. FFS early mobile-IAB indication, </w:t>
      </w:r>
      <w:proofErr w:type="gramStart"/>
      <w:r>
        <w:rPr>
          <w:b w:val="0"/>
          <w:highlight w:val="yellow"/>
        </w:rPr>
        <w:t>e.g.</w:t>
      </w:r>
      <w:proofErr w:type="gramEnd"/>
      <w:r>
        <w:rPr>
          <w:b w:val="0"/>
          <w:highlight w:val="yellow"/>
        </w:rPr>
        <w:t xml:space="preserve"> in Msg5.</w:t>
      </w:r>
    </w:p>
    <w:p w14:paraId="026AB86B" w14:textId="77777777" w:rsidR="0094357C" w:rsidRDefault="00000000">
      <w:pPr>
        <w:pStyle w:val="Agreement"/>
        <w:overflowPunct/>
        <w:autoSpaceDE/>
        <w:adjustRightInd/>
        <w:ind w:left="1619" w:hanging="360"/>
        <w:rPr>
          <w:b w:val="0"/>
        </w:rPr>
      </w:pPr>
      <w:r>
        <w:rPr>
          <w:b w:val="0"/>
        </w:rPr>
        <w:t>Regarding moving status/mode indication, R2 observes that legacy reporting of mobility state (</w:t>
      </w:r>
      <w:proofErr w:type="gramStart"/>
      <w:r>
        <w:rPr>
          <w:b w:val="0"/>
        </w:rPr>
        <w:t>e.g.</w:t>
      </w:r>
      <w:proofErr w:type="gramEnd"/>
      <w:r>
        <w:rPr>
          <w:b w:val="0"/>
        </w:rPr>
        <w:t xml:space="preserve"> </w:t>
      </w:r>
      <w:r>
        <w:rPr>
          <w:b w:val="0"/>
          <w:i/>
        </w:rPr>
        <w:t>mobilityState-r16</w:t>
      </w:r>
      <w:r>
        <w:rPr>
          <w:b w:val="0"/>
        </w:rPr>
        <w:t xml:space="preserve">) could be reused, and maybe also current location reporting from the UE. FFS whether any of this need to be enhanced or complemented, </w:t>
      </w:r>
      <w:proofErr w:type="gramStart"/>
      <w:r>
        <w:rPr>
          <w:b w:val="0"/>
        </w:rPr>
        <w:t>e.g.</w:t>
      </w:r>
      <w:proofErr w:type="gramEnd"/>
      <w:r>
        <w:rPr>
          <w:b w:val="0"/>
        </w:rPr>
        <w:t xml:space="preserve"> for the potential purpose of predictive mobility.</w:t>
      </w:r>
    </w:p>
    <w:p w14:paraId="026AB86C" w14:textId="77777777" w:rsidR="0094357C" w:rsidRDefault="00000000">
      <w:pPr>
        <w:pStyle w:val="Agreement"/>
        <w:overflowPunct/>
        <w:autoSpaceDE/>
        <w:adjustRightInd/>
        <w:ind w:left="1619" w:hanging="360"/>
        <w:rPr>
          <w:b w:val="0"/>
        </w:rPr>
      </w:pPr>
      <w:r>
        <w:rPr>
          <w:b w:val="0"/>
        </w:rPr>
        <w:t>FFS if to Introduce that stationary network broadcasts indication of “supporting mobile-IAB” (into intended for the Mobile IAB MT)</w:t>
      </w:r>
    </w:p>
    <w:p w14:paraId="026AB86D" w14:textId="77777777" w:rsidR="0094357C" w:rsidRDefault="00000000">
      <w:pPr>
        <w:pStyle w:val="Agreement"/>
        <w:overflowPunct/>
        <w:autoSpaceDE/>
        <w:adjustRightInd/>
        <w:ind w:left="1619" w:hanging="360"/>
        <w:rPr>
          <w:b w:val="0"/>
        </w:rPr>
      </w:pPr>
      <w:r>
        <w:rPr>
          <w:b w:val="0"/>
        </w:rPr>
        <w:t xml:space="preserve">RAN2 confirms that Mobile IAB need to work with legacy UEs. </w:t>
      </w:r>
    </w:p>
    <w:p w14:paraId="026AB86E" w14:textId="77777777" w:rsidR="0094357C" w:rsidRDefault="00000000">
      <w:pPr>
        <w:pStyle w:val="Agreement"/>
        <w:overflowPunct/>
        <w:autoSpaceDE/>
        <w:adjustRightInd/>
        <w:ind w:left="1619" w:hanging="360"/>
        <w:rPr>
          <w:b w:val="0"/>
        </w:rPr>
      </w:pPr>
      <w:r>
        <w:rPr>
          <w:b w:val="0"/>
        </w:rPr>
        <w:t>RAN2 observes that a UE could potentially consider itself on-board of a mobile-IAB cell, if the UE camps on/connects to a mobile IAB cell during a long period (</w:t>
      </w:r>
      <w:proofErr w:type="gramStart"/>
      <w:r>
        <w:rPr>
          <w:b w:val="0"/>
        </w:rPr>
        <w:t>i.e.</w:t>
      </w:r>
      <w:proofErr w:type="gramEnd"/>
      <w:r>
        <w:rPr>
          <w:b w:val="0"/>
        </w:rPr>
        <w:t xml:space="preserve"> the UE then need to know that this is such a cell). FFS the time. FFS if this is needed. </w:t>
      </w:r>
    </w:p>
    <w:p w14:paraId="026AB86F" w14:textId="77777777" w:rsidR="0094357C" w:rsidRDefault="00000000">
      <w:pPr>
        <w:pStyle w:val="Agreement"/>
        <w:overflowPunct/>
        <w:autoSpaceDE/>
        <w:adjustRightInd/>
        <w:ind w:left="1619" w:hanging="360"/>
        <w:rPr>
          <w:b w:val="0"/>
        </w:rPr>
      </w:pPr>
      <w:r>
        <w:rPr>
          <w:b w:val="0"/>
        </w:rPr>
        <w:t>RAN2 assume below for the UEs working in the mobile IAB cell (may be obvious):</w:t>
      </w:r>
    </w:p>
    <w:p w14:paraId="026AB870" w14:textId="77777777" w:rsidR="0094357C" w:rsidRDefault="00000000">
      <w:pPr>
        <w:pStyle w:val="Agreement"/>
        <w:numPr>
          <w:ilvl w:val="0"/>
          <w:numId w:val="0"/>
        </w:numPr>
        <w:tabs>
          <w:tab w:val="left" w:pos="720"/>
        </w:tabs>
        <w:ind w:left="1619"/>
        <w:rPr>
          <w:b w:val="0"/>
        </w:rPr>
      </w:pPr>
      <w:r>
        <w:rPr>
          <w:b w:val="0"/>
        </w:rPr>
        <w:t>Assumption 1: From the NW perspective of mobile-IAB cell, the principle of setting the legacy parameters (including cell (re)selection, cell reservations and access restrictions) does not change, compared to the legacy IAB cell.</w:t>
      </w:r>
    </w:p>
    <w:p w14:paraId="026AB871" w14:textId="77777777" w:rsidR="0094357C" w:rsidRDefault="00000000">
      <w:pPr>
        <w:pStyle w:val="Agreement"/>
        <w:numPr>
          <w:ilvl w:val="0"/>
          <w:numId w:val="0"/>
        </w:numPr>
        <w:tabs>
          <w:tab w:val="left" w:pos="720"/>
        </w:tabs>
        <w:ind w:left="1619"/>
        <w:rPr>
          <w:b w:val="0"/>
        </w:rPr>
      </w:pPr>
      <w:r>
        <w:rPr>
          <w:b w:val="0"/>
        </w:rPr>
        <w:t xml:space="preserve">Assumption 2: No spec impact to legacy UEs </w:t>
      </w:r>
      <w:proofErr w:type="spellStart"/>
      <w:r>
        <w:rPr>
          <w:b w:val="0"/>
        </w:rPr>
        <w:t>behaviors</w:t>
      </w:r>
      <w:proofErr w:type="spellEnd"/>
      <w:r>
        <w:rPr>
          <w:b w:val="0"/>
        </w:rPr>
        <w:t>.</w:t>
      </w:r>
    </w:p>
    <w:p w14:paraId="026AB872" w14:textId="77777777" w:rsidR="0094357C" w:rsidRDefault="00000000">
      <w:pPr>
        <w:pStyle w:val="Agreement"/>
        <w:numPr>
          <w:ilvl w:val="0"/>
          <w:numId w:val="0"/>
        </w:numPr>
        <w:tabs>
          <w:tab w:val="left" w:pos="720"/>
        </w:tabs>
        <w:ind w:left="1619"/>
        <w:rPr>
          <w:b w:val="0"/>
        </w:rPr>
      </w:pPr>
      <w:r>
        <w:rPr>
          <w:b w:val="0"/>
        </w:rPr>
        <w:lastRenderedPageBreak/>
        <w:t>Assumption 3: Any R18 newly broadcasted info of mobile-IAB cell (if agreed) does not forbid/control the access of legacy UEs.</w:t>
      </w:r>
    </w:p>
    <w:p w14:paraId="026AB873" w14:textId="77777777" w:rsidR="0094357C" w:rsidRDefault="00000000">
      <w:pPr>
        <w:pStyle w:val="Agreement"/>
        <w:numPr>
          <w:ilvl w:val="0"/>
          <w:numId w:val="0"/>
        </w:numPr>
        <w:tabs>
          <w:tab w:val="left" w:pos="720"/>
        </w:tabs>
        <w:ind w:left="1619"/>
        <w:rPr>
          <w:b w:val="0"/>
        </w:rPr>
      </w:pPr>
      <w:r>
        <w:rPr>
          <w:b w:val="0"/>
        </w:rPr>
        <w:t>Assumption 4: Non-enhanced UEs (including legacy UEs and R18 UEs not supporting the enhancement) just ignore the R18 newly broadcasted info of mobile-IAB cell (if agreed).</w:t>
      </w:r>
    </w:p>
    <w:p w14:paraId="026AB874" w14:textId="77777777" w:rsidR="0094357C" w:rsidRDefault="00000000">
      <w:pPr>
        <w:pStyle w:val="Agreement"/>
        <w:overflowPunct/>
        <w:autoSpaceDE/>
        <w:adjustRightInd/>
        <w:ind w:left="1619" w:hanging="360"/>
        <w:rPr>
          <w:b w:val="0"/>
        </w:rPr>
      </w:pPr>
      <w:r>
        <w:rPr>
          <w:b w:val="0"/>
        </w:rPr>
        <w:t>RAN2 assumption: For the mobile IAB cell broadcasting info:</w:t>
      </w:r>
    </w:p>
    <w:p w14:paraId="026AB875" w14:textId="77777777" w:rsidR="0094357C" w:rsidRDefault="00000000">
      <w:pPr>
        <w:pStyle w:val="Agreement"/>
        <w:numPr>
          <w:ilvl w:val="0"/>
          <w:numId w:val="0"/>
        </w:numPr>
        <w:tabs>
          <w:tab w:val="left" w:pos="720"/>
        </w:tabs>
        <w:ind w:left="1619"/>
        <w:rPr>
          <w:b w:val="0"/>
        </w:rPr>
      </w:pPr>
      <w:r>
        <w:rPr>
          <w:b w:val="0"/>
        </w:rPr>
        <w:t>1 bit mobile-IAB cell type indication is introduced, to assist mobility in Idle/Inactive mode for Rel-18 UEs (FFS if to assist UE to know it is onboard, if this need to be known)</w:t>
      </w:r>
    </w:p>
    <w:p w14:paraId="026AB876" w14:textId="77777777" w:rsidR="0094357C" w:rsidRDefault="00000000">
      <w:pPr>
        <w:pStyle w:val="Agreement"/>
        <w:numPr>
          <w:ilvl w:val="0"/>
          <w:numId w:val="0"/>
        </w:numPr>
        <w:tabs>
          <w:tab w:val="left" w:pos="720"/>
        </w:tabs>
        <w:ind w:left="1619"/>
        <w:rPr>
          <w:b w:val="0"/>
        </w:rPr>
      </w:pPr>
      <w:r>
        <w:rPr>
          <w:b w:val="0"/>
        </w:rPr>
        <w:t>FFS how this is used (might be implementation specific).</w:t>
      </w:r>
    </w:p>
    <w:p w14:paraId="026AB877" w14:textId="77777777" w:rsidR="0094357C" w:rsidRDefault="00000000">
      <w:pPr>
        <w:pStyle w:val="Agreement"/>
        <w:overflowPunct/>
        <w:autoSpaceDE/>
        <w:adjustRightInd/>
        <w:ind w:left="1619" w:hanging="360"/>
        <w:rPr>
          <w:b w:val="0"/>
        </w:rPr>
      </w:pPr>
      <w:r>
        <w:rPr>
          <w:b w:val="0"/>
        </w:rPr>
        <w:t xml:space="preserve">RAN2 has from the Mobile IAB WI perspective </w:t>
      </w:r>
      <w:proofErr w:type="gramStart"/>
      <w:r>
        <w:rPr>
          <w:b w:val="0"/>
        </w:rPr>
        <w:t>not identified</w:t>
      </w:r>
      <w:proofErr w:type="gramEnd"/>
      <w:r>
        <w:rPr>
          <w:b w:val="0"/>
        </w:rPr>
        <w:t xml:space="preserve"> any modifications to prevent the surrounding UE from accessing the mobile IAB-node, but believes that SA2 may be working on Rel-18 solutions that may be applicable (wait for SA2)</w:t>
      </w:r>
    </w:p>
    <w:p w14:paraId="026AB878" w14:textId="77777777" w:rsidR="0094357C" w:rsidRDefault="00000000">
      <w:pPr>
        <w:pStyle w:val="Agreement"/>
        <w:overflowPunct/>
        <w:autoSpaceDE/>
        <w:adjustRightInd/>
        <w:ind w:left="1619" w:hanging="360"/>
        <w:rPr>
          <w:b w:val="0"/>
        </w:rPr>
      </w:pPr>
      <w:r>
        <w:rPr>
          <w:b w:val="0"/>
        </w:rPr>
        <w:t xml:space="preserve">RAN2 assumes that O1 and O3 above could work, and FFS if O2 above (new trigger etc) is needed. </w:t>
      </w:r>
    </w:p>
    <w:p w14:paraId="026AB879" w14:textId="77777777" w:rsidR="0094357C" w:rsidRDefault="00000000">
      <w:pPr>
        <w:pStyle w:val="Agreement"/>
        <w:overflowPunct/>
        <w:autoSpaceDE/>
        <w:adjustRightInd/>
        <w:ind w:left="1619" w:hanging="360"/>
        <w:rPr>
          <w:b w:val="0"/>
        </w:rPr>
      </w:pPr>
      <w:r>
        <w:rPr>
          <w:b w:val="0"/>
        </w:rPr>
        <w:t xml:space="preserve">RAN2 focuses on the scenario where, during full migration, the UE sees the </w:t>
      </w:r>
      <w:r>
        <w:rPr>
          <w:rFonts w:cstheme="minorHAnsi"/>
          <w:b w:val="0"/>
        </w:rPr>
        <w:t>two logical DU cells as different physical cells (</w:t>
      </w:r>
      <w:proofErr w:type="gramStart"/>
      <w:r>
        <w:rPr>
          <w:rFonts w:cstheme="minorHAnsi"/>
          <w:b w:val="0"/>
        </w:rPr>
        <w:t>e.g.</w:t>
      </w:r>
      <w:proofErr w:type="gramEnd"/>
      <w:r>
        <w:rPr>
          <w:rFonts w:cstheme="minorHAnsi"/>
          <w:b w:val="0"/>
        </w:rPr>
        <w:t xml:space="preserve"> with different PCI if same carrier), and where the two logical DU cells use separate physical resources (i.e., different carriers, or orthogonal time and frequency resources of the same carrier, as supported by legacy L1).</w:t>
      </w:r>
    </w:p>
    <w:p w14:paraId="026AB87A" w14:textId="77777777" w:rsidR="0094357C" w:rsidRDefault="00000000">
      <w:pPr>
        <w:pStyle w:val="Agreement"/>
        <w:overflowPunct/>
        <w:autoSpaceDE/>
        <w:adjustRightInd/>
        <w:ind w:left="1619" w:hanging="360"/>
        <w:rPr>
          <w:b w:val="0"/>
        </w:rPr>
      </w:pPr>
      <w:r>
        <w:rPr>
          <w:b w:val="0"/>
        </w:rPr>
        <w:t xml:space="preserve">No LS is </w:t>
      </w:r>
      <w:proofErr w:type="gramStart"/>
      <w:r>
        <w:rPr>
          <w:b w:val="0"/>
        </w:rPr>
        <w:t>needed</w:t>
      </w:r>
      <w:proofErr w:type="gramEnd"/>
    </w:p>
    <w:p w14:paraId="026AB87B" w14:textId="77777777" w:rsidR="0094357C" w:rsidRDefault="00000000">
      <w:pPr>
        <w:rPr>
          <w:lang w:eastAsia="ja-JP"/>
        </w:rPr>
      </w:pPr>
      <w:r>
        <w:rPr>
          <w:lang w:eastAsia="ja-JP"/>
        </w:rPr>
        <w:t xml:space="preserve">       </w:t>
      </w:r>
    </w:p>
    <w:p w14:paraId="026AB87C" w14:textId="77777777" w:rsidR="0094357C" w:rsidRDefault="00000000">
      <w:pPr>
        <w:rPr>
          <w:b/>
          <w:bCs/>
          <w:lang w:eastAsia="ja-JP"/>
        </w:rPr>
      </w:pPr>
      <w:r>
        <w:rPr>
          <w:b/>
          <w:bCs/>
          <w:lang w:eastAsia="ja-JP"/>
        </w:rPr>
        <w:t>RAN2#120:</w:t>
      </w:r>
    </w:p>
    <w:p w14:paraId="026AB87D" w14:textId="77777777" w:rsidR="0094357C" w:rsidRDefault="00000000">
      <w:pPr>
        <w:pStyle w:val="Agreement"/>
        <w:tabs>
          <w:tab w:val="clear" w:pos="9990"/>
        </w:tabs>
        <w:overflowPunct/>
        <w:autoSpaceDE/>
        <w:autoSpaceDN/>
        <w:adjustRightInd/>
        <w:ind w:left="1619" w:hanging="360"/>
        <w:rPr>
          <w:b w:val="0"/>
        </w:rPr>
      </w:pPr>
      <w:r>
        <w:rPr>
          <w:b w:val="0"/>
        </w:rPr>
        <w:t xml:space="preserve">R2 assumes that </w:t>
      </w:r>
      <w:proofErr w:type="gramStart"/>
      <w:r>
        <w:rPr>
          <w:b w:val="0"/>
        </w:rPr>
        <w:t>It</w:t>
      </w:r>
      <w:proofErr w:type="gramEnd"/>
      <w:r>
        <w:rPr>
          <w:b w:val="0"/>
        </w:rPr>
        <w:t xml:space="preserve"> is up to RAN3 or SA2 to decide whether to support early mobile IAB indication in Msg5 because it depends whether donor CU needs to select an AMF supporting mobile IAB. </w:t>
      </w:r>
    </w:p>
    <w:p w14:paraId="026AB87E" w14:textId="77777777" w:rsidR="0094357C" w:rsidRDefault="00000000">
      <w:pPr>
        <w:pStyle w:val="Agreement"/>
        <w:tabs>
          <w:tab w:val="clear" w:pos="9990"/>
        </w:tabs>
        <w:overflowPunct/>
        <w:autoSpaceDE/>
        <w:autoSpaceDN/>
        <w:adjustRightInd/>
        <w:ind w:left="1619" w:hanging="360"/>
        <w:rPr>
          <w:b w:val="0"/>
        </w:rPr>
      </w:pPr>
      <w:r>
        <w:rPr>
          <w:b w:val="0"/>
        </w:rPr>
        <w:t>R2 assumes that Donor CU can determine mobile IAB node's moving status via legacy reporting (</w:t>
      </w:r>
      <w:proofErr w:type="gramStart"/>
      <w:r>
        <w:rPr>
          <w:b w:val="0"/>
        </w:rPr>
        <w:t>e.g.</w:t>
      </w:r>
      <w:proofErr w:type="gramEnd"/>
      <w:r>
        <w:rPr>
          <w:b w:val="0"/>
        </w:rPr>
        <w:t xml:space="preserve"> mobility state and UE location / velocity specified in SON/MDT), i.e. R2 assumes enhanced / new reporting is not needed. </w:t>
      </w:r>
    </w:p>
    <w:p w14:paraId="026AB87F" w14:textId="77777777" w:rsidR="0094357C" w:rsidRDefault="00000000">
      <w:pPr>
        <w:pStyle w:val="Agreement"/>
        <w:tabs>
          <w:tab w:val="clear" w:pos="9990"/>
        </w:tabs>
        <w:overflowPunct/>
        <w:autoSpaceDE/>
        <w:autoSpaceDN/>
        <w:adjustRightInd/>
        <w:ind w:left="1619" w:hanging="360"/>
        <w:rPr>
          <w:b w:val="0"/>
        </w:rPr>
      </w:pPr>
      <w:r>
        <w:rPr>
          <w:b w:val="0"/>
          <w:highlight w:val="yellow"/>
        </w:rPr>
        <w:t>A mobile IAB node may camp on and connect to legacy Rel-16/Rel-17 IAB capable cell.</w:t>
      </w:r>
      <w:r>
        <w:rPr>
          <w:b w:val="0"/>
        </w:rPr>
        <w:t xml:space="preserve"> </w:t>
      </w:r>
    </w:p>
    <w:p w14:paraId="026AB880" w14:textId="77777777" w:rsidR="0094357C" w:rsidRDefault="00000000">
      <w:pPr>
        <w:pStyle w:val="Agreement"/>
        <w:tabs>
          <w:tab w:val="clear" w:pos="9990"/>
        </w:tabs>
        <w:overflowPunct/>
        <w:autoSpaceDE/>
        <w:autoSpaceDN/>
        <w:adjustRightInd/>
        <w:ind w:left="1619" w:hanging="360"/>
        <w:rPr>
          <w:b w:val="0"/>
        </w:rPr>
      </w:pPr>
      <w:r>
        <w:rPr>
          <w:b w:val="0"/>
        </w:rPr>
        <w:t>R2 assumes "supporting mobile-IAB" indication is provided by Rel-18 Mobile IAB capable parent cell.</w:t>
      </w:r>
    </w:p>
    <w:p w14:paraId="026AB881" w14:textId="77777777" w:rsidR="0094357C" w:rsidRDefault="00000000">
      <w:pPr>
        <w:pStyle w:val="Agreement"/>
        <w:tabs>
          <w:tab w:val="clear" w:pos="9990"/>
        </w:tabs>
        <w:overflowPunct/>
        <w:autoSpaceDE/>
        <w:autoSpaceDN/>
        <w:adjustRightInd/>
        <w:ind w:left="1619" w:hanging="360"/>
        <w:rPr>
          <w:b w:val="0"/>
        </w:rPr>
      </w:pPr>
      <w:r>
        <w:rPr>
          <w:b w:val="0"/>
        </w:rPr>
        <w:t xml:space="preserve">Regarding the assumed mobile-IAB cell type indication, RAN2 assumes is may be specified if some related UE behaviour is specified. </w:t>
      </w:r>
    </w:p>
    <w:p w14:paraId="026AB882" w14:textId="77777777" w:rsidR="0094357C" w:rsidRDefault="00000000">
      <w:pPr>
        <w:pStyle w:val="Agreement"/>
        <w:tabs>
          <w:tab w:val="clear" w:pos="9990"/>
        </w:tabs>
        <w:overflowPunct/>
        <w:autoSpaceDE/>
        <w:autoSpaceDN/>
        <w:adjustRightInd/>
        <w:ind w:left="1619" w:hanging="360"/>
        <w:rPr>
          <w:b w:val="0"/>
        </w:rPr>
      </w:pPr>
      <w:r>
        <w:rPr>
          <w:b w:val="0"/>
        </w:rPr>
        <w:t xml:space="preserve">RAN2 assumes that PCI collision can be avoided, by reconfigurations, and this may be handled by RAN3. If RAN3 finds issues that RAN2 should work </w:t>
      </w:r>
      <w:proofErr w:type="gramStart"/>
      <w:r>
        <w:rPr>
          <w:b w:val="0"/>
        </w:rPr>
        <w:t>on</w:t>
      </w:r>
      <w:proofErr w:type="gramEnd"/>
      <w:r>
        <w:rPr>
          <w:b w:val="0"/>
        </w:rPr>
        <w:t xml:space="preserve"> then RAN2 can work. </w:t>
      </w:r>
      <w:proofErr w:type="gramStart"/>
      <w:r>
        <w:rPr>
          <w:b w:val="0"/>
        </w:rPr>
        <w:t>e.g.</w:t>
      </w:r>
      <w:proofErr w:type="gramEnd"/>
      <w:r>
        <w:rPr>
          <w:b w:val="0"/>
        </w:rPr>
        <w:t xml:space="preserve"> based on LS.</w:t>
      </w:r>
    </w:p>
    <w:p w14:paraId="026AB883" w14:textId="77777777" w:rsidR="0094357C" w:rsidRDefault="00000000">
      <w:pPr>
        <w:pStyle w:val="Agreement"/>
        <w:tabs>
          <w:tab w:val="clear" w:pos="9990"/>
        </w:tabs>
        <w:overflowPunct/>
        <w:autoSpaceDE/>
        <w:autoSpaceDN/>
        <w:adjustRightInd/>
        <w:ind w:left="1619" w:hanging="360"/>
        <w:rPr>
          <w:b w:val="0"/>
        </w:rPr>
      </w:pPr>
      <w:r>
        <w:rPr>
          <w:b w:val="0"/>
        </w:rPr>
        <w:t xml:space="preserve">RAN2 understands that RACH interference and collisions may be avoided by RACH configuration, and RACH configurations can </w:t>
      </w:r>
      <w:proofErr w:type="gramStart"/>
      <w:r>
        <w:rPr>
          <w:b w:val="0"/>
        </w:rPr>
        <w:t>e.g.</w:t>
      </w:r>
      <w:proofErr w:type="gramEnd"/>
      <w:r>
        <w:rPr>
          <w:b w:val="0"/>
        </w:rPr>
        <w:t xml:space="preserve"> be exchanged by </w:t>
      </w:r>
      <w:proofErr w:type="spellStart"/>
      <w:r>
        <w:rPr>
          <w:b w:val="0"/>
        </w:rPr>
        <w:t>Xn</w:t>
      </w:r>
      <w:proofErr w:type="spellEnd"/>
      <w:r>
        <w:rPr>
          <w:b w:val="0"/>
        </w:rPr>
        <w:t>, so RACH interference and collisions better be handled between RAN3 and RAN1, if needed.</w:t>
      </w:r>
    </w:p>
    <w:p w14:paraId="026AB884" w14:textId="77777777" w:rsidR="0094357C" w:rsidRDefault="0094357C">
      <w:pPr>
        <w:rPr>
          <w:lang w:eastAsia="ja-JP"/>
        </w:rPr>
      </w:pPr>
    </w:p>
    <w:p w14:paraId="026AB885" w14:textId="77777777" w:rsidR="0094357C" w:rsidRDefault="00000000">
      <w:pPr>
        <w:rPr>
          <w:b/>
          <w:bCs/>
          <w:lang w:eastAsia="ja-JP"/>
        </w:rPr>
      </w:pPr>
      <w:r>
        <w:rPr>
          <w:b/>
          <w:bCs/>
          <w:lang w:eastAsia="ja-JP"/>
        </w:rPr>
        <w:t>RAN2#121:</w:t>
      </w:r>
    </w:p>
    <w:p w14:paraId="026AB886" w14:textId="77777777" w:rsidR="0094357C" w:rsidRDefault="00000000">
      <w:pPr>
        <w:pStyle w:val="Agreement"/>
        <w:tabs>
          <w:tab w:val="clear" w:pos="9990"/>
        </w:tabs>
        <w:overflowPunct/>
        <w:autoSpaceDE/>
        <w:autoSpaceDN/>
        <w:adjustRightInd/>
        <w:ind w:left="1619" w:hanging="360"/>
        <w:rPr>
          <w:b w:val="0"/>
        </w:rPr>
      </w:pPr>
      <w:r>
        <w:rPr>
          <w:b w:val="0"/>
        </w:rPr>
        <w:t xml:space="preserve">Postponed, AMF selection in the base-station is a Ran3 function, Ran2 expect RAN3 to ask for it if support for this is </w:t>
      </w:r>
      <w:proofErr w:type="gramStart"/>
      <w:r>
        <w:rPr>
          <w:b w:val="0"/>
        </w:rPr>
        <w:t>needed</w:t>
      </w:r>
      <w:proofErr w:type="gramEnd"/>
      <w:r>
        <w:rPr>
          <w:b w:val="0"/>
        </w:rPr>
        <w:t xml:space="preserve"> </w:t>
      </w:r>
    </w:p>
    <w:p w14:paraId="026AB887" w14:textId="77777777" w:rsidR="0094357C" w:rsidRDefault="00000000">
      <w:pPr>
        <w:pStyle w:val="Agreement"/>
        <w:tabs>
          <w:tab w:val="clear" w:pos="9990"/>
        </w:tabs>
        <w:overflowPunct/>
        <w:autoSpaceDE/>
        <w:autoSpaceDN/>
        <w:adjustRightInd/>
        <w:ind w:left="1619" w:hanging="360"/>
        <w:rPr>
          <w:b w:val="0"/>
        </w:rPr>
      </w:pPr>
      <w:r>
        <w:rPr>
          <w:b w:val="0"/>
        </w:rPr>
        <w:t xml:space="preserve">Working Assumption: support to have UE prioritization in cell reselection for </w:t>
      </w:r>
      <w:proofErr w:type="spellStart"/>
      <w:r>
        <w:rPr>
          <w:b w:val="0"/>
        </w:rPr>
        <w:t>mIAB</w:t>
      </w:r>
      <w:proofErr w:type="spellEnd"/>
      <w:r>
        <w:rPr>
          <w:b w:val="0"/>
        </w:rPr>
        <w:t xml:space="preserve"> cell(s), at least for inter-frequency cell-reselection. </w:t>
      </w:r>
    </w:p>
    <w:p w14:paraId="026AB888" w14:textId="77777777" w:rsidR="0094357C" w:rsidRDefault="00000000">
      <w:pPr>
        <w:pStyle w:val="Agreement"/>
        <w:tabs>
          <w:tab w:val="clear" w:pos="9990"/>
        </w:tabs>
        <w:overflowPunct/>
        <w:autoSpaceDE/>
        <w:autoSpaceDN/>
        <w:adjustRightInd/>
        <w:ind w:left="1619" w:hanging="360"/>
        <w:rPr>
          <w:b w:val="0"/>
        </w:rPr>
      </w:pPr>
      <w:r>
        <w:rPr>
          <w:b w:val="0"/>
        </w:rPr>
        <w:t xml:space="preserve">FFS if UE search and measure for </w:t>
      </w:r>
      <w:proofErr w:type="spellStart"/>
      <w:r>
        <w:rPr>
          <w:b w:val="0"/>
        </w:rPr>
        <w:t>mIAB</w:t>
      </w:r>
      <w:proofErr w:type="spellEnd"/>
      <w:r>
        <w:rPr>
          <w:b w:val="0"/>
        </w:rPr>
        <w:t xml:space="preserve"> cells on different frequencies is unspecified (autonomous search), FFS if such search can be done without assistance frequency information. </w:t>
      </w:r>
    </w:p>
    <w:p w14:paraId="026AB889" w14:textId="77777777" w:rsidR="0094357C" w:rsidRDefault="00000000">
      <w:pPr>
        <w:pStyle w:val="Agreement"/>
        <w:tabs>
          <w:tab w:val="clear" w:pos="9990"/>
        </w:tabs>
        <w:overflowPunct/>
        <w:autoSpaceDE/>
        <w:autoSpaceDN/>
        <w:adjustRightInd/>
        <w:ind w:left="1619" w:hanging="360"/>
        <w:rPr>
          <w:b w:val="0"/>
        </w:rPr>
      </w:pPr>
      <w:r>
        <w:rPr>
          <w:b w:val="0"/>
        </w:rPr>
        <w:t>For the upstream data handling at the BAP of mobile IAB MT, one common default BAP configuration to be used by both logical DUs is the baseline. RAN2 to further discuss the need of using logical-DU-specific default BAP configuration (</w:t>
      </w:r>
      <w:proofErr w:type="gramStart"/>
      <w:r>
        <w:rPr>
          <w:b w:val="0"/>
        </w:rPr>
        <w:t>e.g.</w:t>
      </w:r>
      <w:proofErr w:type="gramEnd"/>
      <w:r>
        <w:rPr>
          <w:b w:val="0"/>
        </w:rPr>
        <w:t xml:space="preserve"> when the two logical DUs use different donor-DUs).</w:t>
      </w:r>
    </w:p>
    <w:p w14:paraId="026AB88A" w14:textId="77777777" w:rsidR="0094357C" w:rsidRDefault="00000000">
      <w:pPr>
        <w:pStyle w:val="Agreement"/>
        <w:tabs>
          <w:tab w:val="clear" w:pos="9990"/>
        </w:tabs>
        <w:overflowPunct/>
        <w:autoSpaceDE/>
        <w:autoSpaceDN/>
        <w:adjustRightInd/>
        <w:ind w:left="1619" w:hanging="360"/>
        <w:rPr>
          <w:b w:val="0"/>
        </w:rPr>
      </w:pPr>
      <w:r>
        <w:rPr>
          <w:rFonts w:hint="eastAsia"/>
          <w:b w:val="0"/>
        </w:rPr>
        <w:lastRenderedPageBreak/>
        <w:t xml:space="preserve">For the upstream data handling at the BAP of mobile IAB MT, </w:t>
      </w:r>
      <w:r>
        <w:rPr>
          <w:b w:val="0"/>
        </w:rPr>
        <w:t xml:space="preserve">RAN2 assume that </w:t>
      </w:r>
      <w:r>
        <w:rPr>
          <w:rFonts w:hint="eastAsia"/>
          <w:b w:val="0"/>
        </w:rPr>
        <w:t>the F1AP BAP configuration for each logical DU should be configured/controlled by the DU</w:t>
      </w:r>
      <w:r>
        <w:rPr>
          <w:b w:val="0"/>
        </w:rPr>
        <w:t>’</w:t>
      </w:r>
      <w:r>
        <w:rPr>
          <w:rFonts w:hint="eastAsia"/>
          <w:b w:val="0"/>
        </w:rPr>
        <w:t>s respective donor-CU via the corresponding F1AP connection</w:t>
      </w:r>
      <w:r>
        <w:rPr>
          <w:b w:val="0"/>
        </w:rPr>
        <w:t xml:space="preserve"> (To be confirmed by RAN3)</w:t>
      </w:r>
      <w:r>
        <w:rPr>
          <w:rFonts w:hint="eastAsia"/>
          <w:b w:val="0"/>
        </w:rPr>
        <w:t>.</w:t>
      </w:r>
    </w:p>
    <w:p w14:paraId="026AB88B" w14:textId="77777777" w:rsidR="0094357C" w:rsidRDefault="00000000">
      <w:pPr>
        <w:pStyle w:val="Agreement"/>
        <w:tabs>
          <w:tab w:val="clear" w:pos="9990"/>
        </w:tabs>
        <w:overflowPunct/>
        <w:autoSpaceDE/>
        <w:autoSpaceDN/>
        <w:adjustRightInd/>
        <w:ind w:left="1619" w:hanging="360"/>
        <w:rPr>
          <w:b w:val="0"/>
        </w:rPr>
      </w:pPr>
      <w:r>
        <w:rPr>
          <w:b w:val="0"/>
        </w:rPr>
        <w:t>For the downstream data handling arriving at the mobile IAB node, RAN2 assume upper layers (</w:t>
      </w:r>
      <w:proofErr w:type="gramStart"/>
      <w:r>
        <w:rPr>
          <w:b w:val="0"/>
        </w:rPr>
        <w:t>e.g.</w:t>
      </w:r>
      <w:proofErr w:type="gramEnd"/>
      <w:r>
        <w:rPr>
          <w:b w:val="0"/>
        </w:rPr>
        <w:t xml:space="preserve"> IP layer) can differentiate the data to different logical DUs based on e.g. the IP address, i.e. no need to introduce logical-DU-specific BAP address. (To be confirmed by RAN3).</w:t>
      </w:r>
    </w:p>
    <w:p w14:paraId="026AB88C" w14:textId="77777777" w:rsidR="0094357C" w:rsidRDefault="0094357C">
      <w:pPr>
        <w:rPr>
          <w:lang w:eastAsia="ja-JP"/>
        </w:rPr>
      </w:pPr>
    </w:p>
    <w:p w14:paraId="026AB88D" w14:textId="77777777" w:rsidR="0094357C" w:rsidRDefault="00000000">
      <w:pPr>
        <w:rPr>
          <w:b/>
          <w:bCs/>
          <w:lang w:eastAsia="ja-JP"/>
        </w:rPr>
      </w:pPr>
      <w:r>
        <w:rPr>
          <w:b/>
          <w:bCs/>
          <w:lang w:eastAsia="ja-JP"/>
        </w:rPr>
        <w:t>RAN2#121bis:</w:t>
      </w:r>
    </w:p>
    <w:p w14:paraId="026AB88E" w14:textId="77777777" w:rsidR="0094357C" w:rsidRDefault="00000000">
      <w:pPr>
        <w:pStyle w:val="Agreement"/>
        <w:tabs>
          <w:tab w:val="clear" w:pos="9990"/>
        </w:tabs>
        <w:overflowPunct/>
        <w:autoSpaceDE/>
        <w:autoSpaceDN/>
        <w:adjustRightInd/>
        <w:ind w:left="1619" w:hanging="360"/>
        <w:rPr>
          <w:b w:val="0"/>
        </w:rPr>
      </w:pPr>
      <w:r>
        <w:rPr>
          <w:b w:val="0"/>
        </w:rPr>
        <w:t xml:space="preserve">RACH-less for </w:t>
      </w:r>
      <w:proofErr w:type="spellStart"/>
      <w:r>
        <w:rPr>
          <w:b w:val="0"/>
        </w:rPr>
        <w:t>mIAB</w:t>
      </w:r>
      <w:proofErr w:type="spellEnd"/>
      <w:r>
        <w:rPr>
          <w:b w:val="0"/>
        </w:rPr>
        <w:t xml:space="preserve"> scenario, if agreed in the end, will cover only the case of same-TA. </w:t>
      </w:r>
    </w:p>
    <w:p w14:paraId="026AB88F" w14:textId="77777777" w:rsidR="0094357C" w:rsidRDefault="00000000">
      <w:pPr>
        <w:pStyle w:val="Agreement"/>
        <w:tabs>
          <w:tab w:val="clear" w:pos="9990"/>
        </w:tabs>
        <w:overflowPunct/>
        <w:autoSpaceDE/>
        <w:autoSpaceDN/>
        <w:adjustRightInd/>
        <w:ind w:left="1619" w:hanging="360"/>
        <w:rPr>
          <w:b w:val="0"/>
        </w:rPr>
      </w:pPr>
      <w:r>
        <w:rPr>
          <w:b w:val="0"/>
        </w:rPr>
        <w:t xml:space="preserve">Feasibility of beam handling during RACH-less HO in the </w:t>
      </w:r>
      <w:proofErr w:type="spellStart"/>
      <w:r>
        <w:rPr>
          <w:b w:val="0"/>
        </w:rPr>
        <w:t>mIAB</w:t>
      </w:r>
      <w:proofErr w:type="spellEnd"/>
      <w:r>
        <w:rPr>
          <w:b w:val="0"/>
        </w:rPr>
        <w:t xml:space="preserve"> WI is FFS (and this need to be addressed for RACH-less to be supported for </w:t>
      </w:r>
      <w:proofErr w:type="spellStart"/>
      <w:r>
        <w:rPr>
          <w:b w:val="0"/>
        </w:rPr>
        <w:t>mIAB</w:t>
      </w:r>
      <w:proofErr w:type="spellEnd"/>
      <w:r>
        <w:rPr>
          <w:b w:val="0"/>
        </w:rPr>
        <w:t xml:space="preserve">). </w:t>
      </w:r>
    </w:p>
    <w:p w14:paraId="026AB890" w14:textId="77777777" w:rsidR="0094357C" w:rsidRDefault="00000000">
      <w:pPr>
        <w:pStyle w:val="Agreement"/>
        <w:tabs>
          <w:tab w:val="clear" w:pos="9990"/>
        </w:tabs>
        <w:overflowPunct/>
        <w:autoSpaceDE/>
        <w:autoSpaceDN/>
        <w:adjustRightInd/>
        <w:ind w:left="1619" w:hanging="360"/>
        <w:rPr>
          <w:b w:val="0"/>
        </w:rPr>
      </w:pPr>
      <w:r>
        <w:rPr>
          <w:b w:val="0"/>
        </w:rPr>
        <w:t>RAN2 discuss further the following options to support beam operation for the first UL transmission/DL reception towards the target logical DU in RACH-less HO during DU migration:</w:t>
      </w:r>
    </w:p>
    <w:p w14:paraId="026AB891" w14:textId="77777777" w:rsidR="0094357C" w:rsidRDefault="00000000">
      <w:pPr>
        <w:pStyle w:val="Agreement"/>
        <w:numPr>
          <w:ilvl w:val="0"/>
          <w:numId w:val="0"/>
        </w:numPr>
        <w:ind w:left="1619"/>
        <w:rPr>
          <w:b w:val="0"/>
        </w:rPr>
      </w:pPr>
      <w:r>
        <w:rPr>
          <w:b w:val="0"/>
        </w:rPr>
        <w:t xml:space="preserve">Option 1: (Explicit approach) Explicit beam information is included in HO command. FFS the details. </w:t>
      </w:r>
    </w:p>
    <w:p w14:paraId="026AB892" w14:textId="77777777" w:rsidR="0094357C" w:rsidRDefault="00000000">
      <w:pPr>
        <w:pStyle w:val="Agreement"/>
        <w:numPr>
          <w:ilvl w:val="0"/>
          <w:numId w:val="0"/>
        </w:numPr>
        <w:ind w:left="1619"/>
        <w:rPr>
          <w:b w:val="0"/>
        </w:rPr>
      </w:pPr>
      <w:r>
        <w:rPr>
          <w:b w:val="0"/>
        </w:rPr>
        <w:t>Option 2: (Implicit approach) UE re-uses the same beam status as in the source cell (the beam information is not carried explicitly in HO command).</w:t>
      </w:r>
    </w:p>
    <w:p w14:paraId="026AB893" w14:textId="77777777" w:rsidR="0094357C" w:rsidRDefault="00000000">
      <w:pPr>
        <w:pStyle w:val="Agreement"/>
        <w:tabs>
          <w:tab w:val="clear" w:pos="9990"/>
        </w:tabs>
        <w:overflowPunct/>
        <w:autoSpaceDE/>
        <w:autoSpaceDN/>
        <w:adjustRightInd/>
        <w:ind w:left="1619" w:hanging="360"/>
        <w:rPr>
          <w:b w:val="0"/>
        </w:rPr>
      </w:pPr>
      <w:r>
        <w:rPr>
          <w:b w:val="0"/>
        </w:rPr>
        <w:t xml:space="preserve">RACH-less HO with same TA with security key change is in scope for served UEs during </w:t>
      </w:r>
      <w:proofErr w:type="spellStart"/>
      <w:r>
        <w:rPr>
          <w:b w:val="0"/>
        </w:rPr>
        <w:t>mIAB</w:t>
      </w:r>
      <w:proofErr w:type="spellEnd"/>
      <w:r>
        <w:rPr>
          <w:b w:val="0"/>
        </w:rPr>
        <w:t xml:space="preserve"> DU migration. FFS UL grant and HO completion procedure in </w:t>
      </w:r>
      <w:proofErr w:type="spellStart"/>
      <w:r>
        <w:rPr>
          <w:b w:val="0"/>
        </w:rPr>
        <w:t>mIAB</w:t>
      </w:r>
      <w:proofErr w:type="spellEnd"/>
      <w:r>
        <w:rPr>
          <w:b w:val="0"/>
        </w:rPr>
        <w:t xml:space="preserve"> RACH-less HO.</w:t>
      </w:r>
    </w:p>
    <w:p w14:paraId="026AB894" w14:textId="77777777" w:rsidR="0094357C" w:rsidRDefault="00000000">
      <w:pPr>
        <w:pStyle w:val="Agreement"/>
        <w:tabs>
          <w:tab w:val="clear" w:pos="9990"/>
        </w:tabs>
        <w:overflowPunct/>
        <w:autoSpaceDE/>
        <w:autoSpaceDN/>
        <w:adjustRightInd/>
        <w:ind w:left="1619" w:hanging="360"/>
        <w:rPr>
          <w:b w:val="0"/>
        </w:rPr>
      </w:pPr>
      <w:r>
        <w:rPr>
          <w:b w:val="0"/>
        </w:rPr>
        <w:t xml:space="preserve">FFS: May support CHO with CondT1 if it is “for free”, </w:t>
      </w:r>
      <w:proofErr w:type="gramStart"/>
      <w:r>
        <w:rPr>
          <w:b w:val="0"/>
        </w:rPr>
        <w:t>i.e.</w:t>
      </w:r>
      <w:proofErr w:type="gramEnd"/>
      <w:r>
        <w:rPr>
          <w:b w:val="0"/>
        </w:rPr>
        <w:t xml:space="preserve"> if TS impact is just to slightly modify the description to make it also applicable to TN. </w:t>
      </w:r>
    </w:p>
    <w:p w14:paraId="026AB895" w14:textId="77777777" w:rsidR="0094357C" w:rsidRDefault="00000000">
      <w:pPr>
        <w:pStyle w:val="Agreement"/>
        <w:tabs>
          <w:tab w:val="clear" w:pos="9990"/>
        </w:tabs>
        <w:overflowPunct/>
        <w:autoSpaceDE/>
        <w:autoSpaceDN/>
        <w:adjustRightInd/>
        <w:ind w:left="1619" w:hanging="360"/>
        <w:rPr>
          <w:rFonts w:ascii="Times New Roman" w:eastAsiaTheme="minorEastAsia" w:hAnsi="Times New Roman"/>
          <w:b w:val="0"/>
        </w:rPr>
      </w:pPr>
      <w:r>
        <w:rPr>
          <w:b w:val="0"/>
          <w:highlight w:val="yellow"/>
        </w:rPr>
        <w:t>The mobile IAB-MT to include a mobile-IAB indication in Msg. 5</w:t>
      </w:r>
      <w:r>
        <w:rPr>
          <w:b w:val="0"/>
        </w:rPr>
        <w:t>.</w:t>
      </w:r>
    </w:p>
    <w:p w14:paraId="026AB896" w14:textId="77777777" w:rsidR="0094357C" w:rsidRDefault="00000000">
      <w:pPr>
        <w:pStyle w:val="Agreement"/>
        <w:tabs>
          <w:tab w:val="clear" w:pos="9990"/>
        </w:tabs>
        <w:overflowPunct/>
        <w:autoSpaceDE/>
        <w:autoSpaceDN/>
        <w:adjustRightInd/>
        <w:ind w:left="1619" w:hanging="360"/>
        <w:rPr>
          <w:rFonts w:ascii="Times New Roman" w:hAnsi="Times New Roman"/>
          <w:b w:val="0"/>
        </w:rPr>
      </w:pPr>
      <w:r>
        <w:rPr>
          <w:b w:val="0"/>
        </w:rPr>
        <w:t>R2 assumes that a mobile IAB node is not required to receive the system information of neighbour cells for reporting of measurements (</w:t>
      </w:r>
      <w:proofErr w:type="gramStart"/>
      <w:r>
        <w:rPr>
          <w:b w:val="0"/>
        </w:rPr>
        <w:t>i.e.</w:t>
      </w:r>
      <w:proofErr w:type="gramEnd"/>
      <w:r>
        <w:rPr>
          <w:b w:val="0"/>
        </w:rPr>
        <w:t xml:space="preserve"> it will not refrain from reporting measurements of cells that are not broadcasting the “mobile </w:t>
      </w:r>
      <w:proofErr w:type="spellStart"/>
      <w:r>
        <w:rPr>
          <w:b w:val="0"/>
        </w:rPr>
        <w:t>iab</w:t>
      </w:r>
      <w:proofErr w:type="spellEnd"/>
      <w:r>
        <w:rPr>
          <w:b w:val="0"/>
        </w:rPr>
        <w:t xml:space="preserve"> Support” indication, and this is </w:t>
      </w:r>
      <w:proofErr w:type="spellStart"/>
      <w:r>
        <w:rPr>
          <w:b w:val="0"/>
        </w:rPr>
        <w:t>acc</w:t>
      </w:r>
      <w:proofErr w:type="spellEnd"/>
      <w:r>
        <w:rPr>
          <w:b w:val="0"/>
        </w:rPr>
        <w:t xml:space="preserve"> to current R2 TS).</w:t>
      </w:r>
    </w:p>
    <w:p w14:paraId="026AB897" w14:textId="77777777" w:rsidR="0094357C" w:rsidRDefault="00000000">
      <w:pPr>
        <w:pStyle w:val="Agreement"/>
        <w:tabs>
          <w:tab w:val="clear" w:pos="9990"/>
        </w:tabs>
        <w:overflowPunct/>
        <w:autoSpaceDE/>
        <w:autoSpaceDN/>
        <w:adjustRightInd/>
        <w:ind w:left="1619" w:hanging="360"/>
        <w:rPr>
          <w:b w:val="0"/>
          <w:highlight w:val="yellow"/>
        </w:rPr>
      </w:pPr>
      <w:r>
        <w:rPr>
          <w:b w:val="0"/>
          <w:highlight w:val="yellow"/>
        </w:rPr>
        <w:t xml:space="preserve">R2 clarifies that A donor broadcasting the “supporting mobile-IAB” indication first checks the UE capability of an IAB node before configuring child nodes for the IAB node or sending a handover request for the node, no impact to RAN2 TS. </w:t>
      </w:r>
    </w:p>
    <w:p w14:paraId="026AB898" w14:textId="77777777" w:rsidR="0094357C" w:rsidRDefault="0094357C">
      <w:pPr>
        <w:rPr>
          <w:lang w:eastAsia="ja-JP"/>
        </w:rPr>
      </w:pPr>
    </w:p>
    <w:p w14:paraId="026AB899" w14:textId="77777777" w:rsidR="0094357C" w:rsidRDefault="00000000">
      <w:pPr>
        <w:rPr>
          <w:b/>
          <w:bCs/>
          <w:lang w:eastAsia="ja-JP"/>
        </w:rPr>
      </w:pPr>
      <w:r>
        <w:rPr>
          <w:b/>
          <w:bCs/>
          <w:lang w:eastAsia="ja-JP"/>
        </w:rPr>
        <w:t>RAN2#122:</w:t>
      </w:r>
    </w:p>
    <w:p w14:paraId="026AB89A" w14:textId="77777777" w:rsidR="0094357C" w:rsidRDefault="00000000">
      <w:pPr>
        <w:pStyle w:val="Agreement"/>
        <w:tabs>
          <w:tab w:val="clear" w:pos="9990"/>
        </w:tabs>
        <w:overflowPunct/>
        <w:autoSpaceDE/>
        <w:autoSpaceDN/>
        <w:adjustRightInd/>
        <w:ind w:left="1619" w:hanging="360"/>
        <w:rPr>
          <w:b w:val="0"/>
        </w:rPr>
      </w:pPr>
      <w:r>
        <w:rPr>
          <w:b w:val="0"/>
        </w:rPr>
        <w:t>RAN2 think that to have a fast handover from UE point of view for legacy UEs it is important that the target cell is known to the UE (detected and measured).</w:t>
      </w:r>
    </w:p>
    <w:p w14:paraId="026AB89B" w14:textId="77777777" w:rsidR="0094357C" w:rsidRDefault="00000000">
      <w:pPr>
        <w:pStyle w:val="Agreement"/>
        <w:tabs>
          <w:tab w:val="clear" w:pos="9990"/>
        </w:tabs>
        <w:overflowPunct/>
        <w:autoSpaceDE/>
        <w:autoSpaceDN/>
        <w:adjustRightInd/>
        <w:ind w:left="1619" w:hanging="360"/>
        <w:rPr>
          <w:b w:val="0"/>
        </w:rPr>
      </w:pPr>
      <w:r>
        <w:rPr>
          <w:b w:val="0"/>
        </w:rPr>
        <w:t xml:space="preserve">For RACH-less, if supported, there would need to be a beam indication (in RRC HO command), which seems feasible in this release from R2 perspective. R2 assumes that the network can know/select the beam, either from network </w:t>
      </w:r>
      <w:proofErr w:type="spellStart"/>
      <w:r>
        <w:rPr>
          <w:b w:val="0"/>
        </w:rPr>
        <w:t>impl</w:t>
      </w:r>
      <w:proofErr w:type="spellEnd"/>
      <w:r>
        <w:rPr>
          <w:b w:val="0"/>
        </w:rPr>
        <w:t xml:space="preserve"> specific knowledge or from UE measurement report (legacy report).</w:t>
      </w:r>
    </w:p>
    <w:p w14:paraId="026AB89C" w14:textId="77777777" w:rsidR="0094357C" w:rsidRDefault="00000000">
      <w:pPr>
        <w:pStyle w:val="Agreement"/>
        <w:tabs>
          <w:tab w:val="clear" w:pos="9990"/>
        </w:tabs>
        <w:overflowPunct/>
        <w:autoSpaceDE/>
        <w:autoSpaceDN/>
        <w:adjustRightInd/>
        <w:ind w:left="1619" w:hanging="360"/>
        <w:rPr>
          <w:b w:val="0"/>
          <w:lang w:eastAsia="en-US"/>
        </w:rPr>
      </w:pPr>
      <w:r>
        <w:rPr>
          <w:b w:val="0"/>
          <w:lang w:eastAsia="en-US"/>
        </w:rPr>
        <w:t>for the UL grant and HO completion in RACH-less HO:</w:t>
      </w:r>
    </w:p>
    <w:p w14:paraId="026AB89D" w14:textId="77777777" w:rsidR="0094357C" w:rsidRDefault="00000000">
      <w:pPr>
        <w:pStyle w:val="Agreement"/>
        <w:numPr>
          <w:ilvl w:val="0"/>
          <w:numId w:val="0"/>
        </w:numPr>
        <w:ind w:left="1619"/>
        <w:rPr>
          <w:b w:val="0"/>
          <w:lang w:eastAsia="en-US"/>
        </w:rPr>
      </w:pPr>
      <w:r>
        <w:rPr>
          <w:b w:val="0"/>
          <w:lang w:eastAsia="en-US"/>
        </w:rPr>
        <w:t>1. Both type-1 configured grant and dynamic grant are supported</w:t>
      </w:r>
    </w:p>
    <w:p w14:paraId="026AB89E" w14:textId="77777777" w:rsidR="0094357C" w:rsidRDefault="00000000">
      <w:pPr>
        <w:pStyle w:val="Agreement"/>
        <w:numPr>
          <w:ilvl w:val="0"/>
          <w:numId w:val="0"/>
        </w:numPr>
        <w:ind w:left="1619"/>
        <w:rPr>
          <w:b w:val="0"/>
        </w:rPr>
      </w:pPr>
      <w:r>
        <w:rPr>
          <w:b w:val="0"/>
          <w:lang w:eastAsia="en-US"/>
        </w:rPr>
        <w:t xml:space="preserve">2. FFS handling of supervision timer and when HO is considered successfully complete (expect to align with other WI). </w:t>
      </w:r>
    </w:p>
    <w:p w14:paraId="026AB89F" w14:textId="77777777" w:rsidR="0094357C" w:rsidRDefault="00000000">
      <w:pPr>
        <w:pStyle w:val="Agreement"/>
        <w:tabs>
          <w:tab w:val="clear" w:pos="9990"/>
        </w:tabs>
        <w:overflowPunct/>
        <w:autoSpaceDE/>
        <w:autoSpaceDN/>
        <w:adjustRightInd/>
        <w:ind w:left="1619" w:hanging="360"/>
        <w:rPr>
          <w:b w:val="0"/>
        </w:rPr>
      </w:pPr>
      <w:r>
        <w:rPr>
          <w:b w:val="0"/>
        </w:rPr>
        <w:t xml:space="preserve">Send LS to RAN3 to check whether there are issues / feasibility </w:t>
      </w:r>
      <w:proofErr w:type="gramStart"/>
      <w:r>
        <w:rPr>
          <w:b w:val="0"/>
        </w:rPr>
        <w:t>concerns</w:t>
      </w:r>
      <w:proofErr w:type="gramEnd"/>
    </w:p>
    <w:p w14:paraId="026AB8A0" w14:textId="77777777" w:rsidR="0094357C" w:rsidRDefault="00000000">
      <w:pPr>
        <w:pStyle w:val="Agreement"/>
        <w:tabs>
          <w:tab w:val="clear" w:pos="9990"/>
        </w:tabs>
        <w:overflowPunct/>
        <w:autoSpaceDE/>
        <w:autoSpaceDN/>
        <w:adjustRightInd/>
        <w:ind w:left="1619" w:hanging="360"/>
        <w:rPr>
          <w:b w:val="0"/>
        </w:rPr>
      </w:pPr>
      <w:r>
        <w:rPr>
          <w:b w:val="0"/>
        </w:rPr>
        <w:t xml:space="preserve">We will send LS, will just ask SA2 to provide more details using CAG for </w:t>
      </w:r>
      <w:proofErr w:type="spellStart"/>
      <w:r>
        <w:rPr>
          <w:b w:val="0"/>
        </w:rPr>
        <w:t>mIAB</w:t>
      </w:r>
      <w:proofErr w:type="spellEnd"/>
      <w:r>
        <w:rPr>
          <w:b w:val="0"/>
        </w:rPr>
        <w:t xml:space="preserve">, </w:t>
      </w:r>
      <w:proofErr w:type="gramStart"/>
      <w:r>
        <w:rPr>
          <w:b w:val="0"/>
        </w:rPr>
        <w:t>in order to</w:t>
      </w:r>
      <w:proofErr w:type="gramEnd"/>
      <w:r>
        <w:rPr>
          <w:b w:val="0"/>
        </w:rPr>
        <w:t xml:space="preserve"> determine AS impacts, if any. </w:t>
      </w:r>
    </w:p>
    <w:p w14:paraId="026AB8A1" w14:textId="77777777" w:rsidR="0094357C" w:rsidRDefault="00000000">
      <w:pPr>
        <w:pStyle w:val="Agreement"/>
        <w:tabs>
          <w:tab w:val="clear" w:pos="9990"/>
        </w:tabs>
        <w:overflowPunct/>
        <w:autoSpaceDE/>
        <w:autoSpaceDN/>
        <w:adjustRightInd/>
        <w:ind w:left="1619" w:hanging="360"/>
        <w:rPr>
          <w:b w:val="0"/>
        </w:rPr>
      </w:pPr>
      <w:r>
        <w:rPr>
          <w:b w:val="0"/>
          <w:lang w:eastAsia="zh-CN"/>
        </w:rPr>
        <w:t xml:space="preserve">R2 considers that UEs can use the </w:t>
      </w:r>
      <w:proofErr w:type="spellStart"/>
      <w:r>
        <w:rPr>
          <w:b w:val="0"/>
          <w:lang w:eastAsia="zh-CN"/>
        </w:rPr>
        <w:t>mIAB</w:t>
      </w:r>
      <w:proofErr w:type="spellEnd"/>
      <w:r>
        <w:rPr>
          <w:b w:val="0"/>
          <w:lang w:eastAsia="zh-CN"/>
        </w:rPr>
        <w:t xml:space="preserve">-cell indication, to prioritize (cell and/or </w:t>
      </w:r>
      <w:proofErr w:type="spellStart"/>
      <w:r>
        <w:rPr>
          <w:b w:val="0"/>
          <w:lang w:eastAsia="zh-CN"/>
        </w:rPr>
        <w:t>freq</w:t>
      </w:r>
      <w:proofErr w:type="spellEnd"/>
      <w:r>
        <w:rPr>
          <w:b w:val="0"/>
          <w:lang w:eastAsia="zh-CN"/>
        </w:rPr>
        <w:t xml:space="preserve">) when the UE is camped on the </w:t>
      </w:r>
      <w:proofErr w:type="spellStart"/>
      <w:r>
        <w:rPr>
          <w:b w:val="0"/>
          <w:lang w:eastAsia="zh-CN"/>
        </w:rPr>
        <w:t>mIAB</w:t>
      </w:r>
      <w:proofErr w:type="spellEnd"/>
      <w:r>
        <w:rPr>
          <w:b w:val="0"/>
          <w:lang w:eastAsia="zh-CN"/>
        </w:rPr>
        <w:t xml:space="preserve"> cell, and FFS to prioritize when the UE is not yet camped on the </w:t>
      </w:r>
      <w:proofErr w:type="spellStart"/>
      <w:r>
        <w:rPr>
          <w:b w:val="0"/>
          <w:lang w:eastAsia="zh-CN"/>
        </w:rPr>
        <w:t>mIAB</w:t>
      </w:r>
      <w:proofErr w:type="spellEnd"/>
      <w:r>
        <w:rPr>
          <w:b w:val="0"/>
          <w:lang w:eastAsia="zh-CN"/>
        </w:rPr>
        <w:t xml:space="preserve"> cell. FFS if it can be specified the detailed condition for when to apply such prioritization (for either case), RAN2 considers condition based on cell dwelling timer or Mobility state.</w:t>
      </w:r>
    </w:p>
    <w:p w14:paraId="026AB8A2" w14:textId="77777777" w:rsidR="0094357C" w:rsidRDefault="00000000">
      <w:pPr>
        <w:pStyle w:val="Agreement"/>
        <w:tabs>
          <w:tab w:val="clear" w:pos="9990"/>
        </w:tabs>
        <w:overflowPunct/>
        <w:autoSpaceDE/>
        <w:autoSpaceDN/>
        <w:adjustRightInd/>
        <w:ind w:left="1619" w:hanging="360"/>
        <w:rPr>
          <w:b w:val="0"/>
        </w:rPr>
      </w:pPr>
      <w:r>
        <w:rPr>
          <w:b w:val="0"/>
        </w:rPr>
        <w:lastRenderedPageBreak/>
        <w:t>R2 direction (solution agreements at later stage, no other directions will be considered):</w:t>
      </w:r>
    </w:p>
    <w:p w14:paraId="026AB8A3" w14:textId="77777777" w:rsidR="0094357C" w:rsidRDefault="00000000">
      <w:pPr>
        <w:pStyle w:val="Agreement"/>
        <w:numPr>
          <w:ilvl w:val="0"/>
          <w:numId w:val="0"/>
        </w:numPr>
        <w:ind w:left="1619"/>
        <w:rPr>
          <w:b w:val="0"/>
        </w:rPr>
      </w:pPr>
      <w:r>
        <w:rPr>
          <w:b w:val="0"/>
        </w:rPr>
        <w:t>RAN2 acknowledges following two problems to be addressed for idle/inactive UEs:</w:t>
      </w:r>
    </w:p>
    <w:p w14:paraId="026AB8A4" w14:textId="77777777" w:rsidR="0094357C" w:rsidRDefault="00000000">
      <w:pPr>
        <w:pStyle w:val="Agreement"/>
        <w:numPr>
          <w:ilvl w:val="0"/>
          <w:numId w:val="0"/>
        </w:numPr>
        <w:ind w:left="1619"/>
        <w:rPr>
          <w:b w:val="0"/>
          <w:lang w:val="en-US" w:eastAsia="zh-CN"/>
        </w:rPr>
      </w:pPr>
      <w:r>
        <w:rPr>
          <w:b w:val="0"/>
          <w:lang w:val="en-US" w:eastAsia="zh-CN"/>
        </w:rPr>
        <w:t xml:space="preserve">- Problem 1: For a UE that is physically on a moving vehicle but not camped on its mobile IAB-cell yet (i.e. the UE is camped on a stationary cell), how to help such UE(s) to identify a </w:t>
      </w:r>
      <w:proofErr w:type="spellStart"/>
      <w:r>
        <w:rPr>
          <w:b w:val="0"/>
          <w:lang w:val="en-US" w:eastAsia="zh-CN"/>
        </w:rPr>
        <w:t>neighbour</w:t>
      </w:r>
      <w:proofErr w:type="spellEnd"/>
      <w:r>
        <w:rPr>
          <w:b w:val="0"/>
          <w:lang w:val="en-US" w:eastAsia="zh-CN"/>
        </w:rPr>
        <w:t xml:space="preserve"> mobile IAB-cell, prioritize mobile IAB-cell (frequency and cell) and to be “pulled” into this mobile IAB-cell, especially for inter-frequency scenario where the mobile IAB-cell’s frequency priority is low.</w:t>
      </w:r>
    </w:p>
    <w:p w14:paraId="026AB8A5" w14:textId="77777777" w:rsidR="0094357C" w:rsidRDefault="00000000">
      <w:pPr>
        <w:pStyle w:val="Agreement"/>
        <w:numPr>
          <w:ilvl w:val="0"/>
          <w:numId w:val="0"/>
        </w:numPr>
        <w:ind w:left="1619"/>
        <w:rPr>
          <w:b w:val="0"/>
          <w:lang w:eastAsia="zh-CN"/>
        </w:rPr>
      </w:pPr>
      <w:r>
        <w:rPr>
          <w:b w:val="0"/>
          <w:lang w:eastAsia="zh-CN"/>
        </w:rPr>
        <w:t>- Problem 2: After the UE physically on a moving vehicle is camped on the mobile IAB cell, how to avoid it reselecting other non-</w:t>
      </w:r>
      <w:proofErr w:type="spellStart"/>
      <w:r>
        <w:rPr>
          <w:b w:val="0"/>
          <w:lang w:eastAsia="zh-CN"/>
        </w:rPr>
        <w:t>mIAB</w:t>
      </w:r>
      <w:proofErr w:type="spellEnd"/>
      <w:r>
        <w:rPr>
          <w:b w:val="0"/>
          <w:lang w:eastAsia="zh-CN"/>
        </w:rPr>
        <w:t>-(stationary) cells.</w:t>
      </w:r>
    </w:p>
    <w:p w14:paraId="026AB8A6" w14:textId="77777777" w:rsidR="0094357C" w:rsidRDefault="00000000">
      <w:pPr>
        <w:pStyle w:val="Agreement"/>
        <w:numPr>
          <w:ilvl w:val="0"/>
          <w:numId w:val="0"/>
        </w:numPr>
        <w:ind w:left="1619"/>
        <w:rPr>
          <w:b w:val="0"/>
        </w:rPr>
      </w:pPr>
      <w:r>
        <w:rPr>
          <w:b w:val="0"/>
        </w:rPr>
        <w:t xml:space="preserve">- Such UE may prioritize a highest ranked cell at a </w:t>
      </w:r>
      <w:proofErr w:type="gramStart"/>
      <w:r>
        <w:rPr>
          <w:b w:val="0"/>
        </w:rPr>
        <w:t>frequency, if</w:t>
      </w:r>
      <w:proofErr w:type="gramEnd"/>
      <w:r>
        <w:rPr>
          <w:b w:val="0"/>
        </w:rPr>
        <w:t xml:space="preserve"> it broadcasts a </w:t>
      </w:r>
      <w:proofErr w:type="spellStart"/>
      <w:r>
        <w:rPr>
          <w:b w:val="0"/>
        </w:rPr>
        <w:t>mIAB</w:t>
      </w:r>
      <w:proofErr w:type="spellEnd"/>
      <w:r>
        <w:rPr>
          <w:b w:val="0"/>
        </w:rPr>
        <w:t xml:space="preserve">-cell type indicator in SIB1 for cell reselection. UE may use the SIB4 assistance information to identify the presence of such mobile IAB-cell(s), if broadcasted. A SIB4 assistance information may include </w:t>
      </w:r>
      <w:proofErr w:type="spellStart"/>
      <w:r>
        <w:rPr>
          <w:b w:val="0"/>
        </w:rPr>
        <w:t>mIAB</w:t>
      </w:r>
      <w:proofErr w:type="spellEnd"/>
      <w:r>
        <w:rPr>
          <w:b w:val="0"/>
        </w:rPr>
        <w:t xml:space="preserve">-cell frequencies. FFS on </w:t>
      </w:r>
      <w:proofErr w:type="gramStart"/>
      <w:r>
        <w:rPr>
          <w:b w:val="0"/>
        </w:rPr>
        <w:t>stage-2</w:t>
      </w:r>
      <w:proofErr w:type="gramEnd"/>
      <w:r>
        <w:rPr>
          <w:b w:val="0"/>
        </w:rPr>
        <w:t>/3 to clarify the UE in problem 1 and 2.</w:t>
      </w:r>
    </w:p>
    <w:p w14:paraId="026AB8A7" w14:textId="77777777" w:rsidR="0094357C" w:rsidRDefault="00000000">
      <w:pPr>
        <w:pStyle w:val="Agreement"/>
        <w:tabs>
          <w:tab w:val="clear" w:pos="9990"/>
        </w:tabs>
        <w:overflowPunct/>
        <w:autoSpaceDE/>
        <w:autoSpaceDN/>
        <w:adjustRightInd/>
        <w:ind w:left="1619" w:hanging="360"/>
        <w:rPr>
          <w:b w:val="0"/>
        </w:rPr>
      </w:pPr>
      <w:r>
        <w:rPr>
          <w:b w:val="0"/>
        </w:rPr>
        <w:t>P1a: RAN2 assumes that there is no need to introduce logical-DU-specific default BAP configuration in mobile IAB from RAN2 perspective, unless requested by RAN3 otherwise (no LS for now).</w:t>
      </w:r>
    </w:p>
    <w:p w14:paraId="026AB8A8" w14:textId="77777777" w:rsidR="0094357C" w:rsidRDefault="00000000">
      <w:pPr>
        <w:pStyle w:val="Agreement"/>
        <w:tabs>
          <w:tab w:val="clear" w:pos="9990"/>
        </w:tabs>
        <w:overflowPunct/>
        <w:autoSpaceDE/>
        <w:autoSpaceDN/>
        <w:adjustRightInd/>
        <w:ind w:left="1619" w:hanging="360"/>
        <w:rPr>
          <w:b w:val="0"/>
        </w:rPr>
      </w:pPr>
      <w:r>
        <w:rPr>
          <w:b w:val="0"/>
        </w:rPr>
        <w:t xml:space="preserve">P1b: RAN2 understands that the F1AP (re)configured BAP configuration to one DU will not impact/override the usage of default BAP configuration by another DU. </w:t>
      </w:r>
    </w:p>
    <w:p w14:paraId="026AB8A9" w14:textId="77777777" w:rsidR="0094357C" w:rsidRDefault="00000000">
      <w:pPr>
        <w:pStyle w:val="Agreement"/>
        <w:tabs>
          <w:tab w:val="clear" w:pos="9990"/>
        </w:tabs>
        <w:overflowPunct/>
        <w:autoSpaceDE/>
        <w:autoSpaceDN/>
        <w:adjustRightInd/>
        <w:ind w:left="1619" w:hanging="360"/>
        <w:rPr>
          <w:b w:val="0"/>
        </w:rPr>
      </w:pPr>
      <w:r>
        <w:rPr>
          <w:b w:val="0"/>
        </w:rPr>
        <w:t xml:space="preserve">P2: RAN2 assumes there may be redundant BAP configuration entries for non-F1-U </w:t>
      </w:r>
      <w:proofErr w:type="gramStart"/>
      <w:r>
        <w:rPr>
          <w:b w:val="0"/>
        </w:rPr>
        <w:t>traffic</w:t>
      </w:r>
      <w:proofErr w:type="gramEnd"/>
      <w:r>
        <w:rPr>
          <w:b w:val="0"/>
        </w:rPr>
        <w:t xml:space="preserve"> and it is up to IAB node's implementation to decide which entry is selected. FFS if there is any specification impact.</w:t>
      </w:r>
    </w:p>
    <w:p w14:paraId="026AB8AA" w14:textId="77777777" w:rsidR="0094357C" w:rsidRDefault="0094357C">
      <w:pPr>
        <w:rPr>
          <w:lang w:eastAsia="ja-JP"/>
        </w:rPr>
      </w:pPr>
    </w:p>
    <w:p w14:paraId="026AB8AB" w14:textId="77777777" w:rsidR="0094357C" w:rsidRDefault="00000000">
      <w:pPr>
        <w:rPr>
          <w:b/>
          <w:bCs/>
          <w:lang w:eastAsia="ja-JP"/>
        </w:rPr>
      </w:pPr>
      <w:r>
        <w:rPr>
          <w:b/>
          <w:bCs/>
          <w:lang w:eastAsia="ja-JP"/>
        </w:rPr>
        <w:t>RAN2#123:</w:t>
      </w:r>
    </w:p>
    <w:p w14:paraId="026AB8AC" w14:textId="77777777" w:rsidR="0094357C" w:rsidRDefault="00000000">
      <w:pPr>
        <w:pStyle w:val="Agreement"/>
        <w:tabs>
          <w:tab w:val="clear" w:pos="9990"/>
        </w:tabs>
        <w:overflowPunct/>
        <w:autoSpaceDE/>
        <w:autoSpaceDN/>
        <w:adjustRightInd/>
        <w:ind w:left="1619" w:hanging="360"/>
        <w:rPr>
          <w:b w:val="0"/>
          <w:bCs/>
          <w:highlight w:val="yellow"/>
        </w:rPr>
      </w:pPr>
      <w:r>
        <w:rPr>
          <w:b w:val="0"/>
          <w:bCs/>
          <w:highlight w:val="yellow"/>
        </w:rPr>
        <w:t xml:space="preserve">RACH-less HO to be supported for UEs connected to a </w:t>
      </w:r>
      <w:proofErr w:type="spellStart"/>
      <w:r>
        <w:rPr>
          <w:b w:val="0"/>
          <w:bCs/>
          <w:highlight w:val="yellow"/>
        </w:rPr>
        <w:t>mIAB</w:t>
      </w:r>
      <w:proofErr w:type="spellEnd"/>
      <w:r>
        <w:rPr>
          <w:b w:val="0"/>
          <w:bCs/>
          <w:highlight w:val="yellow"/>
        </w:rPr>
        <w:t xml:space="preserve"> node (intended case: DU migration)</w:t>
      </w:r>
    </w:p>
    <w:p w14:paraId="026AB8AD" w14:textId="77777777" w:rsidR="0094357C" w:rsidRDefault="00000000">
      <w:pPr>
        <w:pStyle w:val="Agreement"/>
        <w:tabs>
          <w:tab w:val="clear" w:pos="9990"/>
        </w:tabs>
        <w:overflowPunct/>
        <w:autoSpaceDE/>
        <w:autoSpaceDN/>
        <w:adjustRightInd/>
        <w:ind w:left="1619" w:hanging="360"/>
        <w:rPr>
          <w:b w:val="0"/>
          <w:bCs/>
        </w:rPr>
      </w:pPr>
      <w:r>
        <w:rPr>
          <w:b w:val="0"/>
          <w:bCs/>
        </w:rPr>
        <w:t xml:space="preserve">RACH-less HO for </w:t>
      </w:r>
      <w:proofErr w:type="spellStart"/>
      <w:r>
        <w:rPr>
          <w:b w:val="0"/>
          <w:bCs/>
        </w:rPr>
        <w:t>mIAB</w:t>
      </w:r>
      <w:proofErr w:type="spellEnd"/>
      <w:r>
        <w:rPr>
          <w:b w:val="0"/>
          <w:bCs/>
        </w:rPr>
        <w:t xml:space="preserve"> is expected to reuse most parts from other WI, such as NTN. </w:t>
      </w:r>
    </w:p>
    <w:p w14:paraId="026AB8AE" w14:textId="77777777" w:rsidR="0094357C" w:rsidRDefault="00000000">
      <w:pPr>
        <w:pStyle w:val="Agreement"/>
        <w:tabs>
          <w:tab w:val="clear" w:pos="9990"/>
        </w:tabs>
        <w:overflowPunct/>
        <w:autoSpaceDE/>
        <w:autoSpaceDN/>
        <w:adjustRightInd/>
        <w:ind w:left="1619" w:hanging="360"/>
        <w:rPr>
          <w:b w:val="0"/>
          <w:bCs/>
        </w:rPr>
      </w:pPr>
      <w:r>
        <w:rPr>
          <w:b w:val="0"/>
          <w:bCs/>
        </w:rPr>
        <w:t xml:space="preserve">R2 assumes that RACH-less HO for </w:t>
      </w:r>
      <w:proofErr w:type="spellStart"/>
      <w:r>
        <w:rPr>
          <w:b w:val="0"/>
          <w:bCs/>
        </w:rPr>
        <w:t>mIAB</w:t>
      </w:r>
      <w:proofErr w:type="spellEnd"/>
      <w:r>
        <w:rPr>
          <w:b w:val="0"/>
          <w:bCs/>
        </w:rPr>
        <w:t xml:space="preserve"> can largely adopt the steps of the agreed NTN RACH-less HO procedure:</w:t>
      </w:r>
    </w:p>
    <w:p w14:paraId="026AB8AF" w14:textId="77777777" w:rsidR="0094357C" w:rsidRDefault="00000000">
      <w:pPr>
        <w:pStyle w:val="Agreement"/>
        <w:numPr>
          <w:ilvl w:val="0"/>
          <w:numId w:val="0"/>
        </w:numPr>
        <w:ind w:left="1619"/>
        <w:rPr>
          <w:b w:val="0"/>
          <w:bCs/>
        </w:rPr>
      </w:pPr>
      <w:r>
        <w:rPr>
          <w:b w:val="0"/>
          <w:bCs/>
        </w:rPr>
        <w:t>1. Receive a RACH-less HO command which can include pre-allocated grant optionally</w:t>
      </w:r>
    </w:p>
    <w:p w14:paraId="026AB8B0" w14:textId="77777777" w:rsidR="0094357C" w:rsidRDefault="00000000">
      <w:pPr>
        <w:pStyle w:val="Agreement"/>
        <w:numPr>
          <w:ilvl w:val="0"/>
          <w:numId w:val="0"/>
        </w:numPr>
        <w:ind w:left="1619"/>
        <w:rPr>
          <w:b w:val="0"/>
          <w:bCs/>
        </w:rPr>
      </w:pPr>
      <w:r>
        <w:rPr>
          <w:b w:val="0"/>
          <w:bCs/>
        </w:rPr>
        <w:t>2. Start time T304 for the target cell (RRC)</w:t>
      </w:r>
    </w:p>
    <w:p w14:paraId="026AB8B1" w14:textId="77777777" w:rsidR="0094357C" w:rsidRDefault="00000000">
      <w:pPr>
        <w:pStyle w:val="Agreement"/>
        <w:numPr>
          <w:ilvl w:val="0"/>
          <w:numId w:val="0"/>
        </w:numPr>
        <w:ind w:left="1619"/>
        <w:rPr>
          <w:b w:val="0"/>
          <w:bCs/>
        </w:rPr>
      </w:pPr>
      <w:r>
        <w:rPr>
          <w:b w:val="0"/>
          <w:bCs/>
        </w:rPr>
        <w:t>3. Perform DL and UL synchronization.</w:t>
      </w:r>
    </w:p>
    <w:p w14:paraId="026AB8B2" w14:textId="77777777" w:rsidR="0094357C" w:rsidRDefault="00000000">
      <w:pPr>
        <w:pStyle w:val="Agreement"/>
        <w:numPr>
          <w:ilvl w:val="0"/>
          <w:numId w:val="0"/>
        </w:numPr>
        <w:ind w:left="1619"/>
        <w:rPr>
          <w:b w:val="0"/>
          <w:bCs/>
        </w:rPr>
      </w:pPr>
      <w:r>
        <w:rPr>
          <w:b w:val="0"/>
          <w:bCs/>
        </w:rPr>
        <w:t>4. Start time alignment timer (MAC)</w:t>
      </w:r>
    </w:p>
    <w:p w14:paraId="026AB8B3" w14:textId="77777777" w:rsidR="0094357C" w:rsidRDefault="00000000">
      <w:pPr>
        <w:pStyle w:val="Agreement"/>
        <w:numPr>
          <w:ilvl w:val="0"/>
          <w:numId w:val="0"/>
        </w:numPr>
        <w:ind w:left="1619"/>
        <w:rPr>
          <w:b w:val="0"/>
          <w:bCs/>
        </w:rPr>
      </w:pPr>
      <w:r>
        <w:rPr>
          <w:b w:val="0"/>
          <w:bCs/>
        </w:rPr>
        <w:t>5. Monitor target cell PDCCH for dynamic grant if pre-allocated grant is not configured in RACH-less HO command (MAC, PHY)</w:t>
      </w:r>
    </w:p>
    <w:p w14:paraId="026AB8B4" w14:textId="77777777" w:rsidR="0094357C" w:rsidRDefault="00000000">
      <w:pPr>
        <w:pStyle w:val="Agreement"/>
        <w:numPr>
          <w:ilvl w:val="0"/>
          <w:numId w:val="0"/>
        </w:numPr>
        <w:ind w:left="1619"/>
        <w:rPr>
          <w:b w:val="0"/>
          <w:bCs/>
        </w:rPr>
      </w:pPr>
      <w:r>
        <w:rPr>
          <w:b w:val="0"/>
          <w:bCs/>
        </w:rPr>
        <w:t xml:space="preserve">6. Send initial UL transmission including </w:t>
      </w:r>
      <w:proofErr w:type="spellStart"/>
      <w:r>
        <w:rPr>
          <w:b w:val="0"/>
          <w:bCs/>
        </w:rPr>
        <w:t>RRCReconfigurationComplete</w:t>
      </w:r>
      <w:proofErr w:type="spellEnd"/>
      <w:r>
        <w:rPr>
          <w:b w:val="0"/>
          <w:bCs/>
        </w:rPr>
        <w:t xml:space="preserve"> message using the available UL grant (RRC, MAC, PHY)</w:t>
      </w:r>
    </w:p>
    <w:p w14:paraId="026AB8B5" w14:textId="77777777" w:rsidR="0094357C" w:rsidRDefault="00000000">
      <w:pPr>
        <w:pStyle w:val="Agreement"/>
        <w:numPr>
          <w:ilvl w:val="0"/>
          <w:numId w:val="0"/>
        </w:numPr>
        <w:ind w:left="1619"/>
        <w:rPr>
          <w:b w:val="0"/>
          <w:bCs/>
        </w:rPr>
      </w:pPr>
      <w:r>
        <w:rPr>
          <w:b w:val="0"/>
          <w:bCs/>
        </w:rPr>
        <w:t>7. Consider RACH-less HO is completed upon receiving NW configuration.</w:t>
      </w:r>
    </w:p>
    <w:p w14:paraId="026AB8B6" w14:textId="77777777" w:rsidR="0094357C" w:rsidRDefault="00000000">
      <w:pPr>
        <w:pStyle w:val="Agreement"/>
        <w:numPr>
          <w:ilvl w:val="0"/>
          <w:numId w:val="0"/>
        </w:numPr>
        <w:ind w:left="1619"/>
        <w:rPr>
          <w:b w:val="0"/>
          <w:bCs/>
        </w:rPr>
      </w:pPr>
      <w:r>
        <w:rPr>
          <w:b w:val="0"/>
          <w:bCs/>
        </w:rPr>
        <w:t>8. Stop timer T304 for the target cell (RRC).</w:t>
      </w:r>
    </w:p>
    <w:p w14:paraId="026AB8B7" w14:textId="77777777" w:rsidR="0094357C" w:rsidRDefault="00000000">
      <w:pPr>
        <w:pStyle w:val="Agreement"/>
        <w:tabs>
          <w:tab w:val="clear" w:pos="9990"/>
        </w:tabs>
        <w:overflowPunct/>
        <w:autoSpaceDE/>
        <w:autoSpaceDN/>
        <w:adjustRightInd/>
        <w:ind w:left="1619" w:hanging="360"/>
        <w:rPr>
          <w:b w:val="0"/>
          <w:bCs/>
          <w:highlight w:val="yellow"/>
        </w:rPr>
      </w:pPr>
      <w:r>
        <w:rPr>
          <w:b w:val="0"/>
          <w:bCs/>
          <w:highlight w:val="yellow"/>
        </w:rP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026AB8B8" w14:textId="77777777" w:rsidR="0094357C" w:rsidRDefault="00000000">
      <w:pPr>
        <w:pStyle w:val="Agreement"/>
        <w:tabs>
          <w:tab w:val="clear" w:pos="9990"/>
        </w:tabs>
        <w:overflowPunct/>
        <w:autoSpaceDE/>
        <w:autoSpaceDN/>
        <w:adjustRightInd/>
        <w:ind w:left="1619" w:hanging="360"/>
        <w:rPr>
          <w:b w:val="0"/>
          <w:bCs/>
        </w:rPr>
      </w:pPr>
      <w:r>
        <w:rPr>
          <w:b w:val="0"/>
          <w:bCs/>
        </w:rPr>
        <w:t xml:space="preserve">No enhancement is needed for intra-frequency and equal-priority cell reselection. </w:t>
      </w:r>
    </w:p>
    <w:p w14:paraId="026AB8B9" w14:textId="77777777" w:rsidR="0094357C" w:rsidRDefault="00000000">
      <w:pPr>
        <w:pStyle w:val="Agreement"/>
        <w:tabs>
          <w:tab w:val="clear" w:pos="9990"/>
        </w:tabs>
        <w:overflowPunct/>
        <w:autoSpaceDE/>
        <w:autoSpaceDN/>
        <w:adjustRightInd/>
        <w:ind w:left="1619" w:hanging="360"/>
        <w:rPr>
          <w:b w:val="0"/>
          <w:bCs/>
        </w:rPr>
      </w:pPr>
      <w:r>
        <w:rPr>
          <w:b w:val="0"/>
          <w:bCs/>
        </w:rPr>
        <w:t xml:space="preserve">The procedure that UE searches and measure for </w:t>
      </w:r>
      <w:proofErr w:type="spellStart"/>
      <w:r>
        <w:rPr>
          <w:b w:val="0"/>
          <w:bCs/>
        </w:rPr>
        <w:t>mIAB</w:t>
      </w:r>
      <w:proofErr w:type="spellEnd"/>
      <w:r>
        <w:rPr>
          <w:b w:val="0"/>
          <w:bCs/>
        </w:rPr>
        <w:t xml:space="preserve"> cells on different frequencies is unspecified. RAN2 assumes that </w:t>
      </w:r>
      <w:proofErr w:type="gramStart"/>
      <w:r>
        <w:rPr>
          <w:b w:val="0"/>
          <w:bCs/>
        </w:rPr>
        <w:t>As</w:t>
      </w:r>
      <w:proofErr w:type="gramEnd"/>
      <w:r>
        <w:rPr>
          <w:b w:val="0"/>
          <w:bCs/>
        </w:rPr>
        <w:t xml:space="preserve"> assistance information, the NW can optionally provide inter-frequency </w:t>
      </w:r>
      <w:proofErr w:type="spellStart"/>
      <w:r>
        <w:rPr>
          <w:b w:val="0"/>
          <w:bCs/>
        </w:rPr>
        <w:t>mIAB</w:t>
      </w:r>
      <w:proofErr w:type="spellEnd"/>
      <w:r>
        <w:rPr>
          <w:b w:val="0"/>
          <w:bCs/>
        </w:rPr>
        <w:t xml:space="preserve"> list in SIB4, details FFS. </w:t>
      </w:r>
    </w:p>
    <w:p w14:paraId="026AB8BA" w14:textId="77777777" w:rsidR="0094357C" w:rsidRDefault="00000000">
      <w:pPr>
        <w:pStyle w:val="Agreement"/>
        <w:tabs>
          <w:tab w:val="clear" w:pos="9990"/>
        </w:tabs>
        <w:overflowPunct/>
        <w:autoSpaceDE/>
        <w:autoSpaceDN/>
        <w:adjustRightInd/>
        <w:ind w:left="1619" w:hanging="360"/>
        <w:rPr>
          <w:b w:val="0"/>
          <w:bCs/>
          <w:lang w:val="en-US"/>
        </w:rPr>
      </w:pPr>
      <w:r>
        <w:rPr>
          <w:b w:val="0"/>
          <w:bCs/>
        </w:rPr>
        <w:t xml:space="preserve">It is left to UE implementation to determine whether the UE is physically on a moving vehicle and when it applies mobile IAB cell reselection prioritization for agreed scenarios. </w:t>
      </w:r>
    </w:p>
    <w:p w14:paraId="026AB8BB" w14:textId="77777777" w:rsidR="0094357C" w:rsidRDefault="00000000">
      <w:pPr>
        <w:pStyle w:val="Agreement"/>
        <w:tabs>
          <w:tab w:val="clear" w:pos="9990"/>
        </w:tabs>
        <w:overflowPunct/>
        <w:autoSpaceDE/>
        <w:autoSpaceDN/>
        <w:adjustRightInd/>
        <w:ind w:left="1619" w:hanging="360"/>
        <w:rPr>
          <w:b w:val="0"/>
          <w:bCs/>
          <w:lang w:val="en-US"/>
        </w:rPr>
      </w:pPr>
      <w:r>
        <w:rPr>
          <w:b w:val="0"/>
          <w:bCs/>
          <w:lang w:val="en-US"/>
        </w:rPr>
        <w:t>1a: When both donor-CUs configure the F1AP BAP configuration (i.e., the BH RLC) for BAP control PDU, it’s up to mobile IAB-node’s implementation which configuration is used.</w:t>
      </w:r>
    </w:p>
    <w:p w14:paraId="026AB8BC" w14:textId="77777777" w:rsidR="0094357C" w:rsidRDefault="0094357C"/>
    <w:p w14:paraId="026AB8BD" w14:textId="77777777" w:rsidR="0094357C" w:rsidRDefault="0094357C"/>
    <w:sectPr w:rsidR="0094357C">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69C6" w14:textId="77777777" w:rsidR="002A299D" w:rsidRDefault="002A299D">
      <w:pPr>
        <w:spacing w:after="0"/>
      </w:pPr>
      <w:r>
        <w:separator/>
      </w:r>
    </w:p>
  </w:endnote>
  <w:endnote w:type="continuationSeparator" w:id="0">
    <w:p w14:paraId="263E74B8" w14:textId="77777777" w:rsidR="002A299D" w:rsidRDefault="002A29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B8C2" w14:textId="77777777" w:rsidR="0094357C" w:rsidRDefault="00943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B8C3" w14:textId="77777777" w:rsidR="0094357C" w:rsidRDefault="009435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B8C5" w14:textId="77777777" w:rsidR="0094357C" w:rsidRDefault="00943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BD52E" w14:textId="77777777" w:rsidR="002A299D" w:rsidRDefault="002A299D">
      <w:pPr>
        <w:spacing w:after="0"/>
      </w:pPr>
      <w:r>
        <w:separator/>
      </w:r>
    </w:p>
  </w:footnote>
  <w:footnote w:type="continuationSeparator" w:id="0">
    <w:p w14:paraId="7EB6838B" w14:textId="77777777" w:rsidR="002A299D" w:rsidRDefault="002A29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B8C0" w14:textId="77777777" w:rsidR="0094357C" w:rsidRDefault="00943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B8C1" w14:textId="77777777" w:rsidR="0094357C" w:rsidRDefault="00943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B8C4" w14:textId="77777777" w:rsidR="0094357C" w:rsidRDefault="00943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6210A"/>
    <w:multiLevelType w:val="hybridMultilevel"/>
    <w:tmpl w:val="8E829C1A"/>
    <w:lvl w:ilvl="0" w:tplc="85709924">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66501876">
    <w:abstractNumId w:val="1"/>
  </w:num>
  <w:num w:numId="2" w16cid:durableId="530266704">
    <w:abstractNumId w:val="2"/>
  </w:num>
  <w:num w:numId="3" w16cid:durableId="1886984589">
    <w:abstractNumId w:val="1"/>
    <w:lvlOverride w:ilvl="0"/>
    <w:lvlOverride w:ilvl="1"/>
    <w:lvlOverride w:ilvl="2"/>
    <w:lvlOverride w:ilvl="3"/>
    <w:lvlOverride w:ilvl="4"/>
    <w:lvlOverride w:ilvl="5"/>
    <w:lvlOverride w:ilvl="6"/>
    <w:lvlOverride w:ilvl="7"/>
    <w:lvlOverride w:ilvl="8"/>
  </w:num>
  <w:num w:numId="4" w16cid:durableId="1172262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97A"/>
    <w:rsid w:val="0000457A"/>
    <w:rsid w:val="00007571"/>
    <w:rsid w:val="00016557"/>
    <w:rsid w:val="00017DCA"/>
    <w:rsid w:val="00023C40"/>
    <w:rsid w:val="000313C8"/>
    <w:rsid w:val="000317FA"/>
    <w:rsid w:val="000321CA"/>
    <w:rsid w:val="00033397"/>
    <w:rsid w:val="00033882"/>
    <w:rsid w:val="000340D4"/>
    <w:rsid w:val="000355DD"/>
    <w:rsid w:val="00040095"/>
    <w:rsid w:val="00050459"/>
    <w:rsid w:val="00053555"/>
    <w:rsid w:val="000656DA"/>
    <w:rsid w:val="00067555"/>
    <w:rsid w:val="000708E3"/>
    <w:rsid w:val="000729CE"/>
    <w:rsid w:val="00073C9C"/>
    <w:rsid w:val="00075270"/>
    <w:rsid w:val="000779B9"/>
    <w:rsid w:val="00080512"/>
    <w:rsid w:val="00084A6A"/>
    <w:rsid w:val="000879E5"/>
    <w:rsid w:val="00090468"/>
    <w:rsid w:val="00092933"/>
    <w:rsid w:val="00093D47"/>
    <w:rsid w:val="00094568"/>
    <w:rsid w:val="000A1727"/>
    <w:rsid w:val="000A72A5"/>
    <w:rsid w:val="000B31B9"/>
    <w:rsid w:val="000B3CDF"/>
    <w:rsid w:val="000B47F1"/>
    <w:rsid w:val="000B7BCF"/>
    <w:rsid w:val="000C011E"/>
    <w:rsid w:val="000C03AA"/>
    <w:rsid w:val="000C522B"/>
    <w:rsid w:val="000D18D6"/>
    <w:rsid w:val="000D58AB"/>
    <w:rsid w:val="000F00B1"/>
    <w:rsid w:val="000F6553"/>
    <w:rsid w:val="000F7495"/>
    <w:rsid w:val="00102056"/>
    <w:rsid w:val="001036D0"/>
    <w:rsid w:val="00104DD5"/>
    <w:rsid w:val="0011265D"/>
    <w:rsid w:val="00112F1A"/>
    <w:rsid w:val="0011592B"/>
    <w:rsid w:val="00115D66"/>
    <w:rsid w:val="001253C9"/>
    <w:rsid w:val="00125B4D"/>
    <w:rsid w:val="001313DC"/>
    <w:rsid w:val="00131997"/>
    <w:rsid w:val="001333F9"/>
    <w:rsid w:val="001405D4"/>
    <w:rsid w:val="00145075"/>
    <w:rsid w:val="0015733C"/>
    <w:rsid w:val="00160018"/>
    <w:rsid w:val="0016389C"/>
    <w:rsid w:val="001653A8"/>
    <w:rsid w:val="00166E8D"/>
    <w:rsid w:val="001672AE"/>
    <w:rsid w:val="001729B1"/>
    <w:rsid w:val="001741A0"/>
    <w:rsid w:val="00175FA0"/>
    <w:rsid w:val="0017DA27"/>
    <w:rsid w:val="00181E33"/>
    <w:rsid w:val="00186783"/>
    <w:rsid w:val="00186A2B"/>
    <w:rsid w:val="00193787"/>
    <w:rsid w:val="00194CD0"/>
    <w:rsid w:val="00195438"/>
    <w:rsid w:val="00195B82"/>
    <w:rsid w:val="00196192"/>
    <w:rsid w:val="001A39C6"/>
    <w:rsid w:val="001A6906"/>
    <w:rsid w:val="001B49C9"/>
    <w:rsid w:val="001B4EB4"/>
    <w:rsid w:val="001B529B"/>
    <w:rsid w:val="001B5ABC"/>
    <w:rsid w:val="001B7D04"/>
    <w:rsid w:val="001C1AFE"/>
    <w:rsid w:val="001C23F4"/>
    <w:rsid w:val="001C34E7"/>
    <w:rsid w:val="001C4F79"/>
    <w:rsid w:val="001C6F5F"/>
    <w:rsid w:val="001E6BFA"/>
    <w:rsid w:val="001F168B"/>
    <w:rsid w:val="001F1B76"/>
    <w:rsid w:val="001F59F1"/>
    <w:rsid w:val="001F5ACC"/>
    <w:rsid w:val="001F7831"/>
    <w:rsid w:val="001F7F28"/>
    <w:rsid w:val="002009B1"/>
    <w:rsid w:val="00204045"/>
    <w:rsid w:val="0020712B"/>
    <w:rsid w:val="00210C2D"/>
    <w:rsid w:val="002155D1"/>
    <w:rsid w:val="002178E8"/>
    <w:rsid w:val="0022095E"/>
    <w:rsid w:val="00223D18"/>
    <w:rsid w:val="002240E0"/>
    <w:rsid w:val="0022434D"/>
    <w:rsid w:val="0022606D"/>
    <w:rsid w:val="00226A44"/>
    <w:rsid w:val="00231728"/>
    <w:rsid w:val="00233465"/>
    <w:rsid w:val="00233EA1"/>
    <w:rsid w:val="0023569E"/>
    <w:rsid w:val="00240DD6"/>
    <w:rsid w:val="0024110A"/>
    <w:rsid w:val="00242744"/>
    <w:rsid w:val="002444D2"/>
    <w:rsid w:val="00244547"/>
    <w:rsid w:val="00244A05"/>
    <w:rsid w:val="00250404"/>
    <w:rsid w:val="0026019A"/>
    <w:rsid w:val="0026080B"/>
    <w:rsid w:val="002610D8"/>
    <w:rsid w:val="002640CE"/>
    <w:rsid w:val="00265DC5"/>
    <w:rsid w:val="00270C6C"/>
    <w:rsid w:val="002747EC"/>
    <w:rsid w:val="00276C1C"/>
    <w:rsid w:val="00282FAD"/>
    <w:rsid w:val="002855BF"/>
    <w:rsid w:val="002948D4"/>
    <w:rsid w:val="002A299D"/>
    <w:rsid w:val="002A753C"/>
    <w:rsid w:val="002B7BEA"/>
    <w:rsid w:val="002C1D20"/>
    <w:rsid w:val="002C2E82"/>
    <w:rsid w:val="002C3A30"/>
    <w:rsid w:val="002C46F2"/>
    <w:rsid w:val="002D5146"/>
    <w:rsid w:val="002D6CB3"/>
    <w:rsid w:val="002E1D91"/>
    <w:rsid w:val="002F0D22"/>
    <w:rsid w:val="002F22C1"/>
    <w:rsid w:val="002F489F"/>
    <w:rsid w:val="002F512D"/>
    <w:rsid w:val="00304B9B"/>
    <w:rsid w:val="003078F2"/>
    <w:rsid w:val="00311B17"/>
    <w:rsid w:val="00313170"/>
    <w:rsid w:val="00314458"/>
    <w:rsid w:val="003163D0"/>
    <w:rsid w:val="003172DC"/>
    <w:rsid w:val="00317458"/>
    <w:rsid w:val="0032027B"/>
    <w:rsid w:val="00320BEF"/>
    <w:rsid w:val="003217B8"/>
    <w:rsid w:val="00323C6B"/>
    <w:rsid w:val="00325193"/>
    <w:rsid w:val="00325AE3"/>
    <w:rsid w:val="00326069"/>
    <w:rsid w:val="003375AF"/>
    <w:rsid w:val="00340701"/>
    <w:rsid w:val="00341D68"/>
    <w:rsid w:val="003455C8"/>
    <w:rsid w:val="0035462D"/>
    <w:rsid w:val="00357D28"/>
    <w:rsid w:val="00360FA3"/>
    <w:rsid w:val="0036459E"/>
    <w:rsid w:val="00364B41"/>
    <w:rsid w:val="00371498"/>
    <w:rsid w:val="00372839"/>
    <w:rsid w:val="003729F2"/>
    <w:rsid w:val="00373481"/>
    <w:rsid w:val="0037574F"/>
    <w:rsid w:val="0037690E"/>
    <w:rsid w:val="003775A5"/>
    <w:rsid w:val="00382A7E"/>
    <w:rsid w:val="00383096"/>
    <w:rsid w:val="00386BDF"/>
    <w:rsid w:val="003871D8"/>
    <w:rsid w:val="0039346C"/>
    <w:rsid w:val="003A1936"/>
    <w:rsid w:val="003A41EF"/>
    <w:rsid w:val="003A4307"/>
    <w:rsid w:val="003A51CB"/>
    <w:rsid w:val="003A5346"/>
    <w:rsid w:val="003A7BE5"/>
    <w:rsid w:val="003B40AD"/>
    <w:rsid w:val="003C044F"/>
    <w:rsid w:val="003C2CCF"/>
    <w:rsid w:val="003C4E37"/>
    <w:rsid w:val="003C5937"/>
    <w:rsid w:val="003C7362"/>
    <w:rsid w:val="003D164F"/>
    <w:rsid w:val="003D6EEE"/>
    <w:rsid w:val="003E0E4E"/>
    <w:rsid w:val="003E16BE"/>
    <w:rsid w:val="003E6FF2"/>
    <w:rsid w:val="003E7137"/>
    <w:rsid w:val="003F377D"/>
    <w:rsid w:val="003F3A4B"/>
    <w:rsid w:val="003F4566"/>
    <w:rsid w:val="003F4E28"/>
    <w:rsid w:val="003F672B"/>
    <w:rsid w:val="004006E8"/>
    <w:rsid w:val="00401187"/>
    <w:rsid w:val="00401855"/>
    <w:rsid w:val="004070CF"/>
    <w:rsid w:val="00415D7C"/>
    <w:rsid w:val="004176E5"/>
    <w:rsid w:val="0042071A"/>
    <w:rsid w:val="00420DF0"/>
    <w:rsid w:val="00426689"/>
    <w:rsid w:val="00427FD7"/>
    <w:rsid w:val="00437EAC"/>
    <w:rsid w:val="00440E84"/>
    <w:rsid w:val="0044116C"/>
    <w:rsid w:val="00442C32"/>
    <w:rsid w:val="00444181"/>
    <w:rsid w:val="00445D03"/>
    <w:rsid w:val="0045107B"/>
    <w:rsid w:val="004574B2"/>
    <w:rsid w:val="0046023E"/>
    <w:rsid w:val="00463F42"/>
    <w:rsid w:val="0046433B"/>
    <w:rsid w:val="00465587"/>
    <w:rsid w:val="00471BAA"/>
    <w:rsid w:val="00477455"/>
    <w:rsid w:val="00477B49"/>
    <w:rsid w:val="00480F9A"/>
    <w:rsid w:val="004844EB"/>
    <w:rsid w:val="004933B0"/>
    <w:rsid w:val="00496747"/>
    <w:rsid w:val="004A1F7B"/>
    <w:rsid w:val="004A7FF7"/>
    <w:rsid w:val="004B102C"/>
    <w:rsid w:val="004B187A"/>
    <w:rsid w:val="004B2878"/>
    <w:rsid w:val="004B3967"/>
    <w:rsid w:val="004B50FB"/>
    <w:rsid w:val="004B6413"/>
    <w:rsid w:val="004B68BB"/>
    <w:rsid w:val="004B7C6B"/>
    <w:rsid w:val="004C032C"/>
    <w:rsid w:val="004C3773"/>
    <w:rsid w:val="004C44D2"/>
    <w:rsid w:val="004C495B"/>
    <w:rsid w:val="004C63DD"/>
    <w:rsid w:val="004D1201"/>
    <w:rsid w:val="004D1770"/>
    <w:rsid w:val="004D3578"/>
    <w:rsid w:val="004D380D"/>
    <w:rsid w:val="004D5ADD"/>
    <w:rsid w:val="004E213A"/>
    <w:rsid w:val="004E51F5"/>
    <w:rsid w:val="004E792B"/>
    <w:rsid w:val="004F040B"/>
    <w:rsid w:val="004F5216"/>
    <w:rsid w:val="0050116D"/>
    <w:rsid w:val="00502B29"/>
    <w:rsid w:val="00503171"/>
    <w:rsid w:val="00503BC5"/>
    <w:rsid w:val="00503EE5"/>
    <w:rsid w:val="00506C28"/>
    <w:rsid w:val="005158F4"/>
    <w:rsid w:val="005176D4"/>
    <w:rsid w:val="005230A9"/>
    <w:rsid w:val="00531DA3"/>
    <w:rsid w:val="00533A28"/>
    <w:rsid w:val="00534AD6"/>
    <w:rsid w:val="00534DA0"/>
    <w:rsid w:val="00540AB3"/>
    <w:rsid w:val="00541126"/>
    <w:rsid w:val="0054329D"/>
    <w:rsid w:val="005438B0"/>
    <w:rsid w:val="00543E6C"/>
    <w:rsid w:val="0054522E"/>
    <w:rsid w:val="00545E04"/>
    <w:rsid w:val="005542EC"/>
    <w:rsid w:val="00557C67"/>
    <w:rsid w:val="0056172A"/>
    <w:rsid w:val="00565087"/>
    <w:rsid w:val="005650B1"/>
    <w:rsid w:val="0056573F"/>
    <w:rsid w:val="005665B3"/>
    <w:rsid w:val="00567846"/>
    <w:rsid w:val="00571279"/>
    <w:rsid w:val="005758A4"/>
    <w:rsid w:val="00580250"/>
    <w:rsid w:val="00584CCA"/>
    <w:rsid w:val="0058770E"/>
    <w:rsid w:val="00593CE1"/>
    <w:rsid w:val="00596F4E"/>
    <w:rsid w:val="00597259"/>
    <w:rsid w:val="005A49C6"/>
    <w:rsid w:val="005A67E0"/>
    <w:rsid w:val="005A6A9C"/>
    <w:rsid w:val="005B0EB4"/>
    <w:rsid w:val="005B69B2"/>
    <w:rsid w:val="005C0B08"/>
    <w:rsid w:val="005C1460"/>
    <w:rsid w:val="005C19E0"/>
    <w:rsid w:val="005C21DD"/>
    <w:rsid w:val="005C30EB"/>
    <w:rsid w:val="005C73FF"/>
    <w:rsid w:val="005C7718"/>
    <w:rsid w:val="005E00B5"/>
    <w:rsid w:val="005E3EF2"/>
    <w:rsid w:val="005E7ADD"/>
    <w:rsid w:val="005F2FC3"/>
    <w:rsid w:val="005F4B97"/>
    <w:rsid w:val="006007CB"/>
    <w:rsid w:val="00605A3C"/>
    <w:rsid w:val="006073A3"/>
    <w:rsid w:val="00611566"/>
    <w:rsid w:val="00613C42"/>
    <w:rsid w:val="006230CB"/>
    <w:rsid w:val="006237D3"/>
    <w:rsid w:val="00623F90"/>
    <w:rsid w:val="00626E73"/>
    <w:rsid w:val="00627105"/>
    <w:rsid w:val="00627584"/>
    <w:rsid w:val="006312CD"/>
    <w:rsid w:val="0063606C"/>
    <w:rsid w:val="00636B0F"/>
    <w:rsid w:val="00643EF7"/>
    <w:rsid w:val="00646D99"/>
    <w:rsid w:val="006520A2"/>
    <w:rsid w:val="0065678D"/>
    <w:rsid w:val="00656910"/>
    <w:rsid w:val="006574C0"/>
    <w:rsid w:val="00657D7B"/>
    <w:rsid w:val="0066013E"/>
    <w:rsid w:val="006657F3"/>
    <w:rsid w:val="006708DA"/>
    <w:rsid w:val="00671541"/>
    <w:rsid w:val="006720B2"/>
    <w:rsid w:val="00672EC1"/>
    <w:rsid w:val="00674FA5"/>
    <w:rsid w:val="006752B4"/>
    <w:rsid w:val="0067541D"/>
    <w:rsid w:val="00675A4D"/>
    <w:rsid w:val="00676824"/>
    <w:rsid w:val="00696821"/>
    <w:rsid w:val="00696987"/>
    <w:rsid w:val="006A0EB1"/>
    <w:rsid w:val="006A2080"/>
    <w:rsid w:val="006A6AC5"/>
    <w:rsid w:val="006B1DFA"/>
    <w:rsid w:val="006B20F4"/>
    <w:rsid w:val="006B280A"/>
    <w:rsid w:val="006B4B46"/>
    <w:rsid w:val="006B714D"/>
    <w:rsid w:val="006C24B5"/>
    <w:rsid w:val="006C285F"/>
    <w:rsid w:val="006C66D8"/>
    <w:rsid w:val="006C6A7F"/>
    <w:rsid w:val="006D082F"/>
    <w:rsid w:val="006D193E"/>
    <w:rsid w:val="006D1E24"/>
    <w:rsid w:val="006D35DE"/>
    <w:rsid w:val="006D6A64"/>
    <w:rsid w:val="006D6C94"/>
    <w:rsid w:val="006E1417"/>
    <w:rsid w:val="006E2423"/>
    <w:rsid w:val="006F14ED"/>
    <w:rsid w:val="006F1EE0"/>
    <w:rsid w:val="006F6A2C"/>
    <w:rsid w:val="0070333C"/>
    <w:rsid w:val="007069DC"/>
    <w:rsid w:val="00710201"/>
    <w:rsid w:val="007136C3"/>
    <w:rsid w:val="0072073A"/>
    <w:rsid w:val="00730317"/>
    <w:rsid w:val="00730635"/>
    <w:rsid w:val="00734222"/>
    <w:rsid w:val="007342B5"/>
    <w:rsid w:val="00734A5B"/>
    <w:rsid w:val="00735679"/>
    <w:rsid w:val="00737543"/>
    <w:rsid w:val="00744E76"/>
    <w:rsid w:val="007576DF"/>
    <w:rsid w:val="00757D40"/>
    <w:rsid w:val="0076211E"/>
    <w:rsid w:val="0076406A"/>
    <w:rsid w:val="007662B5"/>
    <w:rsid w:val="00781F0F"/>
    <w:rsid w:val="00785684"/>
    <w:rsid w:val="00785EEC"/>
    <w:rsid w:val="0078727C"/>
    <w:rsid w:val="0079049D"/>
    <w:rsid w:val="00791484"/>
    <w:rsid w:val="00793DC5"/>
    <w:rsid w:val="00793EDB"/>
    <w:rsid w:val="00795F37"/>
    <w:rsid w:val="007A3A90"/>
    <w:rsid w:val="007B18D8"/>
    <w:rsid w:val="007B1D6F"/>
    <w:rsid w:val="007B228D"/>
    <w:rsid w:val="007B3D38"/>
    <w:rsid w:val="007B62BE"/>
    <w:rsid w:val="007C095F"/>
    <w:rsid w:val="007C2DD0"/>
    <w:rsid w:val="007D47FB"/>
    <w:rsid w:val="007D4D12"/>
    <w:rsid w:val="007E2945"/>
    <w:rsid w:val="007E516D"/>
    <w:rsid w:val="007E7FF5"/>
    <w:rsid w:val="007F1376"/>
    <w:rsid w:val="007F2E08"/>
    <w:rsid w:val="0080042F"/>
    <w:rsid w:val="008028A4"/>
    <w:rsid w:val="00813245"/>
    <w:rsid w:val="008206F9"/>
    <w:rsid w:val="00821051"/>
    <w:rsid w:val="00823A23"/>
    <w:rsid w:val="00823E6D"/>
    <w:rsid w:val="00837854"/>
    <w:rsid w:val="00840DE0"/>
    <w:rsid w:val="008448BF"/>
    <w:rsid w:val="008620D4"/>
    <w:rsid w:val="0086354A"/>
    <w:rsid w:val="00865093"/>
    <w:rsid w:val="008677AB"/>
    <w:rsid w:val="00867E08"/>
    <w:rsid w:val="008709F0"/>
    <w:rsid w:val="00871812"/>
    <w:rsid w:val="0087221A"/>
    <w:rsid w:val="00873245"/>
    <w:rsid w:val="00876798"/>
    <w:rsid w:val="008768CA"/>
    <w:rsid w:val="00877EF9"/>
    <w:rsid w:val="00880559"/>
    <w:rsid w:val="008863A8"/>
    <w:rsid w:val="00890FDA"/>
    <w:rsid w:val="008916DB"/>
    <w:rsid w:val="00892009"/>
    <w:rsid w:val="008926E5"/>
    <w:rsid w:val="00897F7E"/>
    <w:rsid w:val="008A2DE4"/>
    <w:rsid w:val="008B0418"/>
    <w:rsid w:val="008B2E4F"/>
    <w:rsid w:val="008B3B05"/>
    <w:rsid w:val="008B5306"/>
    <w:rsid w:val="008C2AEF"/>
    <w:rsid w:val="008C2E2A"/>
    <w:rsid w:val="008C3057"/>
    <w:rsid w:val="008C385C"/>
    <w:rsid w:val="008C4690"/>
    <w:rsid w:val="008C76ED"/>
    <w:rsid w:val="008D2E4D"/>
    <w:rsid w:val="008E4099"/>
    <w:rsid w:val="008E7298"/>
    <w:rsid w:val="008F0B86"/>
    <w:rsid w:val="008F144E"/>
    <w:rsid w:val="008F1D6B"/>
    <w:rsid w:val="008F1FD4"/>
    <w:rsid w:val="008F396F"/>
    <w:rsid w:val="008F3DCD"/>
    <w:rsid w:val="008F4E76"/>
    <w:rsid w:val="008F66A3"/>
    <w:rsid w:val="008F694A"/>
    <w:rsid w:val="0090271F"/>
    <w:rsid w:val="00902DB9"/>
    <w:rsid w:val="0090466A"/>
    <w:rsid w:val="00905156"/>
    <w:rsid w:val="00906452"/>
    <w:rsid w:val="00907256"/>
    <w:rsid w:val="00907E2F"/>
    <w:rsid w:val="0091074C"/>
    <w:rsid w:val="00910CFB"/>
    <w:rsid w:val="00911D16"/>
    <w:rsid w:val="0092042F"/>
    <w:rsid w:val="0092104E"/>
    <w:rsid w:val="0092333A"/>
    <w:rsid w:val="00923655"/>
    <w:rsid w:val="00923BF5"/>
    <w:rsid w:val="00927D16"/>
    <w:rsid w:val="00927FDF"/>
    <w:rsid w:val="00936071"/>
    <w:rsid w:val="009376CD"/>
    <w:rsid w:val="00940212"/>
    <w:rsid w:val="00941FC6"/>
    <w:rsid w:val="00942EC2"/>
    <w:rsid w:val="0094357C"/>
    <w:rsid w:val="00944210"/>
    <w:rsid w:val="0095273D"/>
    <w:rsid w:val="00953B60"/>
    <w:rsid w:val="00955629"/>
    <w:rsid w:val="00957C0C"/>
    <w:rsid w:val="00960BC9"/>
    <w:rsid w:val="009618AB"/>
    <w:rsid w:val="00961B32"/>
    <w:rsid w:val="00962509"/>
    <w:rsid w:val="00962A0C"/>
    <w:rsid w:val="009638B4"/>
    <w:rsid w:val="00970DB3"/>
    <w:rsid w:val="00970F9D"/>
    <w:rsid w:val="00971801"/>
    <w:rsid w:val="0097290F"/>
    <w:rsid w:val="009736C7"/>
    <w:rsid w:val="00974015"/>
    <w:rsid w:val="00974BB0"/>
    <w:rsid w:val="00975BCD"/>
    <w:rsid w:val="00981EFF"/>
    <w:rsid w:val="0098724B"/>
    <w:rsid w:val="009911A9"/>
    <w:rsid w:val="0099224A"/>
    <w:rsid w:val="009928A9"/>
    <w:rsid w:val="00992FB4"/>
    <w:rsid w:val="0099703A"/>
    <w:rsid w:val="00997C62"/>
    <w:rsid w:val="009A0AF3"/>
    <w:rsid w:val="009B07CD"/>
    <w:rsid w:val="009C0CCB"/>
    <w:rsid w:val="009C19E9"/>
    <w:rsid w:val="009C399A"/>
    <w:rsid w:val="009C54C9"/>
    <w:rsid w:val="009D20E3"/>
    <w:rsid w:val="009D34B8"/>
    <w:rsid w:val="009D5E1F"/>
    <w:rsid w:val="009D74A6"/>
    <w:rsid w:val="009D79A7"/>
    <w:rsid w:val="009E096D"/>
    <w:rsid w:val="009E0E87"/>
    <w:rsid w:val="009E0F78"/>
    <w:rsid w:val="009E1015"/>
    <w:rsid w:val="009E56C8"/>
    <w:rsid w:val="009F2A3D"/>
    <w:rsid w:val="009F7F94"/>
    <w:rsid w:val="00A045D0"/>
    <w:rsid w:val="00A10F02"/>
    <w:rsid w:val="00A11745"/>
    <w:rsid w:val="00A134B5"/>
    <w:rsid w:val="00A204CA"/>
    <w:rsid w:val="00A209D6"/>
    <w:rsid w:val="00A20D9E"/>
    <w:rsid w:val="00A22738"/>
    <w:rsid w:val="00A22CF1"/>
    <w:rsid w:val="00A23A7A"/>
    <w:rsid w:val="00A23FEA"/>
    <w:rsid w:val="00A32B7F"/>
    <w:rsid w:val="00A40F4F"/>
    <w:rsid w:val="00A42B81"/>
    <w:rsid w:val="00A536F4"/>
    <w:rsid w:val="00A53724"/>
    <w:rsid w:val="00A53E3D"/>
    <w:rsid w:val="00A54B2B"/>
    <w:rsid w:val="00A54C31"/>
    <w:rsid w:val="00A574C5"/>
    <w:rsid w:val="00A61171"/>
    <w:rsid w:val="00A61DF4"/>
    <w:rsid w:val="00A620A6"/>
    <w:rsid w:val="00A62D8B"/>
    <w:rsid w:val="00A631EC"/>
    <w:rsid w:val="00A644A0"/>
    <w:rsid w:val="00A6547A"/>
    <w:rsid w:val="00A67CBC"/>
    <w:rsid w:val="00A747F2"/>
    <w:rsid w:val="00A757BE"/>
    <w:rsid w:val="00A82346"/>
    <w:rsid w:val="00A933DF"/>
    <w:rsid w:val="00A9671C"/>
    <w:rsid w:val="00AA0204"/>
    <w:rsid w:val="00AA0982"/>
    <w:rsid w:val="00AA1553"/>
    <w:rsid w:val="00AA1E29"/>
    <w:rsid w:val="00AA2174"/>
    <w:rsid w:val="00AA6825"/>
    <w:rsid w:val="00AB4D0E"/>
    <w:rsid w:val="00AB6A19"/>
    <w:rsid w:val="00AB7BC7"/>
    <w:rsid w:val="00AC29C0"/>
    <w:rsid w:val="00AC511D"/>
    <w:rsid w:val="00AC66B9"/>
    <w:rsid w:val="00AD30C7"/>
    <w:rsid w:val="00AD3B26"/>
    <w:rsid w:val="00AE1754"/>
    <w:rsid w:val="00AE3777"/>
    <w:rsid w:val="00AE4CB8"/>
    <w:rsid w:val="00AE6214"/>
    <w:rsid w:val="00AF0099"/>
    <w:rsid w:val="00AF2B76"/>
    <w:rsid w:val="00B0056F"/>
    <w:rsid w:val="00B05380"/>
    <w:rsid w:val="00B05962"/>
    <w:rsid w:val="00B12862"/>
    <w:rsid w:val="00B15449"/>
    <w:rsid w:val="00B16C2F"/>
    <w:rsid w:val="00B16C49"/>
    <w:rsid w:val="00B27303"/>
    <w:rsid w:val="00B32F68"/>
    <w:rsid w:val="00B35BFC"/>
    <w:rsid w:val="00B35EFC"/>
    <w:rsid w:val="00B36E62"/>
    <w:rsid w:val="00B43424"/>
    <w:rsid w:val="00B47A2D"/>
    <w:rsid w:val="00B47FD1"/>
    <w:rsid w:val="00B516BB"/>
    <w:rsid w:val="00B61727"/>
    <w:rsid w:val="00B626C5"/>
    <w:rsid w:val="00B63C77"/>
    <w:rsid w:val="00B728F2"/>
    <w:rsid w:val="00B73584"/>
    <w:rsid w:val="00B753CC"/>
    <w:rsid w:val="00B8326D"/>
    <w:rsid w:val="00B8403B"/>
    <w:rsid w:val="00B84DB2"/>
    <w:rsid w:val="00BA077F"/>
    <w:rsid w:val="00BA40A4"/>
    <w:rsid w:val="00BA4F6F"/>
    <w:rsid w:val="00BA5717"/>
    <w:rsid w:val="00BA67AC"/>
    <w:rsid w:val="00BA6C8A"/>
    <w:rsid w:val="00BA7AE9"/>
    <w:rsid w:val="00BB0832"/>
    <w:rsid w:val="00BB0C3D"/>
    <w:rsid w:val="00BB1B68"/>
    <w:rsid w:val="00BB4CE6"/>
    <w:rsid w:val="00BC0E11"/>
    <w:rsid w:val="00BC1A92"/>
    <w:rsid w:val="00BC3555"/>
    <w:rsid w:val="00BC7D21"/>
    <w:rsid w:val="00BD0C3A"/>
    <w:rsid w:val="00BD4F5C"/>
    <w:rsid w:val="00BD6BE1"/>
    <w:rsid w:val="00BD7B59"/>
    <w:rsid w:val="00BE083B"/>
    <w:rsid w:val="00BE20FA"/>
    <w:rsid w:val="00BE2801"/>
    <w:rsid w:val="00BF09AC"/>
    <w:rsid w:val="00BF729F"/>
    <w:rsid w:val="00C12B51"/>
    <w:rsid w:val="00C17395"/>
    <w:rsid w:val="00C23BE4"/>
    <w:rsid w:val="00C24650"/>
    <w:rsid w:val="00C25465"/>
    <w:rsid w:val="00C27AB1"/>
    <w:rsid w:val="00C3267C"/>
    <w:rsid w:val="00C32B14"/>
    <w:rsid w:val="00C33079"/>
    <w:rsid w:val="00C33DAE"/>
    <w:rsid w:val="00C401F8"/>
    <w:rsid w:val="00C43481"/>
    <w:rsid w:val="00C5003C"/>
    <w:rsid w:val="00C51BF6"/>
    <w:rsid w:val="00C55A12"/>
    <w:rsid w:val="00C60278"/>
    <w:rsid w:val="00C6553E"/>
    <w:rsid w:val="00C664A9"/>
    <w:rsid w:val="00C70AEF"/>
    <w:rsid w:val="00C77ECC"/>
    <w:rsid w:val="00C805F8"/>
    <w:rsid w:val="00C82188"/>
    <w:rsid w:val="00C825DE"/>
    <w:rsid w:val="00C83979"/>
    <w:rsid w:val="00C83A13"/>
    <w:rsid w:val="00C86EAF"/>
    <w:rsid w:val="00C9068C"/>
    <w:rsid w:val="00C90946"/>
    <w:rsid w:val="00C92967"/>
    <w:rsid w:val="00C93372"/>
    <w:rsid w:val="00C95CC5"/>
    <w:rsid w:val="00CA1B71"/>
    <w:rsid w:val="00CA3D0C"/>
    <w:rsid w:val="00CA654B"/>
    <w:rsid w:val="00CA7BEB"/>
    <w:rsid w:val="00CB5B4C"/>
    <w:rsid w:val="00CB72B8"/>
    <w:rsid w:val="00CC17AF"/>
    <w:rsid w:val="00CC5FA6"/>
    <w:rsid w:val="00CD09E7"/>
    <w:rsid w:val="00CD32C8"/>
    <w:rsid w:val="00CD380D"/>
    <w:rsid w:val="00CD4C7B"/>
    <w:rsid w:val="00CD58FE"/>
    <w:rsid w:val="00CD6216"/>
    <w:rsid w:val="00CE6EC1"/>
    <w:rsid w:val="00CF2A86"/>
    <w:rsid w:val="00D04F3A"/>
    <w:rsid w:val="00D131BE"/>
    <w:rsid w:val="00D17084"/>
    <w:rsid w:val="00D20496"/>
    <w:rsid w:val="00D20E22"/>
    <w:rsid w:val="00D2312D"/>
    <w:rsid w:val="00D252B0"/>
    <w:rsid w:val="00D25E78"/>
    <w:rsid w:val="00D339FF"/>
    <w:rsid w:val="00D33BE3"/>
    <w:rsid w:val="00D35ABA"/>
    <w:rsid w:val="00D3792D"/>
    <w:rsid w:val="00D40901"/>
    <w:rsid w:val="00D42CD2"/>
    <w:rsid w:val="00D45078"/>
    <w:rsid w:val="00D45DD7"/>
    <w:rsid w:val="00D465A0"/>
    <w:rsid w:val="00D54CD4"/>
    <w:rsid w:val="00D55E47"/>
    <w:rsid w:val="00D57FA5"/>
    <w:rsid w:val="00D608D8"/>
    <w:rsid w:val="00D611F6"/>
    <w:rsid w:val="00D6128E"/>
    <w:rsid w:val="00D626B7"/>
    <w:rsid w:val="00D62984"/>
    <w:rsid w:val="00D62E19"/>
    <w:rsid w:val="00D65667"/>
    <w:rsid w:val="00D67CD1"/>
    <w:rsid w:val="00D738D6"/>
    <w:rsid w:val="00D75BA8"/>
    <w:rsid w:val="00D80795"/>
    <w:rsid w:val="00D80882"/>
    <w:rsid w:val="00D84E8B"/>
    <w:rsid w:val="00D854BE"/>
    <w:rsid w:val="00D87E00"/>
    <w:rsid w:val="00D9134D"/>
    <w:rsid w:val="00D937A3"/>
    <w:rsid w:val="00D96D11"/>
    <w:rsid w:val="00DA08F6"/>
    <w:rsid w:val="00DA1245"/>
    <w:rsid w:val="00DA26FA"/>
    <w:rsid w:val="00DA30A5"/>
    <w:rsid w:val="00DA4C96"/>
    <w:rsid w:val="00DA6AA4"/>
    <w:rsid w:val="00DA7A03"/>
    <w:rsid w:val="00DB0DB8"/>
    <w:rsid w:val="00DB1818"/>
    <w:rsid w:val="00DB33E2"/>
    <w:rsid w:val="00DB3D91"/>
    <w:rsid w:val="00DB4501"/>
    <w:rsid w:val="00DC24DC"/>
    <w:rsid w:val="00DC309B"/>
    <w:rsid w:val="00DC44D3"/>
    <w:rsid w:val="00DC4DA2"/>
    <w:rsid w:val="00DC5261"/>
    <w:rsid w:val="00DC5D6F"/>
    <w:rsid w:val="00DC6661"/>
    <w:rsid w:val="00DD4E5B"/>
    <w:rsid w:val="00DE1024"/>
    <w:rsid w:val="00DE25D2"/>
    <w:rsid w:val="00DE6761"/>
    <w:rsid w:val="00DF1FE3"/>
    <w:rsid w:val="00DF235B"/>
    <w:rsid w:val="00DF2BBC"/>
    <w:rsid w:val="00E017DB"/>
    <w:rsid w:val="00E07881"/>
    <w:rsid w:val="00E13ECD"/>
    <w:rsid w:val="00E14594"/>
    <w:rsid w:val="00E1689B"/>
    <w:rsid w:val="00E20AB7"/>
    <w:rsid w:val="00E261F0"/>
    <w:rsid w:val="00E30E54"/>
    <w:rsid w:val="00E34B41"/>
    <w:rsid w:val="00E36D05"/>
    <w:rsid w:val="00E37FB1"/>
    <w:rsid w:val="00E436EA"/>
    <w:rsid w:val="00E45E63"/>
    <w:rsid w:val="00E46C08"/>
    <w:rsid w:val="00E471CF"/>
    <w:rsid w:val="00E47591"/>
    <w:rsid w:val="00E5341C"/>
    <w:rsid w:val="00E55466"/>
    <w:rsid w:val="00E55734"/>
    <w:rsid w:val="00E57A08"/>
    <w:rsid w:val="00E6028B"/>
    <w:rsid w:val="00E6116F"/>
    <w:rsid w:val="00E62835"/>
    <w:rsid w:val="00E62C09"/>
    <w:rsid w:val="00E655F5"/>
    <w:rsid w:val="00E662E1"/>
    <w:rsid w:val="00E70A54"/>
    <w:rsid w:val="00E70B10"/>
    <w:rsid w:val="00E71EDE"/>
    <w:rsid w:val="00E73C78"/>
    <w:rsid w:val="00E7643B"/>
    <w:rsid w:val="00E77280"/>
    <w:rsid w:val="00E77645"/>
    <w:rsid w:val="00E83047"/>
    <w:rsid w:val="00E83697"/>
    <w:rsid w:val="00E83C42"/>
    <w:rsid w:val="00E86664"/>
    <w:rsid w:val="00E87227"/>
    <w:rsid w:val="00E92021"/>
    <w:rsid w:val="00E923A6"/>
    <w:rsid w:val="00E95A5F"/>
    <w:rsid w:val="00EA66C9"/>
    <w:rsid w:val="00EB764C"/>
    <w:rsid w:val="00EC4A25"/>
    <w:rsid w:val="00EC5AE0"/>
    <w:rsid w:val="00EE28E9"/>
    <w:rsid w:val="00EE4248"/>
    <w:rsid w:val="00EE42F1"/>
    <w:rsid w:val="00EF5F95"/>
    <w:rsid w:val="00EF612C"/>
    <w:rsid w:val="00EF77A8"/>
    <w:rsid w:val="00F025A2"/>
    <w:rsid w:val="00F036E9"/>
    <w:rsid w:val="00F054EA"/>
    <w:rsid w:val="00F07388"/>
    <w:rsid w:val="00F11D87"/>
    <w:rsid w:val="00F12D67"/>
    <w:rsid w:val="00F15DEC"/>
    <w:rsid w:val="00F1648A"/>
    <w:rsid w:val="00F2026E"/>
    <w:rsid w:val="00F20696"/>
    <w:rsid w:val="00F2210A"/>
    <w:rsid w:val="00F34679"/>
    <w:rsid w:val="00F36E0B"/>
    <w:rsid w:val="00F37743"/>
    <w:rsid w:val="00F40703"/>
    <w:rsid w:val="00F40BBE"/>
    <w:rsid w:val="00F41509"/>
    <w:rsid w:val="00F44A36"/>
    <w:rsid w:val="00F454F3"/>
    <w:rsid w:val="00F45F76"/>
    <w:rsid w:val="00F46141"/>
    <w:rsid w:val="00F461E7"/>
    <w:rsid w:val="00F46D87"/>
    <w:rsid w:val="00F5413B"/>
    <w:rsid w:val="00F54A3D"/>
    <w:rsid w:val="00F54CB0"/>
    <w:rsid w:val="00F56B16"/>
    <w:rsid w:val="00F579CD"/>
    <w:rsid w:val="00F57F82"/>
    <w:rsid w:val="00F6039D"/>
    <w:rsid w:val="00F61423"/>
    <w:rsid w:val="00F653B8"/>
    <w:rsid w:val="00F660ED"/>
    <w:rsid w:val="00F70742"/>
    <w:rsid w:val="00F70882"/>
    <w:rsid w:val="00F70AB3"/>
    <w:rsid w:val="00F71B89"/>
    <w:rsid w:val="00F7353C"/>
    <w:rsid w:val="00F76F8F"/>
    <w:rsid w:val="00F83143"/>
    <w:rsid w:val="00F83846"/>
    <w:rsid w:val="00F941DF"/>
    <w:rsid w:val="00F9473E"/>
    <w:rsid w:val="00F9608A"/>
    <w:rsid w:val="00FA1266"/>
    <w:rsid w:val="00FA23E1"/>
    <w:rsid w:val="00FB1F0C"/>
    <w:rsid w:val="00FB36FA"/>
    <w:rsid w:val="00FB6A58"/>
    <w:rsid w:val="00FC09FC"/>
    <w:rsid w:val="00FC1192"/>
    <w:rsid w:val="00FC3476"/>
    <w:rsid w:val="00FC5A4F"/>
    <w:rsid w:val="00FC5B44"/>
    <w:rsid w:val="00FD2EBC"/>
    <w:rsid w:val="00FD2EF2"/>
    <w:rsid w:val="00FD3888"/>
    <w:rsid w:val="00FD495C"/>
    <w:rsid w:val="00FD4B9E"/>
    <w:rsid w:val="00FE106D"/>
    <w:rsid w:val="00FE251B"/>
    <w:rsid w:val="00FE3105"/>
    <w:rsid w:val="00FE3D78"/>
    <w:rsid w:val="00FF570D"/>
    <w:rsid w:val="00FF59A3"/>
    <w:rsid w:val="010AD4F3"/>
    <w:rsid w:val="0CC937D6"/>
    <w:rsid w:val="0E1FB7C7"/>
    <w:rsid w:val="12940503"/>
    <w:rsid w:val="1B7C8256"/>
    <w:rsid w:val="1CBA82C4"/>
    <w:rsid w:val="21B8625A"/>
    <w:rsid w:val="23343916"/>
    <w:rsid w:val="2DF7F2C8"/>
    <w:rsid w:val="2F93C329"/>
    <w:rsid w:val="32CBFB63"/>
    <w:rsid w:val="3347D598"/>
    <w:rsid w:val="45BEC8CC"/>
    <w:rsid w:val="4A9A9D54"/>
    <w:rsid w:val="4BA09439"/>
    <w:rsid w:val="4E777016"/>
    <w:rsid w:val="4E921CAF"/>
    <w:rsid w:val="5AE9A9B9"/>
    <w:rsid w:val="6AF66B80"/>
    <w:rsid w:val="6C17053C"/>
    <w:rsid w:val="768FF17B"/>
    <w:rsid w:val="7A6481DC"/>
    <w:rsid w:val="7F845E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AB51D"/>
  <w15:docId w15:val="{F84D827A-1B70-4A00-99E8-4B0A5B6F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Agreement">
    <w:name w:val="Agreement"/>
    <w:basedOn w:val="Normal"/>
    <w:next w:val="Normal"/>
    <w:uiPriority w:val="99"/>
    <w:qFormat/>
    <w:pPr>
      <w:numPr>
        <w:numId w:val="2"/>
      </w:numPr>
      <w:tabs>
        <w:tab w:val="left" w:pos="1619"/>
      </w:tabs>
      <w:overflowPunct w:val="0"/>
      <w:autoSpaceDE w:val="0"/>
      <w:autoSpaceDN w:val="0"/>
      <w:adjustRightInd w:val="0"/>
      <w:spacing w:before="60" w:after="0"/>
      <w:ind w:left="1616" w:hanging="357"/>
    </w:pPr>
    <w:rPr>
      <w:rFonts w:ascii="Arial" w:hAnsi="Arial"/>
      <w:b/>
      <w:lang w:eastAsia="ja-JP"/>
    </w:rPr>
  </w:style>
  <w:style w:type="character" w:customStyle="1" w:styleId="CommentTextChar">
    <w:name w:val="Comment Text Char"/>
    <w:basedOn w:val="DefaultParagraphFont"/>
    <w:link w:val="CommentText"/>
    <w:uiPriority w:val="99"/>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ANChar">
    <w:name w:val="TAN Char"/>
    <w:link w:val="TAN"/>
    <w:uiPriority w:val="99"/>
    <w:qFormat/>
    <w:locked/>
    <w:rPr>
      <w:rFonts w:ascii="Arial" w:hAnsi="Arial"/>
      <w:sz w:val="18"/>
      <w:lang w:eastAsia="en-US"/>
    </w:rPr>
  </w:style>
  <w:style w:type="character" w:customStyle="1" w:styleId="CommentSubjectChar">
    <w:name w:val="Comment Subject Char"/>
    <w:basedOn w:val="CommentTextChar"/>
    <w:link w:val="CommentSubject"/>
    <w:qFormat/>
    <w:rPr>
      <w:b/>
      <w:bCs/>
      <w:lang w:eastAsia="en-US"/>
    </w:rPr>
  </w:style>
  <w:style w:type="character" w:customStyle="1" w:styleId="ui-provider">
    <w:name w:val="ui-provider"/>
    <w:basedOn w:val="DefaultParagraphFont"/>
    <w:qFormat/>
  </w:style>
  <w:style w:type="paragraph" w:customStyle="1" w:styleId="Revision1">
    <w:name w:val="Revision1"/>
    <w:hidden/>
    <w:uiPriority w:val="99"/>
    <w:semiHidden/>
    <w:qFormat/>
    <w:rPr>
      <w:lang w:val="en-GB"/>
    </w:rPr>
  </w:style>
  <w:style w:type="character" w:customStyle="1" w:styleId="Mention1">
    <w:name w:val="Mention1"/>
    <w:basedOn w:val="DefaultParagraphFont"/>
    <w:uiPriority w:val="99"/>
    <w:unhideWhenUsed/>
    <w:qFormat/>
    <w:rPr>
      <w:color w:val="2B579A"/>
      <w:shd w:val="clear" w:color="auto" w:fill="E1DFDD"/>
    </w:rPr>
  </w:style>
  <w:style w:type="paragraph" w:styleId="ListParagraph">
    <w:name w:val="List Paragraph"/>
    <w:basedOn w:val="Normal"/>
    <w:uiPriority w:val="99"/>
    <w:unhideWhenUsed/>
    <w:rsid w:val="00627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98191">
      <w:bodyDiv w:val="1"/>
      <w:marLeft w:val="0"/>
      <w:marRight w:val="0"/>
      <w:marTop w:val="0"/>
      <w:marBottom w:val="0"/>
      <w:divBdr>
        <w:top w:val="none" w:sz="0" w:space="0" w:color="auto"/>
        <w:left w:val="none" w:sz="0" w:space="0" w:color="auto"/>
        <w:bottom w:val="none" w:sz="0" w:space="0" w:color="auto"/>
        <w:right w:val="none" w:sz="0" w:space="0" w:color="auto"/>
      </w:divBdr>
    </w:div>
    <w:div w:id="1965887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TSG_RAN/TSGR_97e/Docs/RP-222671.zi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3gpp.org/ftp/TSG_RAN/WG4_Radio/TSGR4_108/Docs/R4-2314490.zi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2.xml><?xml version="1.0" encoding="utf-8"?>
<ds:datastoreItem xmlns:ds="http://schemas.openxmlformats.org/officeDocument/2006/customXml" ds:itemID="{C29DBACE-8D43-4ADA-B634-ED6285FD7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82</TotalTime>
  <Pages>17</Pages>
  <Words>7834</Words>
  <Characters>44659</Characters>
  <Application>Microsoft Office Word</Application>
  <DocSecurity>0</DocSecurity>
  <Lines>372</Lines>
  <Paragraphs>104</Paragraphs>
  <ScaleCrop>false</ScaleCrop>
  <Company>Nokia</Company>
  <LinksUpToDate>false</LinksUpToDate>
  <CharactersWithSpaces>52389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Andrew Lappalainen (Nokia)</cp:lastModifiedBy>
  <cp:revision>113</cp:revision>
  <dcterms:created xsi:type="dcterms:W3CDTF">2023-09-22T20:52:00Z</dcterms:created>
  <dcterms:modified xsi:type="dcterms:W3CDTF">2023-09-22T22:14:00Z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864dc9da-9145-49cd-84a7-7f43fbbea89c</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1694655027</vt:lpwstr>
  </property>
  <property fmtid="{D5CDD505-2E9C-101B-9397-08002B2CF9AE}" pid="9" name="KSOProductBuildVer">
    <vt:lpwstr>2052-11.8.2.12085</vt:lpwstr>
  </property>
  <property fmtid="{D5CDD505-2E9C-101B-9397-08002B2CF9AE}" pid="10" name="ICV">
    <vt:lpwstr>A8708CB9E7034803AEC7A3643B20A9DE</vt:lpwstr>
  </property>
</Properties>
</file>