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BodyText"/>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BodyText"/>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BodyText"/>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BodyText"/>
              <w:jc w:val="left"/>
              <w:rPr>
                <w:lang w:val="en-US"/>
              </w:rPr>
            </w:pPr>
            <w:r w:rsidRPr="00240A28">
              <w:rPr>
                <w:b w:val="0"/>
                <w:lang w:val="en-US"/>
              </w:rPr>
              <w:t>Huawei, HiSilicon</w:t>
            </w:r>
          </w:p>
        </w:tc>
        <w:tc>
          <w:tcPr>
            <w:tcW w:w="1701" w:type="dxa"/>
            <w:shd w:val="clear" w:color="auto" w:fill="auto"/>
            <w:vAlign w:val="center"/>
          </w:tcPr>
          <w:p w14:paraId="34D6893F" w14:textId="5E1E897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7" w:type="dxa"/>
            <w:shd w:val="clear" w:color="auto" w:fill="auto"/>
            <w:vAlign w:val="center"/>
          </w:tcPr>
          <w:p w14:paraId="255C050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BodyText"/>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7" w:type="dxa"/>
            <w:shd w:val="clear" w:color="auto" w:fill="auto"/>
            <w:vAlign w:val="center"/>
          </w:tcPr>
          <w:p w14:paraId="6B73AB56" w14:textId="5892F602" w:rsidR="001D7470" w:rsidRPr="001D7470" w:rsidRDefault="001D7470"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w:t>
            </w:r>
            <w:r w:rsidRPr="001D7470">
              <w:rPr>
                <w:lang w:val="en-US"/>
              </w:rPr>
              <w:t xml:space="preserve"> and if time allows.</w:t>
            </w: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BodyText"/>
        <w:rPr>
          <w:lang w:val="en-US"/>
        </w:rPr>
      </w:pPr>
      <w:r>
        <w:rPr>
          <w:lang w:val="en-US"/>
        </w:rPr>
        <w:t xml:space="preserve">According to legacy CellGroupConfig IE the SCell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SCell(s)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0702D2BD" w14:textId="7C2B3A0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is possible anyway by using the target cell configuration </w:t>
            </w:r>
            <w:r>
              <w:rPr>
                <w:lang w:val="en-US"/>
              </w:rPr>
              <w:t xml:space="preserve">as per </w:t>
            </w:r>
            <w:r>
              <w:rPr>
                <w:lang w:val="en-US"/>
              </w:rPr>
              <w:t xml:space="preserve">legacy and it shouldn’t be prohibited </w:t>
            </w:r>
            <w:r>
              <w:rPr>
                <w:lang w:val="en-US"/>
              </w:rPr>
              <w:t>by introduction of</w:t>
            </w:r>
            <w:r>
              <w:rPr>
                <w:lang w:val="en-US"/>
              </w:rPr>
              <w:t xml:space="preserve"> the LTM solution.</w:t>
            </w:r>
          </w:p>
        </w:tc>
      </w:tr>
    </w:tbl>
    <w:p w14:paraId="4C192760" w14:textId="77777777" w:rsidR="00E32495" w:rsidRDefault="00E32495">
      <w:pPr>
        <w:pStyle w:val="BodyText"/>
      </w:pPr>
    </w:p>
    <w:p w14:paraId="4C192761" w14:textId="77777777" w:rsidR="00E32495" w:rsidRPr="00586A24" w:rsidRDefault="00E32495">
      <w:pPr>
        <w:pStyle w:val="BodyText"/>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t xml:space="preserve">RAN2 has agreed already that the UE may perform early decoding and compliant check according to its implementation, and thus this Editor’s Note can be deleted. However, one remaining open issue is if some </w:t>
      </w:r>
      <w:r>
        <w:rPr>
          <w:lang w:val="en-US"/>
        </w:rPr>
        <w:lastRenderedPageBreak/>
        <w:t>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i.e.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BodyText"/>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288E2E8F" w14:textId="42F5887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BodyText"/>
              <w:jc w:val="left"/>
              <w:rPr>
                <w:rFonts w:eastAsia="Malgun Gothic"/>
                <w:b w:val="0"/>
                <w:bCs w:val="0"/>
                <w:lang w:val="en-US" w:eastAsia="ko-KR"/>
              </w:rPr>
            </w:pPr>
            <w:r w:rsidRPr="00B93905">
              <w:rPr>
                <w:rFonts w:eastAsia="Malgun Gothic"/>
                <w:b w:val="0"/>
                <w:bCs w:val="0"/>
                <w:lang w:val="en-US" w:eastAsia="ko-KR"/>
              </w:rPr>
              <w:t>Nokia</w:t>
            </w:r>
          </w:p>
        </w:tc>
        <w:tc>
          <w:tcPr>
            <w:tcW w:w="1701" w:type="dxa"/>
            <w:shd w:val="clear" w:color="auto" w:fill="auto"/>
            <w:vAlign w:val="center"/>
          </w:tcPr>
          <w:p w14:paraId="7D3D12C9" w14:textId="16FD46BA" w:rsidR="00B93905" w:rsidRPr="00B93905" w:rsidRDefault="00B93905"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xml:space="preserve">, (b), is not </w:t>
            </w:r>
            <w:r w:rsidRPr="00B93905">
              <w:rPr>
                <w:lang w:val="en-US"/>
              </w:rPr>
              <w:lastRenderedPageBreak/>
              <w:t>certain that it will go to the target cell that has failed the compliance check, will lead to additional un</w:t>
            </w:r>
            <w:r w:rsidR="00723390">
              <w:rPr>
                <w:lang w:val="en-US"/>
              </w:rPr>
              <w:t>desirable</w:t>
            </w:r>
            <w:r w:rsidRPr="00B93905">
              <w:rPr>
                <w:lang w:val="en-US"/>
              </w:rPr>
              <w:t xml:space="preserve"> delay.</w:t>
            </w: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1C9FACD2" w14:textId="3FDEB0B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w:t>
            </w:r>
            <w:r>
              <w:rPr>
                <w:lang w:val="en-US"/>
              </w:rPr>
              <w:t>al</w:t>
            </w:r>
            <w:r>
              <w:rPr>
                <w:lang w:val="en-US"/>
              </w:rPr>
              <w:t xml:space="preserve">. Potential way to skip the need for RRC </w:t>
            </w:r>
            <w:r w:rsidRPr="0083494C">
              <w:rPr>
                <w:lang w:val="en-US"/>
              </w:rPr>
              <w:t>re-establishment</w:t>
            </w:r>
            <w:r>
              <w:rPr>
                <w:lang w:val="en-US"/>
              </w:rPr>
              <w:t xml:space="preserve"> is (a) informing the network about the </w:t>
            </w:r>
            <w:r>
              <w:rPr>
                <w:lang w:val="en-US"/>
              </w:rPr>
              <w:lastRenderedPageBreak/>
              <w:t xml:space="preserve">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commentRangeEnd w:id="4"/>
      <w:r w:rsidR="00543C36">
        <w:rPr>
          <w:rStyle w:val="CommentReference"/>
          <w:color w:val="auto"/>
          <w:lang w:val="en-GB" w:eastAsia="ja-JP"/>
        </w:rPr>
        <w:commentReference w:id="4"/>
      </w:r>
    </w:p>
    <w:p w14:paraId="4C19279F" w14:textId="77777777" w:rsidR="00E32495" w:rsidRDefault="000151DF">
      <w:pPr>
        <w:pStyle w:val="BodyText"/>
        <w:rPr>
          <w:lang w:val="en-US"/>
        </w:rPr>
      </w:pPr>
      <w:r>
        <w:rPr>
          <w:lang w:val="en-US"/>
        </w:rPr>
        <w:t xml:space="preserve">This issue is pretty much related to MAC and UE actions needs to be captured in TS 38.321 rather than in RRC. The proposal is to delete these </w:t>
      </w:r>
      <w:proofErr w:type="spellStart"/>
      <w:r>
        <w:rPr>
          <w:lang w:val="en-US"/>
        </w:rPr>
        <w:t>issuee</w:t>
      </w:r>
      <w:proofErr w:type="spellEnd"/>
      <w:r>
        <w:rPr>
          <w:lang w:val="en-US"/>
        </w:rPr>
        <w:t>, unless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ltm-Candidate is a complete configuration.</w:t>
      </w:r>
      <w:commentRangeEnd w:id="5"/>
      <w:r>
        <w:rPr>
          <w:rStyle w:val="CommentReference"/>
          <w:color w:val="auto"/>
          <w:lang w:val="en-GB" w:eastAsia="ja-JP"/>
        </w:rPr>
        <w:commentReference w:id="5"/>
      </w:r>
      <w:commentRangeEnd w:id="6"/>
      <w:r w:rsidR="00AD0066">
        <w:rPr>
          <w:rStyle w:val="CommentReference"/>
          <w:color w:val="auto"/>
          <w:lang w:val="en-GB" w:eastAsia="ja-JP"/>
        </w:rPr>
        <w:commentReference w:id="6"/>
      </w:r>
    </w:p>
    <w:p w14:paraId="4C1927A3" w14:textId="77777777" w:rsidR="00E32495" w:rsidRDefault="000151DF">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lastRenderedPageBreak/>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Our understanding is that the legacy fullConfig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BodyText"/>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8EFBFB0" w14:textId="164FF4F2"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BodyText"/>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According to current implementation of TS 38.321 for LTM, when the MAC layer receives the LTM cell switch command one of the action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BodyText"/>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RAN2 agreed that the RadioBearerConfig IE is optional within an LTM candidate cell configuration</w:t>
      </w:r>
      <w:commentRangeEnd w:id="7"/>
      <w:r>
        <w:rPr>
          <w:rStyle w:val="CommentReference"/>
          <w:rFonts w:ascii="Times New Roman" w:hAnsi="Times New Roman"/>
          <w:lang w:eastAsia="ja-JP"/>
        </w:rPr>
        <w:commentReference w:id="7"/>
      </w:r>
      <w:commentRangeEnd w:id="8"/>
      <w:r w:rsidR="00EB3538">
        <w:rPr>
          <w:rStyle w:val="CommentReference"/>
          <w:rFonts w:ascii="Times New Roman" w:hAnsi="Times New Roman"/>
          <w:lang w:eastAsia="ja-JP"/>
        </w:rPr>
        <w:commentReference w:id="8"/>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as a consequence,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lastRenderedPageBreak/>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configuration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BodyText"/>
              <w:jc w:val="left"/>
              <w:rPr>
                <w:rFonts w:eastAsia="Malgun Gothic"/>
                <w:b w:val="0"/>
                <w:bCs w:val="0"/>
                <w:lang w:val="en-US" w:eastAsia="ko-KR"/>
              </w:rPr>
            </w:pPr>
            <w:r>
              <w:rPr>
                <w:rFonts w:eastAsia="Malgun Gothic" w:hint="eastAsia"/>
                <w:b w:val="0"/>
                <w:bCs w:val="0"/>
                <w:lang w:val="en-US" w:eastAsia="ko-KR"/>
              </w:rPr>
              <w:lastRenderedPageBreak/>
              <w:t>Samsung</w:t>
            </w:r>
          </w:p>
        </w:tc>
        <w:tc>
          <w:tcPr>
            <w:tcW w:w="1701" w:type="dxa"/>
            <w:shd w:val="clear" w:color="auto" w:fill="auto"/>
            <w:vAlign w:val="center"/>
          </w:tcPr>
          <w:p w14:paraId="7C4A9DD0" w14:textId="3C4405C8" w:rsidR="00252A65" w:rsidRPr="00252A65"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BodyText"/>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Probably the easiest way would be to always release the radi</w:t>
            </w:r>
            <w:r w:rsidR="002233AF">
              <w:rPr>
                <w:lang w:val="en-US"/>
              </w:rPr>
              <w:t xml:space="preserve">oBearerConfig, but if we want to keep it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9452BAE" w14:textId="14238BF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to Qualcomm: the only things not released in the legacy full configuration are the pdu-Sessions,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r w:rsidRPr="00F10B4F">
              <w:rPr>
                <w:i/>
              </w:rPr>
              <w:t>pdu-Session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
          <w:p w14:paraId="4DA98934" w14:textId="6010737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r w:rsidRPr="00F10B4F">
              <w:rPr>
                <w:i/>
              </w:rPr>
              <w:t>pdu-Session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BodyText"/>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6105661D" w14:textId="32027FA6"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 xml:space="preserve">To our understanding </w:t>
            </w:r>
            <w:proofErr w:type="spellStart"/>
            <w:r w:rsidRPr="000D402C">
              <w:rPr>
                <w:lang w:val="en-US"/>
              </w:rPr>
              <w:t>radioBearerConfig</w:t>
            </w:r>
            <w:proofErr w:type="spellEnd"/>
            <w:r w:rsidRPr="000D402C">
              <w:rPr>
                <w:lang w:val="en-US"/>
              </w:rPr>
              <w:t xml:space="preserve"> should be maintained when executing the cell switch. Anyway, the candidate cell can reconfigure the radio bearer. However, it is unclear how this should be maintained, and how this would work in dynamic switching. We think that the </w:t>
            </w:r>
            <w:proofErr w:type="spellStart"/>
            <w:r w:rsidRPr="000D402C">
              <w:rPr>
                <w:lang w:val="en-US"/>
              </w:rPr>
              <w:t>radioBearerConfig</w:t>
            </w:r>
            <w:proofErr w:type="spellEnd"/>
            <w:r w:rsidRPr="000D402C">
              <w:rPr>
                <w:lang w:val="en-US"/>
              </w:rPr>
              <w:t xml:space="preserve"> should be part of the reference configuration, so as to ensure that the operation will be smooth in case of dynamic switching and the target cell reconfigures the radio bearer</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A further question is whether some other configuration should be kept by the UE, e.g., the MeasConfig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lastRenderedPageBreak/>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only Intra-gNB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Maybe MeasConfig but no strong view</w:t>
            </w:r>
          </w:p>
        </w:tc>
        <w:tc>
          <w:tcPr>
            <w:tcW w:w="5666" w:type="dxa"/>
            <w:shd w:val="clear" w:color="auto" w:fill="auto"/>
            <w:vAlign w:val="center"/>
          </w:tcPr>
          <w:p w14:paraId="6BD3CF85" w14:textId="271C01A5"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to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MeasConfig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8E495FD" w14:textId="2D62A9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case of inter-frequency LTM, measConfig needs to be modified (e.g. some A3 and A5 events are no more valid), so the complete configuration should include measConfig.</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BodyText"/>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lastRenderedPageBreak/>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BodyText"/>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BodyText"/>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B792160" w14:textId="55AC4C4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Pr>
                <w:i/>
                <w:iCs/>
                <w:lang w:val="en-US"/>
              </w:rPr>
              <w:t>ServingCellConfigCommon</w:t>
            </w:r>
            <w:proofErr w:type="spellEnd"/>
            <w:r>
              <w:rPr>
                <w:iCs/>
                <w:lang w:val="en-US"/>
              </w:rPr>
              <w:t xml:space="preserve"> will always be present in the reference configuration then for SCells of the candidate delta configuration whose identity matches with an SCell of the reference configuration, </w:t>
            </w:r>
            <w:proofErr w:type="spellStart"/>
            <w:r>
              <w:rPr>
                <w:i/>
                <w:iCs/>
                <w:lang w:val="en-US"/>
              </w:rPr>
              <w:t>ServingCellConfigCommon</w:t>
            </w:r>
            <w:proofErr w:type="spellEnd"/>
            <w:r>
              <w:rPr>
                <w:iCs/>
                <w:lang w:val="en-US"/>
              </w:rPr>
              <w:t xml:space="preserve"> can be absent.</w:t>
            </w:r>
          </w:p>
          <w:p w14:paraId="78744292"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r>
              <w:rPr>
                <w:iCs/>
                <w:lang w:val="en-US"/>
              </w:rPr>
              <w:t xml:space="preserve">I.e. even if </w:t>
            </w:r>
            <w:proofErr w:type="spellStart"/>
            <w:r>
              <w:rPr>
                <w:i/>
                <w:iCs/>
                <w:lang w:val="en-US"/>
              </w:rPr>
              <w:t>ServingCellConfigCommon</w:t>
            </w:r>
            <w:proofErr w:type="spellEnd"/>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lastRenderedPageBreak/>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BodyText"/>
              <w:jc w:val="left"/>
              <w:rPr>
                <w:rFonts w:eastAsia="Malgun Gothic"/>
                <w:lang w:val="en-US" w:eastAsia="ko-KR"/>
              </w:rPr>
            </w:pPr>
            <w:r>
              <w:rPr>
                <w:b w:val="0"/>
                <w:bCs w:val="0"/>
                <w:lang w:val="en-US"/>
              </w:rPr>
              <w:lastRenderedPageBreak/>
              <w:t>Nokia</w:t>
            </w:r>
          </w:p>
        </w:tc>
        <w:tc>
          <w:tcPr>
            <w:tcW w:w="1701" w:type="dxa"/>
            <w:shd w:val="clear" w:color="auto" w:fill="auto"/>
            <w:vAlign w:val="center"/>
          </w:tcPr>
          <w:p w14:paraId="1A2C0A58" w14:textId="7C91B974" w:rsidR="00877CA6" w:rsidRDefault="00877CA6" w:rsidP="00877CA6">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CommentReference"/>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BodyText"/>
              <w:jc w:val="left"/>
              <w:rPr>
                <w:rFonts w:eastAsia="Malgun Gothic"/>
                <w:lang w:val="en-US" w:eastAsia="ko-KR"/>
              </w:rPr>
            </w:pPr>
            <w:r w:rsidRPr="00822EFE">
              <w:rPr>
                <w:rFonts w:eastAsia="Malgun Gothic"/>
                <w:b w:val="0"/>
                <w:bCs w:val="0"/>
                <w:lang w:eastAsia="ko-KR"/>
              </w:rPr>
              <w:t>Huawei, HiSilicon</w:t>
            </w:r>
          </w:p>
        </w:tc>
        <w:tc>
          <w:tcPr>
            <w:tcW w:w="1701" w:type="dxa"/>
            <w:shd w:val="clear" w:color="auto" w:fill="auto"/>
            <w:vAlign w:val="center"/>
          </w:tcPr>
          <w:p w14:paraId="64108511" w14:textId="4B8E5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pPr>
            <w:r w:rsidRPr="00822EFE">
              <w:t>The UE behaviours at expiry should be exactly the same like t304, introducing a new timer will duplicate specification for no gain.</w:t>
            </w:r>
          </w:p>
          <w:p w14:paraId="68CDD775" w14:textId="47D7A6E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BodyText"/>
              <w:jc w:val="left"/>
              <w:rPr>
                <w:rFonts w:eastAsia="Malgun Gothic"/>
                <w:lang w:eastAsia="ko-KR"/>
              </w:rPr>
            </w:pPr>
            <w:r>
              <w:rPr>
                <w:b w:val="0"/>
                <w:bCs w:val="0"/>
                <w:lang w:val="en-US"/>
              </w:rPr>
              <w:t>Nokia</w:t>
            </w:r>
          </w:p>
        </w:tc>
        <w:tc>
          <w:tcPr>
            <w:tcW w:w="1701" w:type="dxa"/>
            <w:shd w:val="clear" w:color="auto" w:fill="auto"/>
            <w:vAlign w:val="center"/>
          </w:tcPr>
          <w:p w14:paraId="3D4C25A2" w14:textId="3C8595EF" w:rsidR="00B16DD9" w:rsidRPr="00822EFE" w:rsidRDefault="00B16DD9" w:rsidP="00B16DD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BodyText"/>
              <w:jc w:val="left"/>
              <w:cnfStyle w:val="000000000000" w:firstRow="0" w:lastRow="0" w:firstColumn="0" w:lastColumn="0" w:oddVBand="0" w:evenVBand="0" w:oddHBand="0" w:evenHBand="0" w:firstRowFirstColumn="0" w:firstRowLastColumn="0" w:lastRowFirstColumn="0" w:lastRowLastColumn="0"/>
            </w:pPr>
            <w:r>
              <w:rPr>
                <w:lang w:val="en-US"/>
              </w:rPr>
              <w:t>To our understanding maintaining one timer to guard all mobility procedures is cleaner. Anyway</w:t>
            </w:r>
            <w:r>
              <w:rPr>
                <w:lang w:val="en-US"/>
              </w:rPr>
              <w:t>,</w:t>
            </w:r>
            <w:r>
              <w:rPr>
                <w:lang w:val="en-US"/>
              </w:rPr>
              <w:t xml:space="preserve"> only one mobility procedure is possible at each point of time, so there is no confusion on how T304 operates. If additional values are needed for the T304, this can be easier specified. </w:t>
            </w: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BodyText"/>
        <w:numPr>
          <w:ilvl w:val="0"/>
          <w:numId w:val="16"/>
        </w:numPr>
        <w:rPr>
          <w:lang w:val="en-US"/>
        </w:rPr>
      </w:pPr>
      <w:r>
        <w:rPr>
          <w:lang w:val="en-US"/>
        </w:rPr>
        <w:lastRenderedPageBreak/>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BodyText"/>
        <w:rPr>
          <w:lang w:val="en-US"/>
        </w:rPr>
      </w:pPr>
      <w:r>
        <w:rPr>
          <w:lang w:val="en-US"/>
        </w:rPr>
        <w:t>Option 2. C-RNTI addressed PDCCH</w:t>
      </w:r>
    </w:p>
    <w:p w14:paraId="4C192841" w14:textId="77777777" w:rsidR="00E32495" w:rsidRDefault="000151DF">
      <w:pPr>
        <w:pStyle w:val="BodyText"/>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BodyText"/>
        <w:rPr>
          <w:lang w:val="en-US"/>
        </w:rPr>
      </w:pPr>
      <w:r>
        <w:rPr>
          <w:lang w:val="en-US"/>
        </w:rPr>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CommentReference"/>
          <w:rFonts w:ascii="Times New Roman" w:hAnsi="Times New Roman"/>
          <w:lang w:eastAsia="ja-JP"/>
        </w:rPr>
        <w:commentReference w:id="12"/>
      </w:r>
      <w:commentRangeEnd w:id="13"/>
      <w:r w:rsidR="00B04863">
        <w:rPr>
          <w:rStyle w:val="CommentReference"/>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BodyText"/>
              <w:jc w:val="left"/>
              <w:rPr>
                <w:rFonts w:eastAsia="Malgun Gothic"/>
                <w:b w:val="0"/>
                <w:bCs w:val="0"/>
                <w:lang w:val="en-US" w:eastAsia="ko-KR"/>
              </w:rPr>
            </w:pPr>
            <w:r>
              <w:rPr>
                <w:rFonts w:eastAsia="Malgun Gothic" w:hint="eastAsia"/>
                <w:b w:val="0"/>
                <w:bCs w:val="0"/>
                <w:lang w:val="en-US" w:eastAsia="ko-KR"/>
              </w:rPr>
              <w:lastRenderedPageBreak/>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259D2AFF" w14:textId="2D63201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UE uses a configured grant for the initial UL transmission and the network only schedules the UE after receiving an initial transmission, option 2 can work. Otherwise, something different would be needed, e.g. PDCCH scheduled for the same HARQ process with the NDI toggled. Therefore, option 2 looks more complicated.</w:t>
            </w:r>
          </w:p>
          <w:p w14:paraId="19874F7B" w14:textId="0CD8CA8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would work but we prefer option 3 in order to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BodyText"/>
              <w:jc w:val="left"/>
              <w:rPr>
                <w:rFonts w:eastAsia="Malgun Gothic"/>
                <w:b w:val="0"/>
                <w:bCs w:val="0"/>
                <w:lang w:val="en-US" w:eastAsia="ko-KR"/>
              </w:rPr>
            </w:pPr>
            <w:r w:rsidRPr="001A31DE">
              <w:rPr>
                <w:rFonts w:eastAsia="Malgun Gothic"/>
                <w:b w:val="0"/>
                <w:bCs w:val="0"/>
                <w:lang w:val="en-US" w:eastAsia="ko-KR"/>
              </w:rPr>
              <w:t>Nokia</w:t>
            </w:r>
          </w:p>
        </w:tc>
        <w:tc>
          <w:tcPr>
            <w:tcW w:w="1701" w:type="dxa"/>
            <w:shd w:val="clear" w:color="auto" w:fill="auto"/>
            <w:vAlign w:val="center"/>
          </w:tcPr>
          <w:p w14:paraId="4FB948AE" w14:textId="3892BC4E" w:rsidR="001A31DE" w:rsidRDefault="001A31DE"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w:t>
            </w:r>
            <w:r>
              <w:rPr>
                <w:lang w:val="en-US"/>
              </w:rPr>
              <w:lastRenderedPageBreak/>
              <w:t>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lastRenderedPageBreak/>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BodyTex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3645D30A" w14:textId="484C24C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We understand that the network will not do that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BodyText"/>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 xml:space="preserve">1.  So </w:t>
      </w:r>
      <w:proofErr w:type="gramStart"/>
      <w:r>
        <w:rPr>
          <w:lang w:val="en-US"/>
        </w:rPr>
        <w:t>far</w:t>
      </w:r>
      <w:proofErr w:type="gramEnd"/>
      <w:r>
        <w:rPr>
          <w:lang w:val="en-US"/>
        </w:rPr>
        <w:t xml:space="preserve">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 xml:space="preserve">2. The UE actions upon the presence of the field reconfigurationWithSync are widely spread in the procedural text and ASN.1 field description (there are current about 125 </w:t>
      </w:r>
      <w:proofErr w:type="gramStart"/>
      <w:r>
        <w:rPr>
          <w:lang w:val="en-US"/>
        </w:rPr>
        <w:t>where ”reconfigurationWithSync</w:t>
      </w:r>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lastRenderedPageBreak/>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BB1454A" w14:textId="38E59F86"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1) "This implies that exception for the RACH-less LTM would need to be captured in e.g., section 5.3.5.3 and section 5.3.5.5.2" is correct but this is not a problem.</w:t>
            </w:r>
          </w:p>
          <w:p w14:paraId="2DFE02A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discussed and our impression is that this statement is not true.</w:t>
            </w:r>
          </w:p>
          <w:p w14:paraId="02EA0CC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BodyText"/>
              <w:jc w:val="left"/>
              <w:rPr>
                <w:rFonts w:eastAsia="Malgun Gothic"/>
                <w:b w:val="0"/>
                <w:bCs w:val="0"/>
                <w:lang w:val="en-US" w:eastAsia="ko-KR"/>
              </w:rPr>
            </w:pPr>
            <w:r w:rsidRPr="00E019D0">
              <w:rPr>
                <w:rFonts w:eastAsia="Malgun Gothic"/>
                <w:b w:val="0"/>
                <w:bCs w:val="0"/>
                <w:lang w:val="en-US" w:eastAsia="ko-KR"/>
              </w:rPr>
              <w:t>Nokia</w:t>
            </w:r>
          </w:p>
        </w:tc>
        <w:tc>
          <w:tcPr>
            <w:tcW w:w="1701" w:type="dxa"/>
            <w:shd w:val="clear" w:color="auto" w:fill="auto"/>
            <w:vAlign w:val="center"/>
          </w:tcPr>
          <w:p w14:paraId="3D66245C" w14:textId="4629E2E0" w:rsidR="00E019D0" w:rsidRDefault="00E019D0"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BodyTex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w:t>
            </w:r>
            <w:proofErr w:type="gramStart"/>
            <w:r w:rsidRPr="00E019D0">
              <w:rPr>
                <w:lang w:val="en-US"/>
              </w:rPr>
              <w:t>costly</w:t>
            </w:r>
            <w:proofErr w:type="gramEnd"/>
            <w:r w:rsidRPr="00E019D0">
              <w:rPr>
                <w:lang w:val="en-US"/>
              </w:rPr>
              <w:t xml:space="preserve"> and it shouldn’t be used in case of LTM as we have also raised in our contributions. </w:t>
            </w:r>
          </w:p>
          <w:p w14:paraId="128DBB76" w14:textId="5216756E" w:rsidR="00E019D0" w:rsidRDefault="00E019D0" w:rsidP="00E019D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lastRenderedPageBreak/>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BodyText"/>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RRCReconfigurationComplete message within the LTM cell switch execution section is similar to what is captured in the section 5.3.5.3. And the UE execution order is the same, i.e.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w:t>
            </w:r>
            <w:r w:rsidR="00F5526C">
              <w:rPr>
                <w:lang w:val="en-US"/>
              </w:rPr>
              <w:lastRenderedPageBreak/>
              <w:t xml:space="preserve">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BodyText"/>
              <w:jc w:val="left"/>
              <w:rPr>
                <w:rFonts w:eastAsia="Malgun Gothic"/>
                <w:lang w:val="en-US" w:eastAsia="ko-KR"/>
              </w:rPr>
            </w:pPr>
            <w:r>
              <w:rPr>
                <w:rFonts w:eastAsia="Malgun Gothic"/>
                <w:b w:val="0"/>
                <w:bCs w:val="0"/>
                <w:lang w:val="en-US" w:eastAsia="ko-KR"/>
              </w:rPr>
              <w:lastRenderedPageBreak/>
              <w:t>Huawei, HiSilicon</w:t>
            </w:r>
          </w:p>
        </w:tc>
        <w:tc>
          <w:tcPr>
            <w:tcW w:w="1701" w:type="dxa"/>
            <w:shd w:val="clear" w:color="auto" w:fill="auto"/>
            <w:vAlign w:val="center"/>
          </w:tcPr>
          <w:p w14:paraId="77A83EA7" w14:textId="07AC81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BodyText"/>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lastRenderedPageBreak/>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4B53CC8" w14:textId="69B2BE8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w:t>
            </w:r>
            <w:proofErr w:type="spellStart"/>
            <w:r>
              <w:rPr>
                <w:lang w:val="en-US"/>
              </w:rPr>
              <w:t>signalling</w:t>
            </w:r>
            <w:proofErr w:type="spellEnd"/>
            <w:r>
              <w:rPr>
                <w:lang w:val="en-US"/>
              </w:rPr>
              <w:t xml:space="preserve">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w:t>
            </w:r>
            <w:proofErr w:type="spellStart"/>
            <w:r>
              <w:rPr>
                <w:lang w:val="en-US"/>
              </w:rPr>
              <w:t>signalling</w:t>
            </w:r>
            <w:proofErr w:type="spellEnd"/>
            <w:r>
              <w:rPr>
                <w:lang w:val="en-US"/>
              </w:rPr>
              <w:t xml:space="preserve"> cost. </w:t>
            </w:r>
          </w:p>
          <w:p w14:paraId="416592BC" w14:textId="32F1E837"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has to configure the UE to with the operation upon the cell change (i.e., release/maintain of the target cell configurations). </w:t>
            </w: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 xml:space="preserve">About the cross-layer interaction, part of them are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lastRenderedPageBreak/>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lastRenderedPageBreak/>
              <w:t>Option 1: MCG LTM is not allowed in NR-DC, i.e.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(i.e. DC to SA mobility). In this case, the target cell can configure SCG release in the LTM candidate cell configuration, i.e. the MCG LTM configuration includes mrdc-SecondaryCellGroupConfig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5737735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D9BD056" w14:textId="7C990E9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BodyText"/>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proofErr w:type="gramStart"/>
            <w:r>
              <w:rPr>
                <w:lang w:val="en-US"/>
              </w:rPr>
              <w:t>So</w:t>
            </w:r>
            <w:proofErr w:type="gramEnd"/>
            <w:r>
              <w:rPr>
                <w:lang w:val="en-US"/>
              </w:rPr>
              <w:t xml:space="preserve"> w</w:t>
            </w:r>
            <w:r w:rsidRPr="006E7F3E">
              <w:rPr>
                <w:lang w:val="en-US"/>
              </w:rPr>
              <w:t>e should focus on MCG only for now.</w:t>
            </w: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BodyText"/>
              <w:jc w:val="left"/>
              <w:rPr>
                <w:rFonts w:eastAsia="Malgun Gothic"/>
                <w:lang w:val="en-US" w:eastAsia="ko-KR"/>
              </w:rPr>
            </w:pPr>
            <w:r>
              <w:rPr>
                <w:rFonts w:eastAsia="Malgun Gothic"/>
                <w:b w:val="0"/>
                <w:bCs w:val="0"/>
                <w:lang w:val="en-US" w:eastAsia="ko-KR"/>
              </w:rPr>
              <w:lastRenderedPageBreak/>
              <w:t>Huawei, HiSilicon</w:t>
            </w:r>
          </w:p>
        </w:tc>
        <w:tc>
          <w:tcPr>
            <w:tcW w:w="1701" w:type="dxa"/>
            <w:shd w:val="clear" w:color="auto" w:fill="auto"/>
            <w:vAlign w:val="center"/>
          </w:tcPr>
          <w:p w14:paraId="7CF60AC8" w14:textId="734100C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Heading1"/>
        <w:rPr>
          <w:lang w:val="en-US"/>
        </w:rPr>
      </w:pPr>
      <w:r>
        <w:rPr>
          <w:lang w:val="en-US"/>
        </w:rPr>
        <w:t>3</w:t>
      </w:r>
      <w:r>
        <w:rPr>
          <w:lang w:val="en-US"/>
        </w:rPr>
        <w:tab/>
        <w:t>Conclusion</w:t>
      </w:r>
    </w:p>
    <w:p w14:paraId="4C192911" w14:textId="77777777" w:rsidR="00E32495" w:rsidRDefault="000151DF">
      <w:pPr>
        <w:pStyle w:val="BodyText"/>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CommentText"/>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CommentText"/>
      </w:pPr>
      <w:r>
        <w:rPr>
          <w:rStyle w:val="CommentReference"/>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CommentText"/>
      </w:pPr>
      <w:r>
        <w:rPr>
          <w:rStyle w:val="CommentReference"/>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CommentText"/>
        <w:rPr>
          <w:lang w:eastAsia="zh-CN"/>
        </w:rPr>
      </w:pPr>
    </w:p>
  </w:comment>
  <w:comment w:id="8" w:author="Ericsson (Tony)" w:date="2023-07-31T18:13:00Z" w:initials="E">
    <w:p w14:paraId="6E135E20" w14:textId="2628A49B" w:rsidR="00EB3538" w:rsidRDefault="00EB3538">
      <w:pPr>
        <w:pStyle w:val="CommentText"/>
      </w:pPr>
      <w:r>
        <w:rPr>
          <w:rStyle w:val="CommentReference"/>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CommentReference"/>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CommentText"/>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CommentText"/>
      </w:pPr>
      <w:r>
        <w:rPr>
          <w:rStyle w:val="CommentReference"/>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492E" w14:textId="77777777" w:rsidR="000879FE" w:rsidRDefault="000879FE">
      <w:pPr>
        <w:spacing w:after="0" w:line="240" w:lineRule="auto"/>
      </w:pPr>
      <w:r>
        <w:separator/>
      </w:r>
    </w:p>
  </w:endnote>
  <w:endnote w:type="continuationSeparator" w:id="0">
    <w:p w14:paraId="0F3785D9" w14:textId="77777777" w:rsidR="000879FE" w:rsidRDefault="0008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6FD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FD6">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533F" w14:textId="77777777" w:rsidR="000879FE" w:rsidRDefault="000879FE">
      <w:pPr>
        <w:spacing w:after="0" w:line="240" w:lineRule="auto"/>
      </w:pPr>
      <w:r>
        <w:separator/>
      </w:r>
    </w:p>
  </w:footnote>
  <w:footnote w:type="continuationSeparator" w:id="0">
    <w:p w14:paraId="6FF1BB23" w14:textId="77777777" w:rsidR="000879FE" w:rsidRDefault="0008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41199187">
    <w:abstractNumId w:val="16"/>
  </w:num>
  <w:num w:numId="2" w16cid:durableId="493376855">
    <w:abstractNumId w:val="9"/>
  </w:num>
  <w:num w:numId="3" w16cid:durableId="1929540953">
    <w:abstractNumId w:val="5"/>
  </w:num>
  <w:num w:numId="4" w16cid:durableId="1554808286">
    <w:abstractNumId w:val="8"/>
  </w:num>
  <w:num w:numId="5" w16cid:durableId="144048534">
    <w:abstractNumId w:val="7"/>
  </w:num>
  <w:num w:numId="6" w16cid:durableId="979044273">
    <w:abstractNumId w:val="15"/>
  </w:num>
  <w:num w:numId="7" w16cid:durableId="145439006">
    <w:abstractNumId w:val="1"/>
  </w:num>
  <w:num w:numId="8" w16cid:durableId="1799949528">
    <w:abstractNumId w:val="19"/>
  </w:num>
  <w:num w:numId="9" w16cid:durableId="432945799">
    <w:abstractNumId w:val="11"/>
  </w:num>
  <w:num w:numId="10" w16cid:durableId="1479347112">
    <w:abstractNumId w:val="10"/>
  </w:num>
  <w:num w:numId="11" w16cid:durableId="7755037">
    <w:abstractNumId w:val="12"/>
  </w:num>
  <w:num w:numId="12" w16cid:durableId="1397512854">
    <w:abstractNumId w:val="14"/>
  </w:num>
  <w:num w:numId="13" w16cid:durableId="2089648035">
    <w:abstractNumId w:val="17"/>
  </w:num>
  <w:num w:numId="14" w16cid:durableId="2116318319">
    <w:abstractNumId w:val="2"/>
  </w:num>
  <w:num w:numId="15" w16cid:durableId="1336301088">
    <w:abstractNumId w:val="3"/>
  </w:num>
  <w:num w:numId="16" w16cid:durableId="721440565">
    <w:abstractNumId w:val="18"/>
  </w:num>
  <w:num w:numId="17" w16cid:durableId="2019771715">
    <w:abstractNumId w:val="6"/>
  </w:num>
  <w:num w:numId="18" w16cid:durableId="1696955594">
    <w:abstractNumId w:val="13"/>
  </w:num>
  <w:num w:numId="19" w16cid:durableId="38748041">
    <w:abstractNumId w:val="4"/>
  </w:num>
  <w:num w:numId="20" w16cid:durableId="1825509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8DA193-632C-49B0-A4A0-3B3B40DB14A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Template>
  <TotalTime>20</TotalTime>
  <Pages>23</Pages>
  <Words>8038</Words>
  <Characters>45818</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cp:lastModifiedBy>
  <cp:revision>18</cp:revision>
  <cp:lastPrinted>2008-02-01T03:09:00Z</cp:lastPrinted>
  <dcterms:created xsi:type="dcterms:W3CDTF">2023-08-02T10:47:00Z</dcterms:created>
  <dcterms:modified xsi:type="dcterms:W3CDTF">2023-08-03T12:45:00Z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