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17EA3E00" w:rsidR="00F86A73" w:rsidRPr="001A659D" w:rsidRDefault="004B566C" w:rsidP="007D456E">
      <w:pPr>
        <w:pStyle w:val="FP"/>
        <w:tabs>
          <w:tab w:val="left" w:pos="567"/>
          <w:tab w:val="left" w:pos="8931"/>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581FA8">
        <w:rPr>
          <w:rFonts w:ascii="Arial" w:hAnsi="Arial" w:cs="Arial"/>
          <w:b/>
          <w:sz w:val="24"/>
          <w:szCs w:val="24"/>
        </w:rPr>
        <w:t>9</w:t>
      </w:r>
      <w:r w:rsidR="00034943">
        <w:rPr>
          <w:rFonts w:ascii="Arial" w:hAnsi="Arial" w:cs="Arial"/>
          <w:b/>
          <w:sz w:val="24"/>
          <w:szCs w:val="24"/>
        </w:rPr>
        <w:tab/>
      </w:r>
      <w:r w:rsidR="005E6615" w:rsidRPr="005E6615">
        <w:rPr>
          <w:rFonts w:ascii="Arial" w:hAnsi="Arial" w:cs="Arial"/>
          <w:b/>
          <w:sz w:val="24"/>
          <w:szCs w:val="24"/>
        </w:rPr>
        <w:t>RP-230277</w:t>
      </w:r>
    </w:p>
    <w:p w14:paraId="74D3B354" w14:textId="5E5DA5FB" w:rsidR="00F86A73" w:rsidRPr="004B566C" w:rsidRDefault="001111E5" w:rsidP="004B566C">
      <w:pPr>
        <w:tabs>
          <w:tab w:val="left" w:pos="567"/>
        </w:tabs>
        <w:rPr>
          <w:rFonts w:ascii="Arial" w:hAnsi="Arial" w:cs="Arial"/>
          <w:b/>
          <w:sz w:val="24"/>
        </w:rPr>
      </w:pPr>
      <w:r w:rsidRPr="001111E5">
        <w:rPr>
          <w:rFonts w:ascii="Arial" w:hAnsi="Arial" w:cs="Arial"/>
          <w:b/>
          <w:sz w:val="24"/>
        </w:rPr>
        <w:t>Rotterdam, Netherlands, March 20-23,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7871E43C"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A62477">
        <w:rPr>
          <w:rFonts w:ascii="Arial" w:hAnsi="Arial" w:cs="Arial"/>
          <w:color w:val="000000" w:themeColor="text1"/>
          <w:lang w:eastAsia="ja-JP"/>
        </w:rPr>
        <w:t>9.</w:t>
      </w:r>
      <w:r w:rsidR="00F70826">
        <w:rPr>
          <w:rFonts w:ascii="Arial" w:hAnsi="Arial" w:cs="Arial"/>
          <w:color w:val="000000" w:themeColor="text1"/>
          <w:lang w:eastAsia="ja-JP"/>
        </w:rPr>
        <w:t>3.2.9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54C30A32" w:rsidR="00593315" w:rsidRPr="00A62477" w:rsidRDefault="009161EB" w:rsidP="001A248F">
            <w:pPr>
              <w:tabs>
                <w:tab w:val="left" w:pos="567"/>
              </w:tabs>
              <w:spacing w:after="0"/>
              <w:rPr>
                <w:rFonts w:ascii="Arial" w:hAnsi="Arial" w:cs="Arial"/>
                <w:color w:val="000000" w:themeColor="text1"/>
              </w:rPr>
            </w:pPr>
            <w:r w:rsidRPr="009161EB">
              <w:rPr>
                <w:rFonts w:ascii="Arial" w:hAnsi="Arial" w:cs="Arial"/>
                <w:color w:val="000000" w:themeColor="text1"/>
              </w:rPr>
              <w:t>XR Enhancements for NR</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2939B407" w:rsidR="00871653" w:rsidRPr="00A62477" w:rsidRDefault="00FF348D" w:rsidP="001A248F">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3DA6963F" w:rsidR="00871653" w:rsidRPr="00A62477" w:rsidRDefault="00FF348D" w:rsidP="001A248F">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D852BCD"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1E9E4E23" w:rsidR="0036248C" w:rsidRPr="00A62477" w:rsidRDefault="00801841" w:rsidP="008836AC">
            <w:pPr>
              <w:tabs>
                <w:tab w:val="left" w:pos="567"/>
              </w:tabs>
              <w:spacing w:after="0"/>
              <w:rPr>
                <w:rFonts w:ascii="Arial" w:hAnsi="Arial" w:cs="Arial"/>
                <w:color w:val="000000" w:themeColor="text1"/>
              </w:rPr>
            </w:pPr>
            <w:r w:rsidRPr="00801841">
              <w:rPr>
                <w:rFonts w:ascii="Arial" w:hAnsi="Arial" w:cs="Arial"/>
                <w:color w:val="000000" w:themeColor="text1"/>
              </w:rPr>
              <w:t>NR_XR_enh-Core</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2E074EEE" w:rsidR="0036248C" w:rsidRPr="00A62477" w:rsidRDefault="008221B6" w:rsidP="008836AC">
            <w:pPr>
              <w:tabs>
                <w:tab w:val="left" w:pos="567"/>
              </w:tabs>
              <w:spacing w:after="0"/>
              <w:rPr>
                <w:rFonts w:ascii="Arial" w:hAnsi="Arial" w:cs="Arial"/>
                <w:color w:val="000000" w:themeColor="text1"/>
                <w:lang w:eastAsia="ja-JP"/>
              </w:rPr>
            </w:pPr>
            <w:r w:rsidRPr="008221B6">
              <w:rPr>
                <w:rFonts w:ascii="Arial" w:hAnsi="Arial" w:cs="Arial"/>
                <w:color w:val="000000" w:themeColor="text1"/>
                <w:lang w:eastAsia="ja-JP"/>
              </w:rPr>
              <w:t>981039</w:t>
            </w:r>
          </w:p>
        </w:tc>
      </w:tr>
      <w:tr w:rsidR="00A62477" w:rsidRPr="00A62477" w14:paraId="2184CB69" w14:textId="77777777" w:rsidTr="00871653">
        <w:tc>
          <w:tcPr>
            <w:tcW w:w="2436" w:type="dxa"/>
          </w:tcPr>
          <w:p w14:paraId="7FA547CB" w14:textId="77777777"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proofErr w:type="spellStart"/>
            <w:r w:rsidRPr="00A62477">
              <w:rPr>
                <w:rFonts w:ascii="Arial" w:hAnsi="Arial" w:cs="Arial"/>
                <w:b/>
                <w:color w:val="000000" w:themeColor="text1"/>
              </w:rPr>
              <w:t>Tdoc</w:t>
            </w:r>
            <w:proofErr w:type="spellEnd"/>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7BCA9ACA" w:rsidR="00B6300F" w:rsidRPr="00A62477" w:rsidRDefault="001B0CCE" w:rsidP="008836AC">
            <w:pPr>
              <w:tabs>
                <w:tab w:val="left" w:pos="567"/>
              </w:tabs>
              <w:spacing w:after="0"/>
              <w:rPr>
                <w:rFonts w:ascii="Arial" w:hAnsi="Arial" w:cs="Arial"/>
                <w:color w:val="000000" w:themeColor="text1"/>
                <w:lang w:eastAsia="ja-JP"/>
              </w:rPr>
            </w:pPr>
            <w:hyperlink r:id="rId7" w:history="1">
              <w:r w:rsidR="00661668" w:rsidRPr="00DD1DB0">
                <w:rPr>
                  <w:rStyle w:val="Hyperlink"/>
                  <w:rFonts w:ascii="Arial" w:hAnsi="Arial" w:cs="Arial"/>
                  <w:lang w:eastAsia="ja-JP"/>
                </w:rPr>
                <w:t>RP-2</w:t>
              </w:r>
              <w:r w:rsidR="001D4EAD" w:rsidRPr="00DD1DB0">
                <w:rPr>
                  <w:rStyle w:val="Hyperlink"/>
                  <w:rFonts w:ascii="Arial" w:hAnsi="Arial" w:cs="Arial"/>
                  <w:lang w:eastAsia="ja-JP"/>
                </w:rPr>
                <w:t>2</w:t>
              </w:r>
              <w:r w:rsidR="00676650" w:rsidRPr="00DD1DB0">
                <w:rPr>
                  <w:rStyle w:val="Hyperlink"/>
                  <w:rFonts w:ascii="Arial" w:hAnsi="Arial" w:cs="Arial"/>
                  <w:lang w:eastAsia="ja-JP"/>
                </w:rPr>
                <w:t>3502</w:t>
              </w:r>
            </w:hyperlink>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w:t>
            </w:r>
            <w:proofErr w:type="gramStart"/>
            <w:r w:rsidRPr="00A62477">
              <w:rPr>
                <w:rFonts w:ascii="Arial" w:hAnsi="Arial" w:cs="Arial"/>
                <w:b/>
                <w:color w:val="000000" w:themeColor="text1"/>
              </w:rPr>
              <w:t>indicate</w:t>
            </w:r>
            <w:proofErr w:type="gramEnd"/>
            <w:r w:rsidRPr="00A62477">
              <w:rPr>
                <w:rFonts w:ascii="Arial" w:hAnsi="Arial" w:cs="Arial"/>
                <w:b/>
                <w:color w:val="000000" w:themeColor="text1"/>
              </w:rPr>
              <w:t xml:space="preserve"> if changed)</w:t>
            </w:r>
          </w:p>
        </w:tc>
        <w:tc>
          <w:tcPr>
            <w:tcW w:w="1846" w:type="dxa"/>
          </w:tcPr>
          <w:p w14:paraId="2E56FC1C" w14:textId="0F4B1C40"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tc>
        <w:tc>
          <w:tcPr>
            <w:tcW w:w="1842" w:type="dxa"/>
          </w:tcPr>
          <w:p w14:paraId="5A128F3E" w14:textId="51DAC793"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w:t>
            </w:r>
            <w:r w:rsidR="00755A3F">
              <w:rPr>
                <w:rFonts w:ascii="Arial" w:hAnsi="Arial" w:cs="Arial"/>
                <w:color w:val="000000" w:themeColor="text1"/>
                <w:lang w:eastAsia="ja-JP"/>
              </w:rPr>
              <w:br/>
              <w:t>2023/12</w:t>
            </w:r>
          </w:p>
        </w:tc>
        <w:tc>
          <w:tcPr>
            <w:tcW w:w="2268" w:type="dxa"/>
          </w:tcPr>
          <w:p w14:paraId="150E2BE5" w14:textId="138F08FA" w:rsidR="00871653" w:rsidRPr="00A62477" w:rsidRDefault="00871653" w:rsidP="00207DC4">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292F2C">
              <w:rPr>
                <w:rFonts w:ascii="Arial" w:hAnsi="Arial" w:cs="Arial"/>
                <w:color w:val="000000" w:themeColor="text1"/>
                <w:lang w:eastAsia="ja-JP"/>
              </w:rPr>
              <w:t>N/A</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65AC05C3"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p w14:paraId="30397E78" w14:textId="75384E7C" w:rsidR="00871653" w:rsidRPr="00A62477" w:rsidRDefault="00871653" w:rsidP="008836AC">
            <w:pPr>
              <w:tabs>
                <w:tab w:val="left" w:pos="567"/>
              </w:tabs>
              <w:spacing w:after="0"/>
              <w:rPr>
                <w:rFonts w:ascii="Arial" w:hAnsi="Arial" w:cs="Arial"/>
                <w:color w:val="000000" w:themeColor="text1"/>
                <w:lang w:eastAsia="ja-JP"/>
              </w:rPr>
            </w:pPr>
          </w:p>
        </w:tc>
        <w:tc>
          <w:tcPr>
            <w:tcW w:w="1842" w:type="dxa"/>
          </w:tcPr>
          <w:p w14:paraId="5794DFF7" w14:textId="4E29C50C"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3874CE">
              <w:rPr>
                <w:rFonts w:ascii="Arial" w:hAnsi="Arial" w:cs="Arial"/>
                <w:color w:val="000000" w:themeColor="text1"/>
                <w:lang w:eastAsia="ja-JP"/>
              </w:rPr>
              <w:br/>
            </w:r>
            <w:r w:rsidR="003874CE" w:rsidRPr="003874CE">
              <w:rPr>
                <w:rFonts w:ascii="Arial" w:hAnsi="Arial" w:cs="Arial"/>
                <w:color w:val="00B050"/>
                <w:lang w:eastAsia="ja-JP"/>
              </w:rPr>
              <w:t>10%</w:t>
            </w:r>
          </w:p>
        </w:tc>
        <w:tc>
          <w:tcPr>
            <w:tcW w:w="2268" w:type="dxa"/>
          </w:tcPr>
          <w:p w14:paraId="0560E286" w14:textId="4B3DB48B"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491BE9" w:rsidRPr="00A62477">
              <w:rPr>
                <w:rFonts w:ascii="Arial" w:hAnsi="Arial" w:cs="Arial"/>
                <w:color w:val="000000" w:themeColor="text1"/>
                <w:lang w:eastAsia="ja-JP"/>
              </w:rPr>
              <w:t>N/A</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Benoist Sébire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51D6C523" w14:textId="77777777" w:rsidR="00D22398" w:rsidRDefault="00D22398" w:rsidP="0039390A">
      <w:pPr>
        <w:spacing w:after="0"/>
        <w:rPr>
          <w:rFonts w:ascii="Arial" w:hAnsi="Arial" w:cs="Arial"/>
        </w:rPr>
      </w:pPr>
    </w:p>
    <w:p w14:paraId="1339F913" w14:textId="13F66378" w:rsidR="003B7182" w:rsidRDefault="003B7182" w:rsidP="00C17C6C">
      <w:pPr>
        <w:spacing w:after="0"/>
        <w:rPr>
          <w:rFonts w:ascii="Arial" w:hAnsi="Arial" w:cs="Arial"/>
        </w:rPr>
      </w:pPr>
    </w:p>
    <w:p w14:paraId="04741318" w14:textId="3F04671A" w:rsidR="00883EB9" w:rsidRDefault="001111E5" w:rsidP="00C17C6C">
      <w:pPr>
        <w:spacing w:after="0"/>
        <w:rPr>
          <w:rFonts w:ascii="Arial" w:hAnsi="Arial" w:cs="Arial"/>
        </w:rPr>
      </w:pPr>
      <w:r>
        <w:rPr>
          <w:rFonts w:ascii="Arial" w:hAnsi="Arial" w:cs="Arial"/>
        </w:rPr>
        <w:t xml:space="preserve">RAN2 has completed the study and the TR is </w:t>
      </w:r>
      <w:r w:rsidR="004D6848">
        <w:rPr>
          <w:rFonts w:ascii="Arial" w:hAnsi="Arial" w:cs="Arial"/>
        </w:rPr>
        <w:t>submitted for approval</w:t>
      </w:r>
      <w:r w:rsidR="00620C0E">
        <w:rPr>
          <w:rFonts w:ascii="Arial" w:hAnsi="Arial" w:cs="Arial"/>
        </w:rPr>
        <w:t xml:space="preserve"> at this meeting.</w:t>
      </w:r>
    </w:p>
    <w:p w14:paraId="32150ECB" w14:textId="77777777" w:rsidR="00011C3B" w:rsidRPr="003B7182" w:rsidRDefault="00011C3B" w:rsidP="00C17C6C">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072AF79C"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35881C0B" w14:textId="3AD742C5" w:rsidR="00035135" w:rsidRDefault="00035135" w:rsidP="00035135">
      <w:pPr>
        <w:pStyle w:val="Heading4"/>
        <w:rPr>
          <w:lang w:eastAsia="ja-JP"/>
        </w:rPr>
      </w:pPr>
      <w:r>
        <w:rPr>
          <w:lang w:eastAsia="ja-JP"/>
        </w:rPr>
        <w:t>2.2.1</w:t>
      </w:r>
      <w:r>
        <w:rPr>
          <w:lang w:eastAsia="ja-JP"/>
        </w:rPr>
        <w:tab/>
        <w:t>Agreements</w:t>
      </w:r>
    </w:p>
    <w:p w14:paraId="16E56B5C" w14:textId="77EC382B" w:rsidR="00762504" w:rsidRDefault="00C51075" w:rsidP="00762504">
      <w:r>
        <w:t>New a</w:t>
      </w:r>
      <w:r w:rsidR="00762504" w:rsidRPr="00E87C4C">
        <w:t xml:space="preserve">greements from </w:t>
      </w:r>
      <w:r w:rsidR="00762504" w:rsidRPr="00762504">
        <w:rPr>
          <w:b/>
          <w:bCs/>
        </w:rPr>
        <w:t>RAN2#</w:t>
      </w:r>
      <w:r w:rsidR="004D6848">
        <w:rPr>
          <w:b/>
          <w:bCs/>
        </w:rPr>
        <w:t>121</w:t>
      </w:r>
      <w:r w:rsidR="00762504" w:rsidRPr="00E87C4C">
        <w:t xml:space="preserve"> meeting:</w:t>
      </w:r>
    </w:p>
    <w:p w14:paraId="5F31685C" w14:textId="0CB21FE8" w:rsidR="00603F29" w:rsidRDefault="00603F29" w:rsidP="00603F29">
      <w:pPr>
        <w:pStyle w:val="B1"/>
      </w:pPr>
      <w:r>
        <w:t>-</w:t>
      </w:r>
      <w:r>
        <w:tab/>
      </w:r>
      <w:r w:rsidR="00AE6EC6">
        <w:t>Regarding power saving:</w:t>
      </w:r>
    </w:p>
    <w:p w14:paraId="00B41114" w14:textId="77777777" w:rsidR="00F83E1B" w:rsidRDefault="00AE6EC6" w:rsidP="00F83E1B">
      <w:pPr>
        <w:pStyle w:val="B2"/>
      </w:pPr>
      <w:r>
        <w:t>-</w:t>
      </w:r>
      <w:r>
        <w:tab/>
      </w:r>
      <w:r w:rsidR="00F83E1B">
        <w:t>Companies should evaluate the RAN2 specification impacts and any other RAN2 aspects of their proposals for XR DRX.</w:t>
      </w:r>
    </w:p>
    <w:p w14:paraId="035AF65E" w14:textId="77777777" w:rsidR="00F83E1B" w:rsidRDefault="00F83E1B" w:rsidP="00F83E1B">
      <w:pPr>
        <w:pStyle w:val="B2"/>
      </w:pPr>
      <w:r>
        <w:t>-</w:t>
      </w:r>
      <w:r>
        <w:tab/>
        <w:t>Companies should evaluate the (high-level) impacts to RAN1/4 specification from their proposals for XR DRX.</w:t>
      </w:r>
    </w:p>
    <w:p w14:paraId="22C39FA6" w14:textId="30933022" w:rsidR="00AE6EC6" w:rsidRDefault="00F83E1B" w:rsidP="00F83E1B">
      <w:pPr>
        <w:pStyle w:val="B2"/>
      </w:pPr>
      <w:r>
        <w:t>-</w:t>
      </w:r>
      <w:r>
        <w:tab/>
        <w:t>Companies should try to coordinate with each other offline and bring joint proposals to next meeting. RAN2 aims to exclude proposals with least support in the next meeting.</w:t>
      </w:r>
    </w:p>
    <w:p w14:paraId="6A82DBA3" w14:textId="77777777" w:rsidR="007242B8" w:rsidRDefault="007242B8" w:rsidP="007242B8">
      <w:pPr>
        <w:pStyle w:val="B2"/>
      </w:pPr>
      <w:r>
        <w:t>-</w:t>
      </w:r>
      <w:r>
        <w:tab/>
        <w:t>Companies should evaluate the RAN2 specification impacts and any other RAN2 aspects of their proposals for SFN wrap-around.</w:t>
      </w:r>
    </w:p>
    <w:p w14:paraId="19AA4C50" w14:textId="57224FC3" w:rsidR="007242B8" w:rsidRDefault="007242B8" w:rsidP="007242B8">
      <w:pPr>
        <w:pStyle w:val="B2"/>
      </w:pPr>
      <w:r>
        <w:t>-</w:t>
      </w:r>
      <w:r>
        <w:tab/>
        <w:t>Same as for DRX solutions, companies should try to coordinate with each other offline and bring joint proposals to next meeting. RAN2 aims to exclude proposals with least support in the next meeting.</w:t>
      </w:r>
    </w:p>
    <w:p w14:paraId="5A5AC407" w14:textId="14F15C38" w:rsidR="007242B8" w:rsidRDefault="00BF0EBC" w:rsidP="007242B8">
      <w:pPr>
        <w:pStyle w:val="B2"/>
      </w:pPr>
      <w:r>
        <w:t>-</w:t>
      </w:r>
      <w:r>
        <w:tab/>
      </w:r>
      <w:r w:rsidRPr="00BF0EBC">
        <w:t>Whether the issue of retransmission-less CG for UL pose transmission is addressed in the WI needs to be discussed in RAN</w:t>
      </w:r>
    </w:p>
    <w:p w14:paraId="057D6ABE" w14:textId="4345FD1D" w:rsidR="00603F29" w:rsidRDefault="00603F29" w:rsidP="00603F29">
      <w:pPr>
        <w:pStyle w:val="B1"/>
      </w:pPr>
      <w:r>
        <w:t>-</w:t>
      </w:r>
      <w:r>
        <w:tab/>
      </w:r>
      <w:r w:rsidR="00B73FDF">
        <w:t>Regarding capacity enhancements:</w:t>
      </w:r>
    </w:p>
    <w:p w14:paraId="15876B0C" w14:textId="77777777" w:rsidR="006543A8" w:rsidRDefault="00B73FDF" w:rsidP="006543A8">
      <w:pPr>
        <w:pStyle w:val="B2"/>
      </w:pPr>
      <w:r>
        <w:t>-</w:t>
      </w:r>
      <w:r>
        <w:tab/>
      </w:r>
      <w:r w:rsidR="006543A8">
        <w:t>New BSR tables are fixed (=specified) or semi-static (RRC-based).</w:t>
      </w:r>
    </w:p>
    <w:p w14:paraId="6F0C287C" w14:textId="4C60AC21" w:rsidR="00B73FDF" w:rsidRDefault="006543A8" w:rsidP="006543A8">
      <w:pPr>
        <w:pStyle w:val="B2"/>
      </w:pPr>
      <w:r>
        <w:t>-</w:t>
      </w:r>
      <w:r>
        <w:tab/>
        <w:t>FFS how many BSR tables are defined.</w:t>
      </w:r>
    </w:p>
    <w:p w14:paraId="5AB0A2F9" w14:textId="1D01ADA7" w:rsidR="00035135" w:rsidRDefault="00035135" w:rsidP="00035135">
      <w:pPr>
        <w:pStyle w:val="Heading4"/>
        <w:rPr>
          <w:lang w:eastAsia="ja-JP"/>
        </w:rPr>
      </w:pPr>
      <w:r>
        <w:rPr>
          <w:lang w:eastAsia="ja-JP"/>
        </w:rPr>
        <w:t>2.2.2</w:t>
      </w:r>
      <w:r>
        <w:rPr>
          <w:lang w:eastAsia="ja-JP"/>
        </w:rPr>
        <w:tab/>
        <w:t>Open Issues</w:t>
      </w:r>
    </w:p>
    <w:p w14:paraId="02F713F4" w14:textId="69EAF524" w:rsidR="009C51A8" w:rsidRDefault="006543A8" w:rsidP="004E3A4D">
      <w:pPr>
        <w:rPr>
          <w:lang w:eastAsia="ja-JP"/>
        </w:rPr>
      </w:pPr>
      <w:r>
        <w:rPr>
          <w:lang w:eastAsia="ja-JP"/>
        </w:rPr>
        <w:t>All objectives of the work item remain open</w:t>
      </w:r>
      <w:r w:rsidR="008B483F">
        <w:rPr>
          <w:lang w:eastAsia="ja-JP"/>
        </w:rPr>
        <w:t xml:space="preserve"> as per the agreed work plan. </w:t>
      </w:r>
      <w:r w:rsidR="009C51A8">
        <w:rPr>
          <w:lang w:eastAsia="ja-JP"/>
        </w:rPr>
        <w:t xml:space="preserve">One </w:t>
      </w:r>
      <w:r w:rsidR="008B483F">
        <w:rPr>
          <w:lang w:eastAsia="ja-JP"/>
        </w:rPr>
        <w:t xml:space="preserve">new </w:t>
      </w:r>
      <w:r w:rsidR="009C51A8">
        <w:rPr>
          <w:lang w:eastAsia="ja-JP"/>
        </w:rPr>
        <w:t xml:space="preserve">issue flagged for RAN to discuss </w:t>
      </w:r>
      <w:r w:rsidR="008B483F">
        <w:rPr>
          <w:lang w:eastAsia="ja-JP"/>
        </w:rPr>
        <w:t>though</w:t>
      </w:r>
      <w:r w:rsidR="001B0CCE">
        <w:rPr>
          <w:lang w:eastAsia="ja-JP"/>
        </w:rPr>
        <w:t>,</w:t>
      </w:r>
      <w:r w:rsidR="008B483F">
        <w:rPr>
          <w:lang w:eastAsia="ja-JP"/>
        </w:rPr>
        <w:t xml:space="preserve"> </w:t>
      </w:r>
      <w:r w:rsidR="009C51A8">
        <w:rPr>
          <w:lang w:eastAsia="ja-JP"/>
        </w:rPr>
        <w:t>is w</w:t>
      </w:r>
      <w:r w:rsidR="009C51A8" w:rsidRPr="00BF0EBC">
        <w:t>hether the issue of retransmission-less CG for UL pose transmission</w:t>
      </w:r>
      <w:r w:rsidR="009C51A8">
        <w:t xml:space="preserve"> needs to be </w:t>
      </w:r>
      <w:r w:rsidR="005B7336">
        <w:t>addressed in the WI or not.</w:t>
      </w:r>
    </w:p>
    <w:p w14:paraId="65BE50F5" w14:textId="461C0C12" w:rsidR="00701410" w:rsidRPr="00701410" w:rsidRDefault="00701410" w:rsidP="00701410">
      <w:pPr>
        <w:pStyle w:val="Heading2"/>
      </w:pPr>
      <w:r>
        <w:t>3.</w:t>
      </w:r>
      <w:r>
        <w:tab/>
        <w:t>Detailed progress in SA</w:t>
      </w:r>
      <w:r w:rsidR="00092043">
        <w:t xml:space="preserve"> </w:t>
      </w:r>
      <w:r>
        <w:t xml:space="preserve">WGs since last TSG meeting </w:t>
      </w:r>
      <w:r w:rsidRPr="005A6C96">
        <w:t>(for all involved WGs)</w:t>
      </w:r>
    </w:p>
    <w:p w14:paraId="4A69BB3E" w14:textId="5EB8B673" w:rsidR="00E131AD" w:rsidRDefault="00815869" w:rsidP="005851A1">
      <w:pPr>
        <w:pStyle w:val="Heading2"/>
      </w:pPr>
      <w:r>
        <w:t>4</w:t>
      </w:r>
      <w:r w:rsidR="005A6C96">
        <w:t>.</w:t>
      </w:r>
      <w:r w:rsidR="005A6C96">
        <w:tab/>
        <w:t>References</w:t>
      </w:r>
    </w:p>
    <w:p w14:paraId="6F3C399C" w14:textId="45B036BB" w:rsidR="005851A1" w:rsidRPr="005851A1" w:rsidRDefault="005B7336" w:rsidP="005851A1">
      <w:r>
        <w:t>New references from the last RAN WG meetings.</w:t>
      </w:r>
    </w:p>
    <w:p w14:paraId="3C73E9C0" w14:textId="05C67DBA" w:rsidR="00E131AD" w:rsidRPr="005851A1" w:rsidRDefault="00E131AD" w:rsidP="005851A1">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2</w:t>
      </w:r>
      <w:r w:rsidRPr="007D067F">
        <w:rPr>
          <w:rFonts w:ascii="Arial" w:hAnsi="Arial" w:cs="Arial"/>
          <w:b/>
          <w:bCs/>
          <w:lang w:eastAsia="ja-JP"/>
        </w:rPr>
        <w:t>#</w:t>
      </w:r>
      <w:r>
        <w:rPr>
          <w:rFonts w:ascii="Arial" w:hAnsi="Arial" w:cs="Arial"/>
          <w:b/>
          <w:bCs/>
          <w:lang w:eastAsia="ja-JP"/>
        </w:rPr>
        <w:t>1</w:t>
      </w:r>
      <w:r w:rsidR="008700C6">
        <w:rPr>
          <w:rFonts w:ascii="Arial" w:hAnsi="Arial" w:cs="Arial"/>
          <w:b/>
          <w:bCs/>
          <w:lang w:eastAsia="ja-JP"/>
        </w:rPr>
        <w:t>2</w:t>
      </w:r>
      <w:r w:rsidR="005851A1">
        <w:rPr>
          <w:rFonts w:ascii="Arial" w:hAnsi="Arial" w:cs="Arial"/>
          <w:b/>
          <w:bCs/>
          <w:lang w:eastAsia="ja-JP"/>
        </w:rPr>
        <w:t>1</w:t>
      </w:r>
    </w:p>
    <w:p w14:paraId="083F2265" w14:textId="77777777" w:rsidR="00E131AD" w:rsidRDefault="00E131AD" w:rsidP="00E131AD">
      <w:pPr>
        <w:pStyle w:val="B1"/>
        <w:spacing w:after="0"/>
        <w:ind w:left="360" w:firstLine="0"/>
        <w:rPr>
          <w:rFonts w:ascii="Arial" w:hAnsi="Arial" w:cs="Arial"/>
          <w:sz w:val="21"/>
          <w:szCs w:val="21"/>
          <w:lang w:val="en-US"/>
        </w:rPr>
      </w:pPr>
    </w:p>
    <w:p w14:paraId="69A69F43"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R2-2300118, Discussion on XR power saving, Huawei, HiSilicon</w:t>
      </w:r>
    </w:p>
    <w:p w14:paraId="3838CB5F"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R2-2300188, DRX enhancements for XR, Qualcomm Incorporated</w:t>
      </w:r>
    </w:p>
    <w:p w14:paraId="75DEC2EA"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R2-2300226, DRX enhancements for XR Power Saving, CATT</w:t>
      </w:r>
    </w:p>
    <w:p w14:paraId="7DE88F2E"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R2-2300324, Discussion on DRX Enhancements for XR Power Saving, vivo</w:t>
      </w:r>
    </w:p>
    <w:p w14:paraId="5DC9C16F"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R2-2300423, Discussing on XR-specific C-DRX enhancement, Xiaomi Communications</w:t>
      </w:r>
    </w:p>
    <w:p w14:paraId="200EA48E"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R2-2300432, C-DRX enhancements for XR traffic, Intel Corporation</w:t>
      </w:r>
    </w:p>
    <w:p w14:paraId="6CCB9E45"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 xml:space="preserve">R2-2300565, XR-Specific power saving, ZTE Corporation, </w:t>
      </w:r>
      <w:proofErr w:type="spellStart"/>
      <w:r w:rsidRPr="00692FD2">
        <w:rPr>
          <w:rFonts w:ascii="Arial" w:hAnsi="Arial" w:cs="Arial"/>
          <w:lang w:val="en-US"/>
        </w:rPr>
        <w:t>Sanechips</w:t>
      </w:r>
      <w:proofErr w:type="spellEnd"/>
    </w:p>
    <w:p w14:paraId="5A83B03B"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R2-2300591, XR-specific power saving enhancement, Google Inc.</w:t>
      </w:r>
    </w:p>
    <w:p w14:paraId="090CA852"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R2-2300695, XR-specific power saving, InterDigital</w:t>
      </w:r>
    </w:p>
    <w:p w14:paraId="45A1FFF2"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R2-2300699, Discussion on XR data periodicity mismatch, FGI</w:t>
      </w:r>
    </w:p>
    <w:p w14:paraId="72E4BC8E"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R2-2300774, DRX enhancement for power saving in XR, LG Electronics Inc.</w:t>
      </w:r>
    </w:p>
    <w:p w14:paraId="4C228507"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R2-2300843, Discussion on C-DRX enhancement for XR, NEC Corporation</w:t>
      </w:r>
    </w:p>
    <w:p w14:paraId="635637AE"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R2-2300909, C-DRX enhancements for XR-specific power saving, DENSO CORPORATION</w:t>
      </w:r>
    </w:p>
    <w:p w14:paraId="7DA2FBC1"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R2-2300945, Discussion of DRX enhancement, Lenovo</w:t>
      </w:r>
    </w:p>
    <w:p w14:paraId="70A10A61"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R2-2301091, Proposals on XR specific C-DRX power saving enhancements, Sony</w:t>
      </w:r>
    </w:p>
    <w:p w14:paraId="6D182166"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R2-2301237, Discussion on DRX enhancements, CMCC</w:t>
      </w:r>
    </w:p>
    <w:p w14:paraId="51C63120"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R2-2301323, Discussion on power saving scheme for XR, Samsung</w:t>
      </w:r>
    </w:p>
    <w:p w14:paraId="3B578832"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R2-2301372, C-DRX enhancements for XR, MediaTek Inc.</w:t>
      </w:r>
    </w:p>
    <w:p w14:paraId="2810AB66"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R2-2301508, Discussion on XR-specific power saving, Ericsson</w:t>
      </w:r>
    </w:p>
    <w:p w14:paraId="228C3B9A"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R2-2301516, Power saving enhancements for XR, Nokia, Nokia Shanghai Bell</w:t>
      </w:r>
    </w:p>
    <w:p w14:paraId="78D74AB9"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 xml:space="preserve">R2-2301834, Discussion on various frame rates supported for XR-specific power saving, </w:t>
      </w:r>
      <w:proofErr w:type="gramStart"/>
      <w:r w:rsidRPr="00692FD2">
        <w:rPr>
          <w:rFonts w:ascii="Arial" w:hAnsi="Arial" w:cs="Arial"/>
          <w:lang w:val="en-US"/>
        </w:rPr>
        <w:t>III</w:t>
      </w:r>
      <w:proofErr w:type="gramEnd"/>
    </w:p>
    <w:p w14:paraId="765A9BDB"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R2-2300189, Enhancements for capacity improvements, Qualcomm Incorporated</w:t>
      </w:r>
    </w:p>
    <w:p w14:paraId="0D1A1C1E"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R2-2300227, The Issues of XR-specific Capacity Improvements, CATT</w:t>
      </w:r>
    </w:p>
    <w:p w14:paraId="3DB5729B"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R2-2300256, Dynamic BSR formulation and reporting for XR, Dell Technologies</w:t>
      </w:r>
    </w:p>
    <w:p w14:paraId="74FA77A0"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R2-2300325, Discussion on Feedback Enhancements for XR, vivo</w:t>
      </w:r>
    </w:p>
    <w:p w14:paraId="47CC34BA"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R2-2300397, Discussion on BSR enhancement for XR capacity improvements, TCL Communication Ltd.</w:t>
      </w:r>
    </w:p>
    <w:p w14:paraId="000FAA4D"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R2-2300422, Discussing on UE feedback enhancements for XR capacity, Xiaomi Communications</w:t>
      </w:r>
    </w:p>
    <w:p w14:paraId="74050092"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R2-2300433, Enhancements to Buffer Status Reporting for XR Traffic, Intel Corporation</w:t>
      </w:r>
    </w:p>
    <w:p w14:paraId="7EF3CE82"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R2-2300463, Discussion on capacity improvement, OPPO</w:t>
      </w:r>
    </w:p>
    <w:p w14:paraId="6A46473D"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 xml:space="preserve">R2-2300560, BSR enhancements for XR, ZTE Corporation, </w:t>
      </w:r>
      <w:proofErr w:type="spellStart"/>
      <w:r w:rsidRPr="00692FD2">
        <w:rPr>
          <w:rFonts w:ascii="Arial" w:hAnsi="Arial" w:cs="Arial"/>
          <w:lang w:val="en-US"/>
        </w:rPr>
        <w:t>Sanechips</w:t>
      </w:r>
      <w:proofErr w:type="spellEnd"/>
    </w:p>
    <w:p w14:paraId="2527CC4C"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R2-2300592, XR-Specific capacity improvements, Google Inc.</w:t>
      </w:r>
    </w:p>
    <w:p w14:paraId="02D550FC"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R2-2300641, Considerations on XR capacity improvements, KDDI Corporation</w:t>
      </w:r>
    </w:p>
    <w:p w14:paraId="4C909110"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R2-2300665, BSR enhancements for XR, Spreadtrum Communications</w:t>
      </w:r>
    </w:p>
    <w:p w14:paraId="6119F186"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R2-2300684, Discussion on capacity improvements for XR, Google Inc.</w:t>
      </w:r>
    </w:p>
    <w:p w14:paraId="3B5382F0"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R2-2300696, XR-specific capacity improvements, InterDigital</w:t>
      </w:r>
    </w:p>
    <w:p w14:paraId="0DD30230"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R2-2300727, Views on BSR Enhancements for XR, Apple</w:t>
      </w:r>
    </w:p>
    <w:p w14:paraId="7307AC79"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R2-2300728, Views on Configured Grant Enhancements for XR, Apple</w:t>
      </w:r>
    </w:p>
    <w:p w14:paraId="08709147"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R2-2300826, Discussion on BSR enhancement for XR, NEC Corporation</w:t>
      </w:r>
    </w:p>
    <w:p w14:paraId="6181F2E2"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R2-2300918, Discussion on XR-specific capacity improvements, DENSO CORPORATION</w:t>
      </w:r>
    </w:p>
    <w:p w14:paraId="514FBABE"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R2-2300946, Discussion on UE Feedback enhancements, Lenovo</w:t>
      </w:r>
    </w:p>
    <w:p w14:paraId="7ABBE16A"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R2-2301030, Discussions on XR-specific capacity improvements, Fujitsu</w:t>
      </w:r>
    </w:p>
    <w:p w14:paraId="14C389E9"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R2-2301092, Considerations on XR specific capacity improvements, Sony</w:t>
      </w:r>
    </w:p>
    <w:p w14:paraId="2C8E606D"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R2-2301248, Discussion on XR-specific capacity improvement, CMCC</w:t>
      </w:r>
    </w:p>
    <w:p w14:paraId="6D15F296"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R2-2301423, Capacity enhancement for XR, MediaTek Inc.</w:t>
      </w:r>
    </w:p>
    <w:p w14:paraId="7E085F25"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R2-2301507, Discussion on XR-specific capacity improvements, Ericsson</w:t>
      </w:r>
    </w:p>
    <w:p w14:paraId="22371BFC"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R2-2301517, Capacity improvements, Nokia, Nokia Shanghai Bell</w:t>
      </w:r>
    </w:p>
    <w:p w14:paraId="37394AAB"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R2-2301721, Discussion on MAC enhancement for XR-specific capacity improvement, Huawei, HiSilicon</w:t>
      </w:r>
    </w:p>
    <w:p w14:paraId="2BF25DD6"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R2-2301725, Discussion on BSR enhancement and delay information report, LG Electronics Inc.</w:t>
      </w:r>
    </w:p>
    <w:p w14:paraId="0C069ACF" w14:textId="77777777" w:rsidR="00692FD2" w:rsidRPr="00692FD2"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R2-2301773, Discussion on BSR enhancements for XR, Samsung</w:t>
      </w:r>
    </w:p>
    <w:p w14:paraId="465483FF" w14:textId="21016A1E" w:rsidR="00930F70" w:rsidRPr="00810106" w:rsidRDefault="00692FD2" w:rsidP="00692FD2">
      <w:pPr>
        <w:pStyle w:val="B1"/>
        <w:numPr>
          <w:ilvl w:val="0"/>
          <w:numId w:val="14"/>
        </w:numPr>
        <w:spacing w:after="0"/>
        <w:rPr>
          <w:rFonts w:ascii="Arial" w:hAnsi="Arial" w:cs="Arial"/>
          <w:lang w:val="en-US"/>
        </w:rPr>
      </w:pPr>
      <w:r w:rsidRPr="00692FD2">
        <w:rPr>
          <w:rFonts w:ascii="Arial" w:hAnsi="Arial" w:cs="Arial"/>
          <w:lang w:val="en-US"/>
        </w:rPr>
        <w:t>R2-2301805, Discussion on XR-specific capacity improvements, III</w:t>
      </w:r>
    </w:p>
    <w:sectPr w:rsidR="00930F70" w:rsidRPr="00810106" w:rsidSect="006C090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E172" w14:textId="77777777" w:rsidR="00690762" w:rsidRDefault="00690762">
      <w:r>
        <w:separator/>
      </w:r>
    </w:p>
  </w:endnote>
  <w:endnote w:type="continuationSeparator" w:id="0">
    <w:p w14:paraId="2D38147C" w14:textId="77777777" w:rsidR="00690762" w:rsidRDefault="0069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D01C" w14:textId="1B1418EE" w:rsidR="00556394" w:rsidRDefault="0055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09547125"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A8CD" w14:textId="14D733B0" w:rsidR="00556394" w:rsidRDefault="005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1E4F" w14:textId="77777777" w:rsidR="00690762" w:rsidRDefault="00690762">
      <w:r>
        <w:separator/>
      </w:r>
    </w:p>
  </w:footnote>
  <w:footnote w:type="continuationSeparator" w:id="0">
    <w:p w14:paraId="462F742F" w14:textId="77777777" w:rsidR="00690762" w:rsidRDefault="0069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149F" w14:textId="67824E7E" w:rsidR="00556394" w:rsidRDefault="0055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32BC" w14:textId="0AEE76D2" w:rsidR="00556394" w:rsidRDefault="0055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E977" w14:textId="090794D6" w:rsidR="00556394" w:rsidRDefault="0055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3E8"/>
    <w:multiLevelType w:val="multilevel"/>
    <w:tmpl w:val="3AF42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C3E9D"/>
    <w:multiLevelType w:val="multilevel"/>
    <w:tmpl w:val="83C2376E"/>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C0F11"/>
    <w:multiLevelType w:val="hybridMultilevel"/>
    <w:tmpl w:val="B1F80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227A9"/>
    <w:multiLevelType w:val="hybridMultilevel"/>
    <w:tmpl w:val="9FDEB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1472DC"/>
    <w:multiLevelType w:val="multilevel"/>
    <w:tmpl w:val="3BE883EC"/>
    <w:styleLink w:val="CurrentList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0A6152"/>
    <w:multiLevelType w:val="hybridMultilevel"/>
    <w:tmpl w:val="AFBC73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30C06999"/>
    <w:multiLevelType w:val="multilevel"/>
    <w:tmpl w:val="A6CC5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C749FC"/>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360055"/>
    <w:multiLevelType w:val="hybridMultilevel"/>
    <w:tmpl w:val="BD8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7238C5"/>
    <w:multiLevelType w:val="multilevel"/>
    <w:tmpl w:val="4C4EC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7D6C5E"/>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23192"/>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150578"/>
    <w:multiLevelType w:val="hybridMultilevel"/>
    <w:tmpl w:val="3EEE96F0"/>
    <w:lvl w:ilvl="0" w:tplc="20000001">
      <w:start w:val="1"/>
      <w:numFmt w:val="bullet"/>
      <w:lvlText w:val=""/>
      <w:lvlJc w:val="left"/>
      <w:pPr>
        <w:ind w:left="576" w:hanging="360"/>
      </w:pPr>
      <w:rPr>
        <w:rFonts w:ascii="Symbol" w:hAnsi="Symbol" w:hint="default"/>
      </w:rPr>
    </w:lvl>
    <w:lvl w:ilvl="1" w:tplc="20000003">
      <w:start w:val="1"/>
      <w:numFmt w:val="bullet"/>
      <w:lvlText w:val="o"/>
      <w:lvlJc w:val="left"/>
      <w:pPr>
        <w:ind w:left="1296" w:hanging="360"/>
      </w:pPr>
      <w:rPr>
        <w:rFonts w:ascii="Courier New" w:hAnsi="Courier New" w:cs="Courier New" w:hint="default"/>
      </w:rPr>
    </w:lvl>
    <w:lvl w:ilvl="2" w:tplc="20000005">
      <w:start w:val="1"/>
      <w:numFmt w:val="bullet"/>
      <w:lvlText w:val=""/>
      <w:lvlJc w:val="left"/>
      <w:pPr>
        <w:ind w:left="2016" w:hanging="360"/>
      </w:pPr>
      <w:rPr>
        <w:rFonts w:ascii="Wingdings" w:hAnsi="Wingdings" w:hint="default"/>
      </w:rPr>
    </w:lvl>
    <w:lvl w:ilvl="3" w:tplc="20000001">
      <w:start w:val="1"/>
      <w:numFmt w:val="bullet"/>
      <w:lvlText w:val=""/>
      <w:lvlJc w:val="left"/>
      <w:pPr>
        <w:ind w:left="2736" w:hanging="360"/>
      </w:pPr>
      <w:rPr>
        <w:rFonts w:ascii="Symbol" w:hAnsi="Symbol" w:hint="default"/>
      </w:rPr>
    </w:lvl>
    <w:lvl w:ilvl="4" w:tplc="20000003">
      <w:start w:val="1"/>
      <w:numFmt w:val="bullet"/>
      <w:lvlText w:val="o"/>
      <w:lvlJc w:val="left"/>
      <w:pPr>
        <w:ind w:left="3456" w:hanging="360"/>
      </w:pPr>
      <w:rPr>
        <w:rFonts w:ascii="Courier New" w:hAnsi="Courier New" w:cs="Courier New" w:hint="default"/>
      </w:rPr>
    </w:lvl>
    <w:lvl w:ilvl="5" w:tplc="20000005">
      <w:start w:val="1"/>
      <w:numFmt w:val="bullet"/>
      <w:lvlText w:val=""/>
      <w:lvlJc w:val="left"/>
      <w:pPr>
        <w:ind w:left="4176" w:hanging="360"/>
      </w:pPr>
      <w:rPr>
        <w:rFonts w:ascii="Wingdings" w:hAnsi="Wingdings" w:hint="default"/>
      </w:rPr>
    </w:lvl>
    <w:lvl w:ilvl="6" w:tplc="20000001">
      <w:start w:val="1"/>
      <w:numFmt w:val="bullet"/>
      <w:lvlText w:val=""/>
      <w:lvlJc w:val="left"/>
      <w:pPr>
        <w:ind w:left="4896" w:hanging="360"/>
      </w:pPr>
      <w:rPr>
        <w:rFonts w:ascii="Symbol" w:hAnsi="Symbol" w:hint="default"/>
      </w:rPr>
    </w:lvl>
    <w:lvl w:ilvl="7" w:tplc="20000003">
      <w:start w:val="1"/>
      <w:numFmt w:val="bullet"/>
      <w:lvlText w:val="o"/>
      <w:lvlJc w:val="left"/>
      <w:pPr>
        <w:ind w:left="5616" w:hanging="360"/>
      </w:pPr>
      <w:rPr>
        <w:rFonts w:ascii="Courier New" w:hAnsi="Courier New" w:cs="Courier New" w:hint="default"/>
      </w:rPr>
    </w:lvl>
    <w:lvl w:ilvl="8" w:tplc="20000005">
      <w:start w:val="1"/>
      <w:numFmt w:val="bullet"/>
      <w:lvlText w:val=""/>
      <w:lvlJc w:val="left"/>
      <w:pPr>
        <w:ind w:left="6336"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A8C19E9"/>
    <w:multiLevelType w:val="hybridMultilevel"/>
    <w:tmpl w:val="3D1604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53C14AF6"/>
    <w:multiLevelType w:val="hybridMultilevel"/>
    <w:tmpl w:val="123AA8C0"/>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A31593F"/>
    <w:multiLevelType w:val="multilevel"/>
    <w:tmpl w:val="36723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9E7C1F"/>
    <w:multiLevelType w:val="multilevel"/>
    <w:tmpl w:val="5B9E7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6F266E"/>
    <w:multiLevelType w:val="hybridMultilevel"/>
    <w:tmpl w:val="A01E41DC"/>
    <w:lvl w:ilvl="0" w:tplc="3BB4F568">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541175"/>
    <w:multiLevelType w:val="hybridMultilevel"/>
    <w:tmpl w:val="B60447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2593B2E"/>
    <w:multiLevelType w:val="multilevel"/>
    <w:tmpl w:val="F77AADB0"/>
    <w:styleLink w:val="CurrentList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A43E7F"/>
    <w:multiLevelType w:val="hybridMultilevel"/>
    <w:tmpl w:val="9D2E9F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8DE5B87"/>
    <w:multiLevelType w:val="multilevel"/>
    <w:tmpl w:val="68DE5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EA3E1E"/>
    <w:multiLevelType w:val="multilevel"/>
    <w:tmpl w:val="AD704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EC2AA1"/>
    <w:multiLevelType w:val="multilevel"/>
    <w:tmpl w:val="45486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0609B0"/>
    <w:multiLevelType w:val="hybridMultilevel"/>
    <w:tmpl w:val="CB109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980322">
    <w:abstractNumId w:val="24"/>
  </w:num>
  <w:num w:numId="2" w16cid:durableId="1178429138">
    <w:abstractNumId w:val="9"/>
  </w:num>
  <w:num w:numId="3" w16cid:durableId="1614511691">
    <w:abstractNumId w:val="30"/>
  </w:num>
  <w:num w:numId="4" w16cid:durableId="1864635799">
    <w:abstractNumId w:val="20"/>
  </w:num>
  <w:num w:numId="5" w16cid:durableId="1734935463">
    <w:abstractNumId w:val="16"/>
  </w:num>
  <w:num w:numId="6" w16cid:durableId="1973554597">
    <w:abstractNumId w:val="26"/>
  </w:num>
  <w:num w:numId="7" w16cid:durableId="1448740589">
    <w:abstractNumId w:val="3"/>
  </w:num>
  <w:num w:numId="8" w16cid:durableId="1848058638">
    <w:abstractNumId w:val="12"/>
  </w:num>
  <w:num w:numId="9" w16cid:durableId="562562001">
    <w:abstractNumId w:val="0"/>
  </w:num>
  <w:num w:numId="10" w16cid:durableId="1795371500">
    <w:abstractNumId w:val="17"/>
  </w:num>
  <w:num w:numId="11" w16cid:durableId="1743022822">
    <w:abstractNumId w:val="14"/>
  </w:num>
  <w:num w:numId="12" w16cid:durableId="1783261502">
    <w:abstractNumId w:val="8"/>
  </w:num>
  <w:num w:numId="13" w16cid:durableId="522014066">
    <w:abstractNumId w:val="13"/>
  </w:num>
  <w:num w:numId="14" w16cid:durableId="675155189">
    <w:abstractNumId w:val="21"/>
  </w:num>
  <w:num w:numId="15" w16cid:durableId="525216456">
    <w:abstractNumId w:val="15"/>
  </w:num>
  <w:num w:numId="16" w16cid:durableId="777027206">
    <w:abstractNumId w:val="25"/>
  </w:num>
  <w:num w:numId="17" w16cid:durableId="18355265">
    <w:abstractNumId w:val="6"/>
  </w:num>
  <w:num w:numId="18" w16cid:durableId="141389290">
    <w:abstractNumId w:val="23"/>
  </w:num>
  <w:num w:numId="19" w16cid:durableId="555313529">
    <w:abstractNumId w:val="4"/>
  </w:num>
  <w:num w:numId="20" w16cid:durableId="1168982279">
    <w:abstractNumId w:val="1"/>
  </w:num>
  <w:num w:numId="21" w16cid:durableId="1563173629">
    <w:abstractNumId w:val="2"/>
  </w:num>
  <w:num w:numId="22" w16cid:durableId="1013142127">
    <w:abstractNumId w:val="28"/>
  </w:num>
  <w:num w:numId="23" w16cid:durableId="645670798">
    <w:abstractNumId w:val="19"/>
  </w:num>
  <w:num w:numId="24" w16cid:durableId="901869872">
    <w:abstractNumId w:val="7"/>
  </w:num>
  <w:num w:numId="25" w16cid:durableId="428737588">
    <w:abstractNumId w:val="27"/>
  </w:num>
  <w:num w:numId="26" w16cid:durableId="521820337">
    <w:abstractNumId w:val="22"/>
  </w:num>
  <w:num w:numId="27" w16cid:durableId="1013997817">
    <w:abstractNumId w:val="5"/>
  </w:num>
  <w:num w:numId="28" w16cid:durableId="170070729">
    <w:abstractNumId w:val="11"/>
  </w:num>
  <w:num w:numId="29" w16cid:durableId="262805543">
    <w:abstractNumId w:val="29"/>
  </w:num>
  <w:num w:numId="30" w16cid:durableId="1362508559">
    <w:abstractNumId w:val="18"/>
  </w:num>
  <w:num w:numId="31" w16cid:durableId="178010510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5C46"/>
    <w:rsid w:val="00007BD0"/>
    <w:rsid w:val="00011C3B"/>
    <w:rsid w:val="00014E1E"/>
    <w:rsid w:val="000276C5"/>
    <w:rsid w:val="0003275D"/>
    <w:rsid w:val="00034943"/>
    <w:rsid w:val="00035135"/>
    <w:rsid w:val="0004456C"/>
    <w:rsid w:val="0005259B"/>
    <w:rsid w:val="00053FEE"/>
    <w:rsid w:val="00060AE4"/>
    <w:rsid w:val="00065BEE"/>
    <w:rsid w:val="000746A7"/>
    <w:rsid w:val="00082DC1"/>
    <w:rsid w:val="000910BB"/>
    <w:rsid w:val="00092043"/>
    <w:rsid w:val="000926AF"/>
    <w:rsid w:val="000A3ED2"/>
    <w:rsid w:val="000B34BC"/>
    <w:rsid w:val="000C00FA"/>
    <w:rsid w:val="000C51AA"/>
    <w:rsid w:val="000D17BC"/>
    <w:rsid w:val="000D2186"/>
    <w:rsid w:val="000E4F35"/>
    <w:rsid w:val="000F6C1C"/>
    <w:rsid w:val="00110BAE"/>
    <w:rsid w:val="001111E5"/>
    <w:rsid w:val="00116F4B"/>
    <w:rsid w:val="00122703"/>
    <w:rsid w:val="001229F4"/>
    <w:rsid w:val="00137471"/>
    <w:rsid w:val="00143B97"/>
    <w:rsid w:val="00150FD3"/>
    <w:rsid w:val="001571D0"/>
    <w:rsid w:val="00166A12"/>
    <w:rsid w:val="001803F9"/>
    <w:rsid w:val="00184428"/>
    <w:rsid w:val="001A248F"/>
    <w:rsid w:val="001A3B5F"/>
    <w:rsid w:val="001A5D33"/>
    <w:rsid w:val="001A659D"/>
    <w:rsid w:val="001B0CCE"/>
    <w:rsid w:val="001B51AB"/>
    <w:rsid w:val="001B5CA8"/>
    <w:rsid w:val="001C4490"/>
    <w:rsid w:val="001D2C1A"/>
    <w:rsid w:val="001D2DED"/>
    <w:rsid w:val="001D3BA2"/>
    <w:rsid w:val="001D3FF4"/>
    <w:rsid w:val="001D44B7"/>
    <w:rsid w:val="001D4BEB"/>
    <w:rsid w:val="001D4EAD"/>
    <w:rsid w:val="001E0075"/>
    <w:rsid w:val="001E4E22"/>
    <w:rsid w:val="001F1B1F"/>
    <w:rsid w:val="001F2A20"/>
    <w:rsid w:val="001F486F"/>
    <w:rsid w:val="00207DC4"/>
    <w:rsid w:val="0022485E"/>
    <w:rsid w:val="002259A9"/>
    <w:rsid w:val="0022762D"/>
    <w:rsid w:val="00243A99"/>
    <w:rsid w:val="002465B1"/>
    <w:rsid w:val="00270511"/>
    <w:rsid w:val="00292F2C"/>
    <w:rsid w:val="00294464"/>
    <w:rsid w:val="0029567C"/>
    <w:rsid w:val="002C0B82"/>
    <w:rsid w:val="002D1394"/>
    <w:rsid w:val="002D7BB6"/>
    <w:rsid w:val="002E078F"/>
    <w:rsid w:val="002E2520"/>
    <w:rsid w:val="002F2A06"/>
    <w:rsid w:val="002F47EE"/>
    <w:rsid w:val="00300546"/>
    <w:rsid w:val="00301B7A"/>
    <w:rsid w:val="00306D59"/>
    <w:rsid w:val="0031186B"/>
    <w:rsid w:val="0032503A"/>
    <w:rsid w:val="00325EE1"/>
    <w:rsid w:val="003357C0"/>
    <w:rsid w:val="00344D60"/>
    <w:rsid w:val="00344EAE"/>
    <w:rsid w:val="00346477"/>
    <w:rsid w:val="00347CB0"/>
    <w:rsid w:val="003537B1"/>
    <w:rsid w:val="0036248C"/>
    <w:rsid w:val="003666A8"/>
    <w:rsid w:val="00366D63"/>
    <w:rsid w:val="00367401"/>
    <w:rsid w:val="00375678"/>
    <w:rsid w:val="003874CE"/>
    <w:rsid w:val="0039390A"/>
    <w:rsid w:val="00394AB0"/>
    <w:rsid w:val="00396252"/>
    <w:rsid w:val="003A2AA3"/>
    <w:rsid w:val="003A4B47"/>
    <w:rsid w:val="003A65FD"/>
    <w:rsid w:val="003B24AF"/>
    <w:rsid w:val="003B7182"/>
    <w:rsid w:val="003B76D5"/>
    <w:rsid w:val="003C12AA"/>
    <w:rsid w:val="003D5036"/>
    <w:rsid w:val="003D764D"/>
    <w:rsid w:val="003E0A87"/>
    <w:rsid w:val="003E219B"/>
    <w:rsid w:val="003E3A1A"/>
    <w:rsid w:val="003F1B9F"/>
    <w:rsid w:val="003F4A15"/>
    <w:rsid w:val="003F6C01"/>
    <w:rsid w:val="0040091C"/>
    <w:rsid w:val="00406D7A"/>
    <w:rsid w:val="004121B8"/>
    <w:rsid w:val="004258BA"/>
    <w:rsid w:val="00444822"/>
    <w:rsid w:val="00447945"/>
    <w:rsid w:val="004531C9"/>
    <w:rsid w:val="00453DEA"/>
    <w:rsid w:val="00457D91"/>
    <w:rsid w:val="00460C31"/>
    <w:rsid w:val="00464E5B"/>
    <w:rsid w:val="0047055A"/>
    <w:rsid w:val="00470F93"/>
    <w:rsid w:val="0047363B"/>
    <w:rsid w:val="00473904"/>
    <w:rsid w:val="00474450"/>
    <w:rsid w:val="004873E6"/>
    <w:rsid w:val="00491BE9"/>
    <w:rsid w:val="00494EB1"/>
    <w:rsid w:val="004A421C"/>
    <w:rsid w:val="004A4296"/>
    <w:rsid w:val="004A439C"/>
    <w:rsid w:val="004B15B8"/>
    <w:rsid w:val="004B566C"/>
    <w:rsid w:val="004B7B48"/>
    <w:rsid w:val="004C34EF"/>
    <w:rsid w:val="004C535F"/>
    <w:rsid w:val="004D2A07"/>
    <w:rsid w:val="004D4AB1"/>
    <w:rsid w:val="004D6848"/>
    <w:rsid w:val="004D7F3B"/>
    <w:rsid w:val="004E0CF9"/>
    <w:rsid w:val="004E3A4D"/>
    <w:rsid w:val="004F0303"/>
    <w:rsid w:val="004F218A"/>
    <w:rsid w:val="004F4979"/>
    <w:rsid w:val="0050334E"/>
    <w:rsid w:val="00505387"/>
    <w:rsid w:val="00505523"/>
    <w:rsid w:val="00512DF7"/>
    <w:rsid w:val="005141E7"/>
    <w:rsid w:val="00517E63"/>
    <w:rsid w:val="00526B0D"/>
    <w:rsid w:val="0052763B"/>
    <w:rsid w:val="0055346F"/>
    <w:rsid w:val="00556394"/>
    <w:rsid w:val="005579FF"/>
    <w:rsid w:val="005642A0"/>
    <w:rsid w:val="005776DD"/>
    <w:rsid w:val="00581FA8"/>
    <w:rsid w:val="00582117"/>
    <w:rsid w:val="0058478F"/>
    <w:rsid w:val="005851A1"/>
    <w:rsid w:val="00593315"/>
    <w:rsid w:val="005A170D"/>
    <w:rsid w:val="005A6C96"/>
    <w:rsid w:val="005B3084"/>
    <w:rsid w:val="005B7336"/>
    <w:rsid w:val="005C0A5F"/>
    <w:rsid w:val="005C0BA2"/>
    <w:rsid w:val="005D0418"/>
    <w:rsid w:val="005D6C3B"/>
    <w:rsid w:val="005E1D58"/>
    <w:rsid w:val="005E6615"/>
    <w:rsid w:val="00603F29"/>
    <w:rsid w:val="00610E37"/>
    <w:rsid w:val="006207ED"/>
    <w:rsid w:val="00620C0E"/>
    <w:rsid w:val="00626BC9"/>
    <w:rsid w:val="00634E5A"/>
    <w:rsid w:val="00642B89"/>
    <w:rsid w:val="006458DF"/>
    <w:rsid w:val="00650D52"/>
    <w:rsid w:val="006543A8"/>
    <w:rsid w:val="00660B1C"/>
    <w:rsid w:val="006615B2"/>
    <w:rsid w:val="00661668"/>
    <w:rsid w:val="00662313"/>
    <w:rsid w:val="00672031"/>
    <w:rsid w:val="00673911"/>
    <w:rsid w:val="00676650"/>
    <w:rsid w:val="00685446"/>
    <w:rsid w:val="006870C9"/>
    <w:rsid w:val="00690762"/>
    <w:rsid w:val="00692FD2"/>
    <w:rsid w:val="006A3ADF"/>
    <w:rsid w:val="006A700E"/>
    <w:rsid w:val="006A7BCB"/>
    <w:rsid w:val="006B2E23"/>
    <w:rsid w:val="006B4C1E"/>
    <w:rsid w:val="006C090F"/>
    <w:rsid w:val="006C4E32"/>
    <w:rsid w:val="006C56D8"/>
    <w:rsid w:val="006D07AE"/>
    <w:rsid w:val="006D1C93"/>
    <w:rsid w:val="006E04F1"/>
    <w:rsid w:val="006E3F11"/>
    <w:rsid w:val="006E526C"/>
    <w:rsid w:val="00701410"/>
    <w:rsid w:val="007113A1"/>
    <w:rsid w:val="00714BAE"/>
    <w:rsid w:val="00714D27"/>
    <w:rsid w:val="00721CF6"/>
    <w:rsid w:val="00723E46"/>
    <w:rsid w:val="007242B8"/>
    <w:rsid w:val="00733826"/>
    <w:rsid w:val="00755A3F"/>
    <w:rsid w:val="00756F21"/>
    <w:rsid w:val="00762504"/>
    <w:rsid w:val="00766CFB"/>
    <w:rsid w:val="007760AC"/>
    <w:rsid w:val="007816FF"/>
    <w:rsid w:val="007824E7"/>
    <w:rsid w:val="00783B44"/>
    <w:rsid w:val="00785028"/>
    <w:rsid w:val="00792566"/>
    <w:rsid w:val="007A34B2"/>
    <w:rsid w:val="007A3A5A"/>
    <w:rsid w:val="007A4370"/>
    <w:rsid w:val="007A624A"/>
    <w:rsid w:val="007A7CE9"/>
    <w:rsid w:val="007D456E"/>
    <w:rsid w:val="007E1D15"/>
    <w:rsid w:val="007E1DEA"/>
    <w:rsid w:val="007E2202"/>
    <w:rsid w:val="00801841"/>
    <w:rsid w:val="00810106"/>
    <w:rsid w:val="008145EA"/>
    <w:rsid w:val="00815869"/>
    <w:rsid w:val="00816B81"/>
    <w:rsid w:val="008221B6"/>
    <w:rsid w:val="00823B90"/>
    <w:rsid w:val="0083266E"/>
    <w:rsid w:val="00832A5C"/>
    <w:rsid w:val="00835BAC"/>
    <w:rsid w:val="00851361"/>
    <w:rsid w:val="00853540"/>
    <w:rsid w:val="008546E5"/>
    <w:rsid w:val="00865EA8"/>
    <w:rsid w:val="008700C6"/>
    <w:rsid w:val="00871653"/>
    <w:rsid w:val="0088056B"/>
    <w:rsid w:val="00880684"/>
    <w:rsid w:val="00881D74"/>
    <w:rsid w:val="00881E7B"/>
    <w:rsid w:val="008836AC"/>
    <w:rsid w:val="00883EB9"/>
    <w:rsid w:val="00887422"/>
    <w:rsid w:val="0089166C"/>
    <w:rsid w:val="00893204"/>
    <w:rsid w:val="008960DE"/>
    <w:rsid w:val="008A36DF"/>
    <w:rsid w:val="008A60EC"/>
    <w:rsid w:val="008B483F"/>
    <w:rsid w:val="008C1698"/>
    <w:rsid w:val="008C1A3D"/>
    <w:rsid w:val="008D01C3"/>
    <w:rsid w:val="008D1E13"/>
    <w:rsid w:val="008D6549"/>
    <w:rsid w:val="008D70D2"/>
    <w:rsid w:val="00900AE8"/>
    <w:rsid w:val="00900DAD"/>
    <w:rsid w:val="009036FD"/>
    <w:rsid w:val="0090783D"/>
    <w:rsid w:val="0091408E"/>
    <w:rsid w:val="00914CBB"/>
    <w:rsid w:val="009161EB"/>
    <w:rsid w:val="00927FA9"/>
    <w:rsid w:val="00930F70"/>
    <w:rsid w:val="009378CA"/>
    <w:rsid w:val="00943186"/>
    <w:rsid w:val="0095025E"/>
    <w:rsid w:val="00955C4C"/>
    <w:rsid w:val="0096402F"/>
    <w:rsid w:val="00971D19"/>
    <w:rsid w:val="00972642"/>
    <w:rsid w:val="00995338"/>
    <w:rsid w:val="00996777"/>
    <w:rsid w:val="009C0BC7"/>
    <w:rsid w:val="009C4FD0"/>
    <w:rsid w:val="009C51A8"/>
    <w:rsid w:val="009C6592"/>
    <w:rsid w:val="009D23BB"/>
    <w:rsid w:val="009D4C88"/>
    <w:rsid w:val="009E209B"/>
    <w:rsid w:val="009E2BAB"/>
    <w:rsid w:val="009E3EE6"/>
    <w:rsid w:val="009F0747"/>
    <w:rsid w:val="00A03514"/>
    <w:rsid w:val="00A06B44"/>
    <w:rsid w:val="00A17079"/>
    <w:rsid w:val="00A448C3"/>
    <w:rsid w:val="00A458D4"/>
    <w:rsid w:val="00A46FB7"/>
    <w:rsid w:val="00A53118"/>
    <w:rsid w:val="00A62477"/>
    <w:rsid w:val="00A7533F"/>
    <w:rsid w:val="00A86AB5"/>
    <w:rsid w:val="00A97226"/>
    <w:rsid w:val="00AA0E64"/>
    <w:rsid w:val="00AA142F"/>
    <w:rsid w:val="00AA53DB"/>
    <w:rsid w:val="00AA7C8F"/>
    <w:rsid w:val="00AB0F3C"/>
    <w:rsid w:val="00AB239A"/>
    <w:rsid w:val="00AB2CEF"/>
    <w:rsid w:val="00AC361A"/>
    <w:rsid w:val="00AC39FB"/>
    <w:rsid w:val="00AD51D1"/>
    <w:rsid w:val="00AD53C7"/>
    <w:rsid w:val="00AD7ADC"/>
    <w:rsid w:val="00AE08EB"/>
    <w:rsid w:val="00AE260F"/>
    <w:rsid w:val="00AE6EC6"/>
    <w:rsid w:val="00AF2422"/>
    <w:rsid w:val="00AF3414"/>
    <w:rsid w:val="00B00BBE"/>
    <w:rsid w:val="00B05C93"/>
    <w:rsid w:val="00B10710"/>
    <w:rsid w:val="00B208FA"/>
    <w:rsid w:val="00B25C12"/>
    <w:rsid w:val="00B2766F"/>
    <w:rsid w:val="00B31ABC"/>
    <w:rsid w:val="00B338C4"/>
    <w:rsid w:val="00B431BE"/>
    <w:rsid w:val="00B445ED"/>
    <w:rsid w:val="00B57DEA"/>
    <w:rsid w:val="00B6300F"/>
    <w:rsid w:val="00B6359B"/>
    <w:rsid w:val="00B70389"/>
    <w:rsid w:val="00B73F2F"/>
    <w:rsid w:val="00B73FDF"/>
    <w:rsid w:val="00B822F7"/>
    <w:rsid w:val="00B84623"/>
    <w:rsid w:val="00BA494B"/>
    <w:rsid w:val="00BA51EF"/>
    <w:rsid w:val="00BB6415"/>
    <w:rsid w:val="00BB66D5"/>
    <w:rsid w:val="00BC60FB"/>
    <w:rsid w:val="00BC7E6E"/>
    <w:rsid w:val="00BE1D1F"/>
    <w:rsid w:val="00BE256D"/>
    <w:rsid w:val="00BE3060"/>
    <w:rsid w:val="00BE5E66"/>
    <w:rsid w:val="00BE6BBA"/>
    <w:rsid w:val="00BF0EBC"/>
    <w:rsid w:val="00BF2460"/>
    <w:rsid w:val="00C00281"/>
    <w:rsid w:val="00C05625"/>
    <w:rsid w:val="00C1751E"/>
    <w:rsid w:val="00C17C6C"/>
    <w:rsid w:val="00C21339"/>
    <w:rsid w:val="00C266F9"/>
    <w:rsid w:val="00C36D50"/>
    <w:rsid w:val="00C371EA"/>
    <w:rsid w:val="00C445AD"/>
    <w:rsid w:val="00C44CBA"/>
    <w:rsid w:val="00C458F0"/>
    <w:rsid w:val="00C4666A"/>
    <w:rsid w:val="00C479A3"/>
    <w:rsid w:val="00C50477"/>
    <w:rsid w:val="00C51075"/>
    <w:rsid w:val="00C571FC"/>
    <w:rsid w:val="00C57D7B"/>
    <w:rsid w:val="00C74DAF"/>
    <w:rsid w:val="00C761C2"/>
    <w:rsid w:val="00C80116"/>
    <w:rsid w:val="00C86F3C"/>
    <w:rsid w:val="00C87BFC"/>
    <w:rsid w:val="00C94CF0"/>
    <w:rsid w:val="00CA5038"/>
    <w:rsid w:val="00CC012E"/>
    <w:rsid w:val="00CC0CD7"/>
    <w:rsid w:val="00CC2777"/>
    <w:rsid w:val="00CC2973"/>
    <w:rsid w:val="00CD599D"/>
    <w:rsid w:val="00CD7EAD"/>
    <w:rsid w:val="00CF2858"/>
    <w:rsid w:val="00CF32C5"/>
    <w:rsid w:val="00CF3C53"/>
    <w:rsid w:val="00CF5E71"/>
    <w:rsid w:val="00CF7FAC"/>
    <w:rsid w:val="00D01331"/>
    <w:rsid w:val="00D14D34"/>
    <w:rsid w:val="00D160C1"/>
    <w:rsid w:val="00D17794"/>
    <w:rsid w:val="00D20A22"/>
    <w:rsid w:val="00D22398"/>
    <w:rsid w:val="00D3437C"/>
    <w:rsid w:val="00D35E6C"/>
    <w:rsid w:val="00D436CF"/>
    <w:rsid w:val="00D45B2F"/>
    <w:rsid w:val="00D46E88"/>
    <w:rsid w:val="00D60BD6"/>
    <w:rsid w:val="00D613A9"/>
    <w:rsid w:val="00D70D86"/>
    <w:rsid w:val="00D7163A"/>
    <w:rsid w:val="00D75ED8"/>
    <w:rsid w:val="00D76BA4"/>
    <w:rsid w:val="00D8021D"/>
    <w:rsid w:val="00D82D10"/>
    <w:rsid w:val="00D842FC"/>
    <w:rsid w:val="00D86784"/>
    <w:rsid w:val="00D920E6"/>
    <w:rsid w:val="00D9799C"/>
    <w:rsid w:val="00DA004C"/>
    <w:rsid w:val="00DA1B93"/>
    <w:rsid w:val="00DB2CAB"/>
    <w:rsid w:val="00DB4402"/>
    <w:rsid w:val="00DC48A8"/>
    <w:rsid w:val="00DD1DB0"/>
    <w:rsid w:val="00DE13B6"/>
    <w:rsid w:val="00DE296D"/>
    <w:rsid w:val="00DE2A08"/>
    <w:rsid w:val="00DE2B4D"/>
    <w:rsid w:val="00E00E44"/>
    <w:rsid w:val="00E0201B"/>
    <w:rsid w:val="00E049A8"/>
    <w:rsid w:val="00E12ECB"/>
    <w:rsid w:val="00E131AD"/>
    <w:rsid w:val="00E1451F"/>
    <w:rsid w:val="00E15A72"/>
    <w:rsid w:val="00E15E28"/>
    <w:rsid w:val="00E16577"/>
    <w:rsid w:val="00E22A40"/>
    <w:rsid w:val="00E36051"/>
    <w:rsid w:val="00E474B5"/>
    <w:rsid w:val="00E5110E"/>
    <w:rsid w:val="00E544FA"/>
    <w:rsid w:val="00E55E83"/>
    <w:rsid w:val="00E5792E"/>
    <w:rsid w:val="00E601C5"/>
    <w:rsid w:val="00E6077C"/>
    <w:rsid w:val="00E6618E"/>
    <w:rsid w:val="00E77436"/>
    <w:rsid w:val="00E82C8E"/>
    <w:rsid w:val="00E87CFA"/>
    <w:rsid w:val="00E911EE"/>
    <w:rsid w:val="00E93D77"/>
    <w:rsid w:val="00E95264"/>
    <w:rsid w:val="00E95DE6"/>
    <w:rsid w:val="00EA2172"/>
    <w:rsid w:val="00EA2DC1"/>
    <w:rsid w:val="00EA2F67"/>
    <w:rsid w:val="00EA71E7"/>
    <w:rsid w:val="00EC5571"/>
    <w:rsid w:val="00ED0E8F"/>
    <w:rsid w:val="00ED32DB"/>
    <w:rsid w:val="00EE1504"/>
    <w:rsid w:val="00EE349F"/>
    <w:rsid w:val="00EE3B5B"/>
    <w:rsid w:val="00EE4CC9"/>
    <w:rsid w:val="00EF4800"/>
    <w:rsid w:val="00EF674A"/>
    <w:rsid w:val="00F00A3D"/>
    <w:rsid w:val="00F17CA4"/>
    <w:rsid w:val="00F20B7B"/>
    <w:rsid w:val="00F24DDD"/>
    <w:rsid w:val="00F2770B"/>
    <w:rsid w:val="00F47B0E"/>
    <w:rsid w:val="00F549A3"/>
    <w:rsid w:val="00F55CBF"/>
    <w:rsid w:val="00F63CC9"/>
    <w:rsid w:val="00F70826"/>
    <w:rsid w:val="00F72B10"/>
    <w:rsid w:val="00F77359"/>
    <w:rsid w:val="00F83E1B"/>
    <w:rsid w:val="00F86A73"/>
    <w:rsid w:val="00F907A9"/>
    <w:rsid w:val="00F91254"/>
    <w:rsid w:val="00F94561"/>
    <w:rsid w:val="00FA58DA"/>
    <w:rsid w:val="00FB02DF"/>
    <w:rsid w:val="00FB5B00"/>
    <w:rsid w:val="00FC345B"/>
    <w:rsid w:val="00FD4E37"/>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18"/>
      </w:numPr>
    </w:pPr>
  </w:style>
  <w:style w:type="numbering" w:customStyle="1" w:styleId="CurrentList2">
    <w:name w:val="Current List2"/>
    <w:uiPriority w:val="99"/>
    <w:rsid w:val="00F63CC9"/>
    <w:pPr>
      <w:numPr>
        <w:numId w:val="19"/>
      </w:numPr>
    </w:pPr>
  </w:style>
  <w:style w:type="numbering" w:customStyle="1" w:styleId="CurrentList3">
    <w:name w:val="Current List3"/>
    <w:uiPriority w:val="99"/>
    <w:rsid w:val="002465B1"/>
    <w:pPr>
      <w:numPr>
        <w:numId w:val="20"/>
      </w:numPr>
    </w:pPr>
  </w:style>
  <w:style w:type="character" w:customStyle="1" w:styleId="B2Char">
    <w:name w:val="B2 Char"/>
    <w:link w:val="B2"/>
    <w:qFormat/>
    <w:locked/>
    <w:rsid w:val="00762504"/>
    <w:rPr>
      <w:rFonts w:eastAsia="Times New Roman"/>
      <w:lang w:val="en-GB" w:eastAsia="en-GB"/>
    </w:rPr>
  </w:style>
  <w:style w:type="character" w:customStyle="1" w:styleId="apple-converted-space">
    <w:name w:val="apple-converted-space"/>
    <w:qFormat/>
    <w:rsid w:val="00EA2F67"/>
  </w:style>
  <w:style w:type="character" w:styleId="Strong">
    <w:name w:val="Strong"/>
    <w:uiPriority w:val="22"/>
    <w:qFormat/>
    <w:rsid w:val="00880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3gpp.org/ftp/tsg_ran/TSG_RAN/TSGR_98e/Docs/RP-223502.zi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221</TotalTime>
  <Pages>1</Pages>
  <Words>866</Words>
  <Characters>5083</Characters>
  <Application>Microsoft Office Word</Application>
  <DocSecurity>0</DocSecurity>
  <Lines>42</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5938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Benoist</cp:lastModifiedBy>
  <cp:revision>138</cp:revision>
  <dcterms:created xsi:type="dcterms:W3CDTF">2022-09-02T00:31:00Z</dcterms:created>
  <dcterms:modified xsi:type="dcterms:W3CDTF">2023-03-10T02:21:00Z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ies>
</file>