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r w:rsidR="00FC4994" w:rsidRPr="009C1FDC" w14:paraId="3EA70D25" w14:textId="77777777" w:rsidTr="007E2ADA">
        <w:tc>
          <w:tcPr>
            <w:tcW w:w="2215" w:type="dxa"/>
          </w:tcPr>
          <w:p w14:paraId="1FA37862" w14:textId="118359CF" w:rsidR="00FC4994" w:rsidRPr="00FC4994" w:rsidRDefault="00FC4994" w:rsidP="00FC4994">
            <w:pPr>
              <w:spacing w:after="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w:t>
            </w:r>
          </w:p>
        </w:tc>
        <w:tc>
          <w:tcPr>
            <w:tcW w:w="2478" w:type="dxa"/>
          </w:tcPr>
          <w:p w14:paraId="5D4E04F7" w14:textId="329F4358" w:rsidR="00FC4994" w:rsidRPr="00FC4994" w:rsidRDefault="00FC4994"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15216EDF" w14:textId="3F06CFC9" w:rsidR="00FC4994" w:rsidRPr="00FC4994" w:rsidRDefault="00FC4994" w:rsidP="005B5119">
            <w:pPr>
              <w:spacing w:after="0"/>
              <w:rPr>
                <w:rFonts w:ascii="Times New Roman" w:eastAsiaTheme="minorEastAsia" w:hAnsi="Times New Roman"/>
                <w:lang w:eastAsia="zh-CN"/>
              </w:rPr>
            </w:pPr>
            <w:r>
              <w:rPr>
                <w:rFonts w:ascii="Times New Roman" w:eastAsiaTheme="minorEastAsia" w:hAnsi="Times New Roman"/>
                <w:lang w:eastAsia="zh-CN"/>
              </w:rPr>
              <w:t>xubin10huawei.com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bookmarkStart w:id="0" w:name="_GoBack"/>
      <w:bookmarkEnd w:id="0"/>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6"/>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The case when a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6"/>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1"/>
            <w:bookmarkEnd w:id="2"/>
            <w:bookmarkEnd w:id="3"/>
            <w:bookmarkEnd w:id="4"/>
            <w:bookmarkEnd w:id="5"/>
            <w:bookmarkEnd w:id="6"/>
            <w:bookmarkEnd w:id="7"/>
            <w:bookmarkEnd w:id="8"/>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a5"/>
        <w:numPr>
          <w:ilvl w:val="0"/>
          <w:numId w:val="25"/>
        </w:numPr>
        <w:spacing w:beforeLines="50" w:before="120"/>
        <w:rPr>
          <w:rFonts w:ascii="Times New Roman" w:hAnsi="Times New Roman"/>
          <w:sz w:val="20"/>
          <w:lang w:val="en-GB" w:eastAsia="zh-CN"/>
        </w:rPr>
      </w:pPr>
      <w:commentRangeStart w:id="9"/>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a5"/>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9"/>
      <w:r w:rsidR="009F2582">
        <w:rPr>
          <w:rStyle w:val="a8"/>
          <w:rFonts w:asciiTheme="minorHAnsi" w:eastAsia="宋体" w:hAnsiTheme="minorHAnsi"/>
        </w:rPr>
        <w:commentReference w:id="9"/>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6"/>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10" w:name="_Toc114476191"/>
            <w:bookmarkStart w:id="11" w:name="_Toc45286643"/>
            <w:bookmarkStart w:id="12" w:name="_Toc51947910"/>
            <w:bookmarkStart w:id="13" w:name="_Toc51949002"/>
            <w:bookmarkStart w:id="14"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10"/>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1"/>
            <w:bookmarkEnd w:id="12"/>
            <w:bookmarkEnd w:id="13"/>
            <w:bookmarkEnd w:id="14"/>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6"/>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5" w:name="_Toc20232544"/>
            <w:bookmarkStart w:id="16" w:name="_Toc27746634"/>
            <w:bookmarkStart w:id="17" w:name="_Toc36212815"/>
            <w:bookmarkStart w:id="18" w:name="_Toc36656992"/>
            <w:bookmarkStart w:id="19" w:name="_Toc45286653"/>
            <w:bookmarkStart w:id="20" w:name="_Toc51947920"/>
            <w:bookmarkStart w:id="21" w:name="_Toc51949012"/>
            <w:bookmarkStart w:id="22" w:name="_Toc114476203"/>
            <w:bookmarkStart w:id="23" w:name="_Toc20232548"/>
            <w:bookmarkStart w:id="24" w:name="_Toc27746638"/>
            <w:bookmarkStart w:id="25" w:name="_Toc36212819"/>
            <w:bookmarkStart w:id="26" w:name="_Toc36656996"/>
            <w:bookmarkStart w:id="27" w:name="_Toc45286657"/>
            <w:bookmarkStart w:id="28" w:name="_Toc51947924"/>
            <w:bookmarkStart w:id="29" w:name="_Toc51949016"/>
            <w:bookmarkStart w:id="30"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5"/>
            <w:bookmarkEnd w:id="16"/>
            <w:bookmarkEnd w:id="17"/>
            <w:bookmarkEnd w:id="18"/>
            <w:bookmarkEnd w:id="19"/>
            <w:bookmarkEnd w:id="20"/>
            <w:bookmarkEnd w:id="21"/>
            <w:bookmarkEnd w:id="22"/>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3"/>
            <w:bookmarkEnd w:id="24"/>
            <w:bookmarkEnd w:id="25"/>
            <w:bookmarkEnd w:id="26"/>
            <w:bookmarkEnd w:id="27"/>
            <w:bookmarkEnd w:id="28"/>
            <w:bookmarkEnd w:id="29"/>
            <w:bookmarkEnd w:id="30"/>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if configured for eCall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[22], shall perform the eCall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1" w:name="_Toc20232567"/>
            <w:bookmarkStart w:id="32" w:name="_Toc27746657"/>
            <w:bookmarkStart w:id="33" w:name="_Toc36212838"/>
            <w:bookmarkStart w:id="34" w:name="_Toc36657015"/>
            <w:bookmarkStart w:id="35" w:name="_Toc45286676"/>
            <w:bookmarkStart w:id="36" w:name="_Toc51947943"/>
            <w:bookmarkStart w:id="37" w:name="_Toc51949035"/>
            <w:bookmarkStart w:id="38"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1"/>
            <w:bookmarkEnd w:id="32"/>
            <w:bookmarkEnd w:id="33"/>
            <w:bookmarkEnd w:id="34"/>
            <w:bookmarkEnd w:id="35"/>
            <w:bookmarkEnd w:id="36"/>
            <w:bookmarkEnd w:id="37"/>
            <w:bookmarkEnd w:id="38"/>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40BCDB1A"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xml:space="preserve">? </w:t>
      </w:r>
      <w:r w:rsidR="00CD2CD0">
        <w:rPr>
          <w:rFonts w:ascii="Times New Roman" w:hAnsi="Times New Roman"/>
          <w:b/>
          <w:lang w:val="en-GB" w:eastAsia="zh-CN"/>
        </w:rPr>
        <w:t>P</w:t>
      </w:r>
      <w:r w:rsidR="00E12EBF">
        <w:rPr>
          <w:rFonts w:ascii="Times New Roman" w:hAnsi="Times New Roman"/>
          <w:b/>
          <w:lang w:val="en-GB" w:eastAsia="zh-CN"/>
        </w:rPr>
        <w:t>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2049"/>
        <w:gridCol w:w="1139"/>
        <w:gridCol w:w="6162"/>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We have the same understanding as the Rapporteur. Current specification already handle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005F0F16" w:rsidR="00EE1029" w:rsidRPr="00D66A93" w:rsidRDefault="00EE1029" w:rsidP="00EE1029">
            <w:pPr>
              <w:rPr>
                <w:rFonts w:ascii="Times New Roman" w:hAnsi="Times New Roman"/>
                <w:i/>
                <w:sz w:val="18"/>
              </w:rPr>
            </w:pPr>
            <w:r w:rsidRPr="00D66A93">
              <w:rPr>
                <w:rFonts w:ascii="Times New Roman" w:hAnsi="Times New Roman"/>
                <w:i/>
                <w:sz w:val="18"/>
              </w:rPr>
              <w:t xml:space="preserve">An </w:t>
            </w:r>
            <w:r w:rsidR="00CD2CD0">
              <w:rPr>
                <w:rFonts w:ascii="Times New Roman" w:hAnsi="Times New Roman"/>
                <w:i/>
                <w:sz w:val="18"/>
              </w:rPr>
              <w:t>“</w:t>
            </w:r>
            <w:r w:rsidRPr="00D66A93">
              <w:rPr>
                <w:rFonts w:ascii="Times New Roman" w:hAnsi="Times New Roman"/>
                <w:i/>
                <w:sz w:val="18"/>
              </w:rPr>
              <w:t>acceptable cell</w:t>
            </w:r>
            <w:r w:rsidR="00CD2CD0">
              <w:rPr>
                <w:rFonts w:ascii="Times New Roman" w:hAnsi="Times New Roman"/>
                <w:i/>
                <w:sz w:val="18"/>
              </w:rPr>
              <w:t>”</w:t>
            </w:r>
            <w:r w:rsidRPr="00D66A93">
              <w:rPr>
                <w:rFonts w:ascii="Times New Roman" w:hAnsi="Times New Roman"/>
                <w:i/>
                <w:sz w:val="18"/>
              </w:rPr>
              <w:t xml:space="preserve">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Thus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 xml:space="preserve">To make this complete, we believe that we can make it clear that if no suitable cell is found, the NCR-Fwd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NCR-Fwd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 xml:space="preserve">There is probably no need to specify that the NCR-Fwd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 xml:space="preserve">se cases NCR-Fwd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 xml:space="preserve">First, we believe camping on an acceptable cell does not allow NCR-Fwd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20"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6259"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applicable, since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NCR-Fwd OFF is covered by the RAN2 agreement “</w:t>
            </w:r>
            <w:r w:rsidRPr="00DF4062">
              <w:rPr>
                <w:rFonts w:eastAsia="Yu Mincho"/>
                <w:i/>
                <w:iCs/>
                <w:lang w:eastAsia="ja-JP"/>
              </w:rPr>
              <w:t>If NCR-MT enters RRC_IDLE due to no suitable cell is find, NCR-Fwd is OFF</w:t>
            </w:r>
            <w:r>
              <w:rPr>
                <w:rFonts w:eastAsia="Yu Mincho"/>
                <w:lang w:eastAsia="ja-JP"/>
              </w:rPr>
              <w:t xml:space="preserve">”, although it was agreed for RLF case. So, we don’t think these are needed to be agreed. </w:t>
            </w:r>
          </w:p>
        </w:tc>
      </w:tr>
      <w:tr w:rsidR="008D2AE8" w:rsidRPr="00467409" w14:paraId="20AB3044" w14:textId="77777777" w:rsidTr="009F7850">
        <w:tc>
          <w:tcPr>
            <w:tcW w:w="2071" w:type="dxa"/>
          </w:tcPr>
          <w:p w14:paraId="5278EDDE" w14:textId="3CC1BB25" w:rsidR="008D2AE8" w:rsidRDefault="008D2AE8" w:rsidP="008D2AE8">
            <w:pPr>
              <w:spacing w:after="0"/>
              <w:rPr>
                <w:rFonts w:eastAsia="Yu Mincho"/>
                <w:lang w:eastAsia="ja-JP"/>
              </w:rPr>
            </w:pPr>
            <w:r>
              <w:rPr>
                <w:rFonts w:asciiTheme="minorHAnsi" w:hAnsiTheme="minorHAnsi"/>
                <w:lang w:eastAsia="zh-CN"/>
              </w:rPr>
              <w:t>Intel</w:t>
            </w:r>
          </w:p>
        </w:tc>
        <w:tc>
          <w:tcPr>
            <w:tcW w:w="1020" w:type="dxa"/>
          </w:tcPr>
          <w:p w14:paraId="044A4B33" w14:textId="6F3551BB" w:rsidR="008D2AE8" w:rsidRDefault="008D2AE8" w:rsidP="008D2AE8">
            <w:pPr>
              <w:spacing w:after="0"/>
              <w:rPr>
                <w:rFonts w:eastAsia="Yu Mincho"/>
                <w:lang w:eastAsia="ja-JP"/>
              </w:rPr>
            </w:pPr>
            <w:r>
              <w:rPr>
                <w:rFonts w:asciiTheme="minorHAnsi" w:hAnsiTheme="minorHAnsi"/>
                <w:lang w:eastAsia="zh-CN"/>
              </w:rPr>
              <w:t>Yes</w:t>
            </w:r>
          </w:p>
        </w:tc>
        <w:tc>
          <w:tcPr>
            <w:tcW w:w="6259"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limited service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lang w:eastAsia="ja-JP"/>
              </w:rPr>
            </w:pPr>
            <w:r>
              <w:rPr>
                <w:lang w:eastAsia="ja-JP"/>
              </w:rPr>
              <w:lastRenderedPageBreak/>
              <w:t xml:space="preserve">Regarding to NCR-Fwd turning OFF, based on our agreement in RAN2 #121 meeting, </w:t>
            </w:r>
            <w:r w:rsidR="00DE0766">
              <w:rPr>
                <w:lang w:eastAsia="ja-JP"/>
              </w:rPr>
              <w:t xml:space="preserve">the NCR-Fwd will turn OFF when the NCR-MT reselects another cell. Hence, </w:t>
            </w:r>
            <w:r w:rsidR="005B3FEC">
              <w:rPr>
                <w:lang w:eastAsia="ja-JP"/>
              </w:rPr>
              <w:t xml:space="preserve">the behavior camping on an acceptable cell or no cell </w:t>
            </w:r>
            <w:r w:rsidR="00770D05">
              <w:rPr>
                <w:lang w:eastAsia="ja-JP"/>
              </w:rPr>
              <w:t>can be categorized into the same scenario as cell reselection. There’s no need to have another agreement on NCR-Fwd behavior in this case.</w:t>
            </w:r>
          </w:p>
        </w:tc>
      </w:tr>
      <w:tr w:rsidR="00847E69" w:rsidRPr="00467409" w14:paraId="54D2FB92" w14:textId="77777777" w:rsidTr="009F7850">
        <w:tc>
          <w:tcPr>
            <w:tcW w:w="2071" w:type="dxa"/>
          </w:tcPr>
          <w:p w14:paraId="038D39D5" w14:textId="785344B7" w:rsidR="00847E69" w:rsidRDefault="00CD2CD0" w:rsidP="008D2AE8">
            <w:pPr>
              <w:spacing w:after="0"/>
              <w:rPr>
                <w:lang w:eastAsia="zh-CN"/>
              </w:rPr>
            </w:pPr>
            <w:r>
              <w:rPr>
                <w:lang w:eastAsia="zh-CN"/>
              </w:rPr>
              <w:lastRenderedPageBreak/>
              <w:t>V</w:t>
            </w:r>
            <w:r w:rsidR="00847E69">
              <w:rPr>
                <w:lang w:eastAsia="zh-CN"/>
              </w:rPr>
              <w:t>ivo</w:t>
            </w:r>
          </w:p>
        </w:tc>
        <w:tc>
          <w:tcPr>
            <w:tcW w:w="1020" w:type="dxa"/>
          </w:tcPr>
          <w:p w14:paraId="5BF04DDC" w14:textId="49BA3CF8" w:rsidR="00847E69" w:rsidRDefault="00847E69" w:rsidP="008D2AE8">
            <w:pPr>
              <w:spacing w:after="0"/>
              <w:rPr>
                <w:lang w:eastAsia="zh-CN"/>
              </w:rPr>
            </w:pPr>
            <w:r>
              <w:rPr>
                <w:lang w:eastAsia="zh-CN"/>
              </w:rPr>
              <w:t>Yes</w:t>
            </w:r>
          </w:p>
        </w:tc>
        <w:tc>
          <w:tcPr>
            <w:tcW w:w="6259" w:type="dxa"/>
          </w:tcPr>
          <w:p w14:paraId="2CE7D494" w14:textId="08C1C3DF" w:rsidR="00847E69" w:rsidRDefault="00847E69" w:rsidP="00847E69">
            <w:pPr>
              <w:rPr>
                <w:lang w:eastAsia="zh-CN"/>
              </w:rPr>
            </w:pPr>
            <w:r>
              <w:t>Same understanding with Rapp. We think there is no need to specify new mechanism for this scenario.</w:t>
            </w:r>
          </w:p>
        </w:tc>
      </w:tr>
      <w:tr w:rsidR="007D53B5" w:rsidRPr="00467409" w14:paraId="7AB4989B" w14:textId="77777777" w:rsidTr="009F7850">
        <w:tc>
          <w:tcPr>
            <w:tcW w:w="2071" w:type="dxa"/>
          </w:tcPr>
          <w:p w14:paraId="6D35B5B1" w14:textId="7F7F5E8A" w:rsidR="007D53B5" w:rsidRDefault="007D53B5" w:rsidP="008D2AE8">
            <w:pPr>
              <w:spacing w:after="0"/>
              <w:rPr>
                <w:lang w:eastAsia="zh-CN"/>
              </w:rPr>
            </w:pPr>
            <w:r>
              <w:rPr>
                <w:rFonts w:hint="eastAsia"/>
                <w:lang w:eastAsia="zh-CN"/>
              </w:rPr>
              <w:t>Huawei</w:t>
            </w:r>
            <w:r>
              <w:rPr>
                <w:rFonts w:hint="eastAsia"/>
                <w:lang w:eastAsia="zh-CN"/>
              </w:rPr>
              <w:t>，</w:t>
            </w:r>
            <w:r>
              <w:rPr>
                <w:rFonts w:hint="eastAsia"/>
                <w:lang w:eastAsia="zh-CN"/>
              </w:rPr>
              <w:t>Hi</w:t>
            </w:r>
            <w:r>
              <w:rPr>
                <w:lang w:eastAsia="zh-CN"/>
              </w:rPr>
              <w:t>Silicon</w:t>
            </w:r>
          </w:p>
        </w:tc>
        <w:tc>
          <w:tcPr>
            <w:tcW w:w="1020" w:type="dxa"/>
          </w:tcPr>
          <w:p w14:paraId="40882795" w14:textId="590F4B33" w:rsidR="007D53B5" w:rsidRDefault="00C04BA5" w:rsidP="008D2AE8">
            <w:pPr>
              <w:spacing w:after="0"/>
              <w:rPr>
                <w:lang w:eastAsia="zh-CN"/>
              </w:rPr>
            </w:pPr>
            <w:r>
              <w:rPr>
                <w:lang w:eastAsia="zh-CN"/>
              </w:rPr>
              <w:t xml:space="preserve">See </w:t>
            </w:r>
            <w:r w:rsidR="007D53B5">
              <w:rPr>
                <w:lang w:eastAsia="zh-CN"/>
              </w:rPr>
              <w:t>comments</w:t>
            </w:r>
          </w:p>
        </w:tc>
        <w:tc>
          <w:tcPr>
            <w:tcW w:w="6259" w:type="dxa"/>
          </w:tcPr>
          <w:p w14:paraId="01E31251" w14:textId="6F6F444F" w:rsidR="003235C8" w:rsidRDefault="003235C8" w:rsidP="00847E69">
            <w:pPr>
              <w:rPr>
                <w:lang w:eastAsia="zh-CN"/>
              </w:rPr>
            </w:pPr>
            <w:r>
              <w:rPr>
                <w:rFonts w:hint="eastAsia"/>
                <w:lang w:eastAsia="zh-CN"/>
              </w:rPr>
              <w:t>T</w:t>
            </w:r>
            <w:r>
              <w:rPr>
                <w:lang w:eastAsia="zh-CN"/>
              </w:rPr>
              <w:t xml:space="preserve">he following procedure is not applied to NCR-MT since it is based on the condition that the UE </w:t>
            </w:r>
            <w:r w:rsidRPr="003235C8">
              <w:rPr>
                <w:lang w:eastAsia="zh-CN"/>
              </w:rPr>
              <w:t>is registered for emergency services</w:t>
            </w:r>
            <w:r>
              <w:rPr>
                <w:lang w:eastAsia="zh-CN"/>
              </w:rPr>
              <w:t>:</w:t>
            </w:r>
          </w:p>
          <w:p w14:paraId="17DF82B5" w14:textId="74A6159E" w:rsidR="003235C8" w:rsidRPr="003235C8" w:rsidRDefault="003235C8" w:rsidP="00847E69">
            <w:pPr>
              <w:rPr>
                <w:i/>
                <w:lang w:eastAsia="zh-CN"/>
              </w:rPr>
            </w:pPr>
            <w:r w:rsidRPr="003235C8">
              <w:rPr>
                <w:rFonts w:ascii="Times New Roman" w:eastAsia="Times New Roman" w:hAnsi="Times New Roman"/>
                <w:i/>
                <w:lang w:val="en-GB" w:eastAsia="en-GB"/>
              </w:rPr>
              <w:t>If the UE</w:t>
            </w:r>
            <w:r w:rsidRPr="003235C8">
              <w:rPr>
                <w:rFonts w:ascii="Times New Roman" w:eastAsia="Times New Roman" w:hAnsi="Times New Roman" w:hint="eastAsia"/>
                <w:i/>
                <w:lang w:val="en-GB" w:eastAsia="zh-CN"/>
              </w:rPr>
              <w:t xml:space="preserve"> is </w:t>
            </w:r>
            <w:r w:rsidRPr="003235C8">
              <w:rPr>
                <w:rFonts w:ascii="Times New Roman" w:eastAsia="Times New Roman" w:hAnsi="Times New Roman"/>
                <w:i/>
                <w:lang w:val="en-GB" w:eastAsia="en-GB"/>
              </w:rPr>
              <w:t>registered</w:t>
            </w:r>
            <w:r w:rsidRPr="003235C8" w:rsidDel="006F1C3E">
              <w:rPr>
                <w:rFonts w:ascii="Times New Roman" w:eastAsia="Times New Roman" w:hAnsi="Times New Roman"/>
                <w:i/>
                <w:lang w:val="en-GB" w:eastAsia="en-GB"/>
              </w:rPr>
              <w:t xml:space="preserve"> for emergency services</w:t>
            </w:r>
            <w:r w:rsidRPr="003235C8">
              <w:rPr>
                <w:rFonts w:ascii="Times New Roman" w:eastAsia="Times New Roman" w:hAnsi="Times New Roman"/>
                <w:i/>
                <w:lang w:val="en-GB" w:eastAsia="en-GB"/>
              </w:rPr>
              <w:t xml:space="preserve">, </w:t>
            </w:r>
            <w:r w:rsidRPr="003235C8">
              <w:rPr>
                <w:rFonts w:ascii="Times New Roman" w:eastAsia="Times New Roman" w:hAnsi="Times New Roman" w:hint="eastAsia"/>
                <w:i/>
                <w:lang w:val="en-GB" w:eastAsia="zh-CN"/>
              </w:rPr>
              <w:t>and</w:t>
            </w:r>
            <w:r w:rsidRPr="003235C8">
              <w:rPr>
                <w:rFonts w:ascii="Times New Roman" w:eastAsia="Times New Roman" w:hAnsi="Times New Roman"/>
                <w:i/>
                <w:lang w:val="en-GB" w:eastAsia="en-GB"/>
              </w:rPr>
              <w:t xml:space="preserve"> timer T3</w:t>
            </w:r>
            <w:r w:rsidRPr="003235C8">
              <w:rPr>
                <w:rFonts w:ascii="Times New Roman" w:eastAsia="Times New Roman" w:hAnsi="Times New Roman" w:hint="eastAsia"/>
                <w:i/>
                <w:lang w:val="en-GB" w:eastAsia="zh-CN"/>
              </w:rPr>
              <w:t>5</w:t>
            </w:r>
            <w:r w:rsidRPr="003235C8">
              <w:rPr>
                <w:rFonts w:ascii="Times New Roman" w:eastAsia="Times New Roman" w:hAnsi="Times New Roman"/>
                <w:i/>
                <w:lang w:val="en-GB" w:eastAsia="en-GB"/>
              </w:rPr>
              <w:t>12 expires, the UE shall not initiate a periodic registration update procedure</w:t>
            </w:r>
            <w:r w:rsidRPr="003235C8">
              <w:rPr>
                <w:rFonts w:ascii="Times New Roman" w:eastAsia="Times New Roman" w:hAnsi="Times New Roman" w:hint="eastAsia"/>
                <w:i/>
                <w:lang w:val="en-GB" w:eastAsia="zh-CN"/>
              </w:rPr>
              <w:t>, but</w:t>
            </w:r>
            <w:r w:rsidRPr="003235C8">
              <w:rPr>
                <w:rFonts w:ascii="Times New Roman" w:eastAsia="Times New Roman" w:hAnsi="Times New Roman"/>
                <w:i/>
                <w:lang w:val="en-GB" w:eastAsia="en-GB"/>
              </w:rPr>
              <w:t xml:space="preserve"> shall locally </w:t>
            </w:r>
            <w:r w:rsidRPr="003235C8">
              <w:rPr>
                <w:rFonts w:ascii="Times New Roman" w:eastAsia="Times New Roman" w:hAnsi="Times New Roman" w:hint="eastAsia"/>
                <w:i/>
                <w:lang w:val="en-GB" w:eastAsia="en-GB"/>
              </w:rPr>
              <w:t>de</w:t>
            </w:r>
            <w:r w:rsidRPr="003235C8">
              <w:rPr>
                <w:rFonts w:ascii="Times New Roman" w:eastAsia="Times New Roman" w:hAnsi="Times New Roman"/>
                <w:i/>
                <w:lang w:val="en-GB" w:eastAsia="en-GB"/>
              </w:rPr>
              <w:t>-</w:t>
            </w:r>
            <w:r w:rsidRPr="003235C8">
              <w:rPr>
                <w:rFonts w:ascii="Times New Roman" w:eastAsia="Times New Roman" w:hAnsi="Times New Roman" w:hint="eastAsia"/>
                <w:i/>
                <w:lang w:val="en-GB" w:eastAsia="en-GB"/>
              </w:rPr>
              <w:t>register</w:t>
            </w:r>
            <w:r w:rsidRPr="003235C8">
              <w:rPr>
                <w:rFonts w:ascii="Times New Roman" w:eastAsia="Times New Roman" w:hAnsi="Times New Roman"/>
                <w:i/>
                <w:lang w:val="en-GB" w:eastAsia="en-GB"/>
              </w:rPr>
              <w:t xml:space="preserve"> from the network. </w:t>
            </w:r>
            <w:r w:rsidRPr="003235C8">
              <w:rPr>
                <w:rFonts w:ascii="Times New Roman" w:eastAsia="Times New Roman" w:hAnsi="Times New Roman"/>
                <w:i/>
                <w:color w:val="FF0000"/>
                <w:lang w:val="en-GB" w:eastAsia="en-GB"/>
              </w:rPr>
              <w:t>When the UE is camping on a suitable cell, it may re-</w:t>
            </w:r>
            <w:r w:rsidRPr="003235C8">
              <w:rPr>
                <w:rFonts w:ascii="Times New Roman" w:eastAsia="Times New Roman" w:hAnsi="Times New Roman" w:hint="eastAsia"/>
                <w:i/>
                <w:color w:val="FF0000"/>
                <w:lang w:val="en-GB" w:eastAsia="zh-CN"/>
              </w:rPr>
              <w:t>register</w:t>
            </w:r>
            <w:r w:rsidRPr="003235C8">
              <w:rPr>
                <w:rFonts w:ascii="Times New Roman" w:eastAsia="Times New Roman" w:hAnsi="Times New Roman"/>
                <w:i/>
                <w:color w:val="FF0000"/>
                <w:lang w:val="en-GB" w:eastAsia="en-GB"/>
              </w:rPr>
              <w:t xml:space="preserve"> to regain normal service.</w:t>
            </w:r>
          </w:p>
          <w:p w14:paraId="7F425EF3" w14:textId="77777777" w:rsidR="003235C8" w:rsidRDefault="003235C8" w:rsidP="00847E69">
            <w:pPr>
              <w:rPr>
                <w:lang w:eastAsia="zh-CN"/>
              </w:rPr>
            </w:pPr>
          </w:p>
          <w:p w14:paraId="2DC8A591" w14:textId="55E71702" w:rsidR="007D53B5" w:rsidRDefault="007D53B5" w:rsidP="00847E69">
            <w:pPr>
              <w:rPr>
                <w:lang w:eastAsia="zh-CN"/>
              </w:rPr>
            </w:pPr>
            <w:r>
              <w:rPr>
                <w:lang w:eastAsia="zh-CN"/>
              </w:rPr>
              <w:t xml:space="preserve">According to the SA2 specs, it seems </w:t>
            </w:r>
            <w:r w:rsidR="003235C8">
              <w:rPr>
                <w:lang w:eastAsia="zh-CN"/>
              </w:rPr>
              <w:t xml:space="preserve">for NAS, </w:t>
            </w:r>
            <w:r>
              <w:rPr>
                <w:lang w:eastAsia="zh-CN"/>
              </w:rPr>
              <w:t xml:space="preserve">the </w:t>
            </w:r>
            <w:r w:rsidR="003235C8">
              <w:rPr>
                <w:lang w:eastAsia="zh-CN"/>
              </w:rPr>
              <w:t xml:space="preserve">following </w:t>
            </w:r>
            <w:r>
              <w:rPr>
                <w:lang w:eastAsia="zh-CN"/>
              </w:rPr>
              <w:t xml:space="preserve">mechanism can be reused for this case by delaying the periodical register update if the </w:t>
            </w:r>
            <w:r w:rsidR="003235C8">
              <w:rPr>
                <w:lang w:eastAsia="zh-CN"/>
              </w:rPr>
              <w:t>NCR-MT</w:t>
            </w:r>
            <w:r>
              <w:rPr>
                <w:lang w:eastAsia="zh-CN"/>
              </w:rPr>
              <w:t xml:space="preserve"> is in limited service state. </w:t>
            </w:r>
          </w:p>
          <w:p w14:paraId="7DEADD70" w14:textId="30E092F5" w:rsidR="007D53B5" w:rsidRPr="007D53B5" w:rsidRDefault="007D53B5" w:rsidP="00847E69">
            <w:pPr>
              <w:rPr>
                <w:rFonts w:ascii="Times New Roman" w:hAnsi="Times New Roman"/>
                <w:i/>
                <w:lang w:eastAsia="zh-CN"/>
              </w:rPr>
            </w:pPr>
            <w:r w:rsidRPr="003235C8">
              <w:rPr>
                <w:rFonts w:ascii="Times New Roman" w:hAnsi="Times New Roman"/>
                <w:i/>
                <w:highlight w:val="yellow"/>
              </w:rPr>
              <w:t>If the UE is not registered for emergency services</w:t>
            </w:r>
            <w:r w:rsidRPr="007D53B5">
              <w:rPr>
                <w:rFonts w:ascii="Times New Roman" w:hAnsi="Times New Roman"/>
                <w:i/>
              </w:rPr>
              <w:t xml:space="preserve">, and is in a state other than 5GMM-REGISTERED.NORMAL-SERVICE or 5GMM-REGISTERED.NON-ALLOWED-SERVICE over 3GPP access when timer T3512 expires, </w:t>
            </w:r>
            <w:r w:rsidRPr="007D53B5">
              <w:rPr>
                <w:rFonts w:ascii="Times New Roman" w:hAnsi="Times New Roman"/>
                <w:i/>
                <w:highlight w:val="yellow"/>
              </w:rPr>
              <w:t>the periodic registration update procedure is delayed until the UE returns to 5GMM-REGISTERED.NORMAL-SERVICE</w:t>
            </w:r>
            <w:r w:rsidRPr="007D53B5">
              <w:rPr>
                <w:rFonts w:ascii="Times New Roman" w:hAnsi="Times New Roman"/>
                <w:i/>
              </w:rPr>
              <w:t xml:space="preserve"> or 5GMM-REGISTERED.NON-ALLOWED-SERVICE over 3GPP access.</w:t>
            </w:r>
          </w:p>
          <w:p w14:paraId="1A9C7939" w14:textId="77777777" w:rsidR="007D53B5" w:rsidRDefault="007D53B5" w:rsidP="003235C8">
            <w:pPr>
              <w:rPr>
                <w:lang w:eastAsia="zh-CN"/>
              </w:rPr>
            </w:pPr>
            <w:r>
              <w:rPr>
                <w:lang w:eastAsia="zh-CN"/>
              </w:rPr>
              <w:t xml:space="preserve">But for AS, if the UE reselects from the acceptable cell to a suitable cell, the UE has to wait until the </w:t>
            </w:r>
            <w:r w:rsidRPr="007D53B5">
              <w:rPr>
                <w:lang w:eastAsia="zh-CN"/>
              </w:rPr>
              <w:t>timer T3512 expires</w:t>
            </w:r>
            <w:r>
              <w:rPr>
                <w:lang w:eastAsia="zh-CN"/>
              </w:rPr>
              <w:t xml:space="preserve"> to initiate the </w:t>
            </w:r>
            <w:r w:rsidR="003235C8">
              <w:rPr>
                <w:lang w:eastAsia="zh-CN"/>
              </w:rPr>
              <w:t>registering. Before that, there is no way for the NW to control the NCR-MT.</w:t>
            </w:r>
          </w:p>
          <w:p w14:paraId="7955181E" w14:textId="5F98AA7F" w:rsidR="003235C8" w:rsidRDefault="003235C8" w:rsidP="003235C8">
            <w:pPr>
              <w:rPr>
                <w:lang w:eastAsia="zh-CN"/>
              </w:rPr>
            </w:pPr>
            <w:r>
              <w:rPr>
                <w:lang w:eastAsia="zh-CN"/>
              </w:rPr>
              <w:t xml:space="preserve">In this case, we are not sure there is no specs impact at all and prefer to further think about it since we still have one meeting. Suggest to propose like this: </w:t>
            </w:r>
          </w:p>
          <w:p w14:paraId="508B427D" w14:textId="442E9178" w:rsidR="003235C8" w:rsidRPr="003235C8" w:rsidRDefault="003235C8" w:rsidP="003235C8">
            <w:pPr>
              <w:rPr>
                <w:b/>
                <w:lang w:eastAsia="zh-CN"/>
              </w:rPr>
            </w:pPr>
            <w:r w:rsidRPr="003235C8">
              <w:rPr>
                <w:b/>
                <w:lang w:eastAsia="zh-CN"/>
              </w:rPr>
              <w:t>When NCR-MT camps on acceptable cell or when no cell is found, the NCR-MT shall enter limited service state</w:t>
            </w:r>
            <w:r>
              <w:rPr>
                <w:b/>
                <w:lang w:eastAsia="zh-CN"/>
              </w:rPr>
              <w:t xml:space="preserve"> </w:t>
            </w:r>
            <w:r w:rsidRPr="003235C8">
              <w:rPr>
                <w:b/>
                <w:u w:val="single"/>
                <w:lang w:eastAsia="zh-CN"/>
              </w:rPr>
              <w:t xml:space="preserve">and delay the periodic registration update procedure until the </w:t>
            </w:r>
            <w:r w:rsidRPr="003235C8">
              <w:rPr>
                <w:b/>
                <w:u w:val="single"/>
                <w:lang w:eastAsia="zh-CN"/>
              </w:rPr>
              <w:t>NCR-MT selects a suitable cell</w:t>
            </w:r>
            <w:r>
              <w:rPr>
                <w:b/>
                <w:u w:val="single"/>
                <w:lang w:eastAsia="zh-CN"/>
              </w:rPr>
              <w:t>, according to the exsiting mechanism</w:t>
            </w:r>
            <w:r w:rsidRPr="003235C8">
              <w:rPr>
                <w:b/>
                <w:lang w:eastAsia="zh-CN"/>
              </w:rPr>
              <w:t>.</w:t>
            </w:r>
            <w:r>
              <w:rPr>
                <w:b/>
                <w:lang w:eastAsia="zh-CN"/>
              </w:rPr>
              <w:t xml:space="preserve"> </w:t>
            </w:r>
            <w:r w:rsidRPr="003235C8">
              <w:rPr>
                <w:b/>
                <w:u w:val="single"/>
                <w:lang w:eastAsia="zh-CN"/>
              </w:rPr>
              <w:t>FFS whether anything is needed in AS layer.</w:t>
            </w:r>
            <w:r w:rsidRPr="003235C8">
              <w:rPr>
                <w:b/>
                <w:u w:val="single"/>
                <w:lang w:eastAsia="zh-CN"/>
              </w:rPr>
              <w:t xml:space="preserve"> </w:t>
            </w:r>
            <w:r w:rsidRPr="003235C8">
              <w:rPr>
                <w:b/>
                <w:strike/>
                <w:lang w:eastAsia="zh-CN"/>
              </w:rPr>
              <w:t>After the NCR-MT selects a suitable cell, its NAS layer will initiate registration procedure and NCR-MT will initiate RRC connection procedure. No need to specify new mechanism for this scenario.</w:t>
            </w:r>
            <w:r w:rsidRPr="003235C8">
              <w:rPr>
                <w:b/>
                <w:lang w:eastAsia="zh-CN"/>
              </w:rPr>
              <w:t xml:space="preserve"> </w:t>
            </w:r>
          </w:p>
          <w:p w14:paraId="426368B4" w14:textId="35CA1731" w:rsidR="003235C8" w:rsidRDefault="003235C8" w:rsidP="003235C8">
            <w:pPr>
              <w:rPr>
                <w:rFonts w:hint="eastAsia"/>
                <w:lang w:eastAsia="zh-CN"/>
              </w:rPr>
            </w:pP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lastRenderedPageBreak/>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RRCRelease,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In RAN2, we need to focus on our specification impact, so the question is whether to introduce explicit “wake-up timer” field in RRCRelease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Option 1: To define “wake-up timer” IE in RRCRelease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o not define “wake-up timer” IE in RRCRelease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The network may want to have different value for the wake up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We think using a timer similar to T380 can be used, T4XX can be a suitable name. It starts upon reception of the timer in RRCRelease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Timer values can be similar to or more coarse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gNB may not know when the wakeup timer has been configured or re-configured before releasing an NCR-MT to RRC idle. This means that some proprietary solution is need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24C68A1A"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w:t>
            </w:r>
            <w:r w:rsidR="00CD2CD0">
              <w:rPr>
                <w:rFonts w:asciiTheme="minorHAnsi" w:hAnsiTheme="minorHAnsi" w:cstheme="minorHAnsi"/>
                <w:lang w:eastAsia="zh-CN"/>
              </w:rPr>
              <w:pgNum/>
            </w:r>
            <w:r w:rsidR="00CD2CD0">
              <w:rPr>
                <w:rFonts w:asciiTheme="minorHAnsi" w:hAnsiTheme="minorHAnsi" w:cstheme="minorHAnsi"/>
                <w:lang w:eastAsia="zh-CN"/>
              </w:rPr>
              <w:t>ustifica</w:t>
            </w:r>
            <w:r w:rsidR="0049221D">
              <w:rPr>
                <w:rFonts w:asciiTheme="minorHAnsi" w:hAnsiTheme="minorHAnsi" w:cstheme="minorHAnsi"/>
                <w:lang w:eastAsia="zh-CN"/>
              </w:rPr>
              <w:t xml:space="preserve"> overhead will be introduced and the benefit of sending the NCR to a low power state will be lost, while if the timer is too long the gNB cannot change the NCR-Fwd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lastRenderedPageBreak/>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lastRenderedPageBreak/>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4C770A6"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r w:rsidR="00CD2CD0">
              <w:rPr>
                <w:lang w:eastAsia="zh-CN"/>
              </w:rPr>
              <w:pgNum/>
            </w:r>
            <w:r w:rsidR="00CD2CD0">
              <w:rPr>
                <w:lang w:eastAsia="zh-CN"/>
              </w:rPr>
              <w:t>ustification</w:t>
            </w:r>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 xml:space="preserve">We do not see a need for a specified solution.  The triggers for NCR-MT to move back to RRC_CONNECTED state can be left to NCR implementation (which may involve the timer or other solutions).  </w:t>
            </w:r>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727E3E85" w:rsidR="000C4027" w:rsidRDefault="00CD2CD0" w:rsidP="00516BBF">
            <w:pPr>
              <w:spacing w:after="0"/>
              <w:rPr>
                <w:lang w:eastAsia="zh-CN"/>
              </w:rPr>
            </w:pPr>
            <w:r>
              <w:rPr>
                <w:lang w:eastAsia="zh-CN"/>
              </w:rPr>
              <w:t>V</w:t>
            </w:r>
            <w:r w:rsidR="000C4027">
              <w:rPr>
                <w:lang w:eastAsia="zh-CN"/>
              </w:rPr>
              <w:t>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Otherwise, we do not any efficient way </w:t>
            </w:r>
            <w:r>
              <w:rPr>
                <w:rFonts w:hint="eastAsia"/>
              </w:rPr>
              <w:t>for</w:t>
            </w:r>
            <w:r>
              <w:t xml:space="preserve"> NCR-MT to get into RRC_CO</w:t>
            </w:r>
            <w:r>
              <w:rPr>
                <w:rFonts w:hint="eastAsia"/>
              </w:rPr>
              <w:t>NNECTED</w:t>
            </w:r>
            <w:r>
              <w:t xml:space="preserve"> state.</w:t>
            </w:r>
          </w:p>
        </w:tc>
      </w:tr>
      <w:tr w:rsidR="00CD2CD0" w:rsidRPr="00467409" w14:paraId="505F6BFF" w14:textId="77777777" w:rsidTr="00516BBF">
        <w:tc>
          <w:tcPr>
            <w:tcW w:w="1838" w:type="dxa"/>
          </w:tcPr>
          <w:p w14:paraId="32EF3C55" w14:textId="7657A652" w:rsidR="00CD2CD0" w:rsidRDefault="00CD2CD0" w:rsidP="00516BBF">
            <w:pPr>
              <w:spacing w:after="0"/>
              <w:rPr>
                <w:lang w:eastAsia="zh-CN"/>
              </w:rPr>
            </w:pPr>
            <w:r>
              <w:rPr>
                <w:rFonts w:hint="eastAsia"/>
                <w:lang w:eastAsia="zh-CN"/>
              </w:rPr>
              <w:t>H</w:t>
            </w:r>
            <w:r>
              <w:rPr>
                <w:lang w:eastAsia="zh-CN"/>
              </w:rPr>
              <w:t>uawei, HiSilicon</w:t>
            </w:r>
          </w:p>
        </w:tc>
        <w:tc>
          <w:tcPr>
            <w:tcW w:w="1228" w:type="dxa"/>
            <w:shd w:val="clear" w:color="auto" w:fill="auto"/>
          </w:tcPr>
          <w:p w14:paraId="1EEA6245" w14:textId="08B70371" w:rsidR="00CD2CD0" w:rsidRDefault="00CD2CD0" w:rsidP="00516BBF">
            <w:pPr>
              <w:spacing w:after="0"/>
              <w:rPr>
                <w:lang w:eastAsia="zh-CN"/>
              </w:rPr>
            </w:pPr>
            <w:r>
              <w:rPr>
                <w:rFonts w:hint="eastAsia"/>
                <w:lang w:eastAsia="zh-CN"/>
              </w:rPr>
              <w:t>O</w:t>
            </w:r>
            <w:r>
              <w:rPr>
                <w:lang w:eastAsia="zh-CN"/>
              </w:rPr>
              <w:t>ption 2 with comments</w:t>
            </w:r>
          </w:p>
        </w:tc>
        <w:tc>
          <w:tcPr>
            <w:tcW w:w="6284" w:type="dxa"/>
            <w:shd w:val="clear" w:color="auto" w:fill="auto"/>
          </w:tcPr>
          <w:p w14:paraId="7960BD69" w14:textId="77777777" w:rsidR="00CD2CD0" w:rsidRDefault="00CD2CD0" w:rsidP="00CD2CD0">
            <w:pPr>
              <w:rPr>
                <w:lang w:eastAsia="zh-CN"/>
              </w:rPr>
            </w:pPr>
            <w:r>
              <w:rPr>
                <w:lang w:eastAsia="zh-CN"/>
              </w:rPr>
              <w:t xml:space="preserve">The most important thing here is to clarify the scenario first. Because once the scenario is clear, the solution is clear. </w:t>
            </w:r>
          </w:p>
          <w:p w14:paraId="11C502DA" w14:textId="2D84B1B6" w:rsidR="00CD2CD0" w:rsidRDefault="00CD2CD0" w:rsidP="00CD2CD0">
            <w:pPr>
              <w:rPr>
                <w:lang w:eastAsia="zh-CN"/>
              </w:rPr>
            </w:pPr>
            <w:r>
              <w:rPr>
                <w:lang w:eastAsia="zh-CN"/>
              </w:rPr>
              <w:t>To us, the only valid use case for gNB to release the NCR-MT to RRC_IDLE is the need from NCR OAM. For instance, the NCR OAM may want to turn off the NCR node completely. Other than this case, we don’t see the necessity for gNB to release the NCR-MT to IDLE on intention without any request from NCR OAM. In any case, INACTIVE seems a better choice as mentioned by Nokia.</w:t>
            </w:r>
          </w:p>
          <w:p w14:paraId="20C8BF4B" w14:textId="0FEA292D" w:rsidR="00CD2CD0" w:rsidRDefault="00CD2CD0" w:rsidP="00CD2CD0">
            <w:pPr>
              <w:rPr>
                <w:lang w:eastAsia="zh-CN"/>
              </w:rPr>
            </w:pPr>
            <w:r>
              <w:rPr>
                <w:lang w:eastAsia="zh-CN"/>
              </w:rPr>
              <w:t>Then follow this logic, it is straightforward that the OAM can trigger the UE to RRC_CONNECTED by legacy paging, i.e., no timer is needed.</w:t>
            </w: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6"/>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NCR-Fwd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 xml:space="preserve">releasing to RRC_IDLE mode is supported, RAN2 need to discuss the NCR-Fwd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NCR-Fwd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lastRenderedPageBreak/>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NCR-Fwd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 xml:space="preserve">to enable NCR-Fwd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NCR-Fwd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 xml:space="preserve">t see why NCR-Fwd behaviour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NCR-Fwd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r w:rsidRPr="000F7406">
              <w:rPr>
                <w:rFonts w:asciiTheme="minorHAnsi" w:hAnsiTheme="minorHAnsi" w:cstheme="minorHAnsi"/>
                <w:lang w:eastAsia="zh-CN"/>
              </w:rPr>
              <w:t>Fwd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a FWD operation state, in particular, because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lastRenderedPageBreak/>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gNB wants to release the NCR-MT (for NCR power saving or for NW congestion), the gNB can release it to INACTIVE. We still assume the NCR-MT in IDLE is considered as a kind of unusual case (e.g., similar to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 xml:space="preserve">We agreed NCR-fwd to be OFF when RLF is detected. To align NCR-MT behavior when it is in RRC_IDLE state, we prefer NCR-Fwd to be OFF for simplicity.  Moreover, </w:t>
            </w:r>
            <w:r w:rsidRPr="00580B8C">
              <w:rPr>
                <w:rFonts w:asciiTheme="minorHAnsi" w:hAnsiTheme="minorHAnsi"/>
                <w:lang w:eastAsia="zh-CN"/>
              </w:rPr>
              <w:t>a</w:t>
            </w:r>
            <w:r w:rsidRPr="00580B8C">
              <w:rPr>
                <w:rFonts w:asciiTheme="minorHAnsi" w:hAnsiTheme="minorHAnsi"/>
                <w:lang w:val="en-GB" w:eastAsia="zh-CN"/>
              </w:rPr>
              <w:t>ccording</w:t>
            </w:r>
            <w:r>
              <w:rPr>
                <w:lang w:val="en-GB"/>
              </w:rPr>
              <w:t xml:space="preserve"> </w:t>
            </w:r>
            <w:r w:rsidRPr="00580B8C">
              <w:rPr>
                <w:rFonts w:asciiTheme="minorHAnsi" w:hAnsiTheme="minorHAnsi"/>
                <w:lang w:eastAsia="zh-CN"/>
              </w:rPr>
              <w:t>to TS 38.331 [2], when UE goes to RRC_IDLE state, the UE shall discard the UE Inactive AS context, as well as release all radio resources, including RLC entity, MAC configuration, etc. The gNB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NCR-Fwd can be turned OFF.</w:t>
            </w:r>
          </w:p>
          <w:p w14:paraId="10B0E283" w14:textId="056A834E" w:rsidR="00401033" w:rsidRDefault="00401033" w:rsidP="00401033">
            <w:pPr>
              <w:spacing w:after="0"/>
              <w:rPr>
                <w:rFonts w:eastAsia="Yu Mincho"/>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t>vivo</w:t>
            </w:r>
          </w:p>
        </w:tc>
        <w:tc>
          <w:tcPr>
            <w:tcW w:w="1228" w:type="dxa"/>
          </w:tcPr>
          <w:p w14:paraId="163CD31B" w14:textId="77777777" w:rsidR="000C4027" w:rsidRDefault="000C4027" w:rsidP="00401033">
            <w:pPr>
              <w:spacing w:after="0"/>
              <w:rPr>
                <w:lang w:eastAsia="zh-CN"/>
              </w:rPr>
            </w:pPr>
          </w:p>
        </w:tc>
        <w:tc>
          <w:tcPr>
            <w:tcW w:w="6284" w:type="dxa"/>
          </w:tcPr>
          <w:p w14:paraId="367B6F5A" w14:textId="3E9DD132" w:rsidR="000C4027" w:rsidRDefault="000C4027" w:rsidP="000C4027">
            <w:pPr>
              <w:rPr>
                <w:lang w:eastAsia="zh-CN"/>
              </w:rPr>
            </w:pPr>
            <w:r>
              <w:t>gree with Rapp that Option 2 is aligned with principle agreed for RRC_INACTIVE state and no additional specification effort is needed.</w:t>
            </w:r>
          </w:p>
        </w:tc>
      </w:tr>
      <w:tr w:rsidR="00CD2CD0" w:rsidRPr="00467409" w14:paraId="700410F2" w14:textId="77777777" w:rsidTr="009F765F">
        <w:tc>
          <w:tcPr>
            <w:tcW w:w="1838" w:type="dxa"/>
          </w:tcPr>
          <w:p w14:paraId="48A4852F" w14:textId="670B1457" w:rsidR="00CD2CD0" w:rsidRDefault="00CD2CD0" w:rsidP="00401033">
            <w:pPr>
              <w:spacing w:after="0"/>
              <w:rPr>
                <w:lang w:eastAsia="zh-CN"/>
              </w:rPr>
            </w:pPr>
            <w:r>
              <w:rPr>
                <w:rFonts w:hint="eastAsia"/>
                <w:lang w:eastAsia="zh-CN"/>
              </w:rPr>
              <w:t>H</w:t>
            </w:r>
            <w:r>
              <w:rPr>
                <w:lang w:eastAsia="zh-CN"/>
              </w:rPr>
              <w:t>uawei, HiSilicon</w:t>
            </w:r>
          </w:p>
        </w:tc>
        <w:tc>
          <w:tcPr>
            <w:tcW w:w="1228" w:type="dxa"/>
          </w:tcPr>
          <w:p w14:paraId="6A963FF4" w14:textId="149FC689" w:rsidR="00CD2CD0" w:rsidRDefault="00CD2CD0" w:rsidP="00401033">
            <w:pPr>
              <w:spacing w:after="0"/>
              <w:rPr>
                <w:lang w:eastAsia="zh-CN"/>
              </w:rPr>
            </w:pPr>
            <w:r>
              <w:rPr>
                <w:rFonts w:hint="eastAsia"/>
                <w:lang w:eastAsia="zh-CN"/>
              </w:rPr>
              <w:t>O</w:t>
            </w:r>
            <w:r>
              <w:rPr>
                <w:lang w:eastAsia="zh-CN"/>
              </w:rPr>
              <w:t>ption 1</w:t>
            </w:r>
          </w:p>
        </w:tc>
        <w:tc>
          <w:tcPr>
            <w:tcW w:w="6284" w:type="dxa"/>
          </w:tcPr>
          <w:p w14:paraId="1F28DEFD" w14:textId="77777777" w:rsidR="00CD2CD0" w:rsidRDefault="00CD2CD0" w:rsidP="000C4027">
            <w:pPr>
              <w:rPr>
                <w:lang w:eastAsia="zh-CN"/>
              </w:rPr>
            </w:pPr>
            <w:r>
              <w:rPr>
                <w:rFonts w:hint="eastAsia"/>
                <w:lang w:eastAsia="zh-CN"/>
              </w:rPr>
              <w:t>S</w:t>
            </w:r>
            <w:r>
              <w:rPr>
                <w:lang w:eastAsia="zh-CN"/>
              </w:rPr>
              <w:t>ee our above comments.</w:t>
            </w:r>
          </w:p>
          <w:p w14:paraId="2120525A" w14:textId="78ABC518" w:rsidR="00CD2CD0" w:rsidRDefault="00CD2CD0" w:rsidP="00CD2CD0">
            <w:pPr>
              <w:rPr>
                <w:lang w:eastAsia="zh-CN"/>
              </w:rPr>
            </w:pPr>
            <w:r>
              <w:rPr>
                <w:lang w:eastAsia="zh-CN"/>
              </w:rPr>
              <w:t>Similarly, this question is also related to the use case for releasing the NCR-MT to IDLE. As the need comes from OAM, then it is not logical to still follow gNB’s last configuration. So the Fwd should be OFF state.</w:t>
            </w: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NCR-Fwd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NCR-Fwd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to clarify that only periodic beam indication configuration is feasible for NCR-Fwd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RRCReconfiguration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RRCRelease). The NCR-Fwd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lastRenderedPageBreak/>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r>
              <w:rPr>
                <w:rFonts w:asciiTheme="minorHAnsi" w:hAnsiTheme="minorHAnsi"/>
                <w:lang w:eastAsia="zh-CN"/>
              </w:rPr>
              <w:t>Yes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NCR-Fwd can still stay ON when beam configured by DCI/MAC CE are still active. After beams configured by MAC CE/DCI is inactive, NCR-Fwd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r w:rsidR="00CD2CD0" w:rsidRPr="00467409" w14:paraId="169BBE7E" w14:textId="77777777" w:rsidTr="00221521">
        <w:tc>
          <w:tcPr>
            <w:tcW w:w="1826" w:type="dxa"/>
          </w:tcPr>
          <w:p w14:paraId="61D5D247" w14:textId="6FE7A1C4" w:rsidR="00CD2CD0" w:rsidRDefault="00CD2CD0" w:rsidP="00090C30">
            <w:pPr>
              <w:spacing w:after="0"/>
              <w:rPr>
                <w:lang w:eastAsia="zh-CN"/>
              </w:rPr>
            </w:pPr>
            <w:r>
              <w:rPr>
                <w:rFonts w:hint="eastAsia"/>
                <w:lang w:eastAsia="zh-CN"/>
              </w:rPr>
              <w:t>H</w:t>
            </w:r>
            <w:r>
              <w:rPr>
                <w:lang w:eastAsia="zh-CN"/>
              </w:rPr>
              <w:t>uawei, HiSilicon</w:t>
            </w:r>
          </w:p>
        </w:tc>
        <w:tc>
          <w:tcPr>
            <w:tcW w:w="1076" w:type="dxa"/>
          </w:tcPr>
          <w:p w14:paraId="62F0E8FA" w14:textId="359B201D" w:rsidR="00CD2CD0" w:rsidRDefault="00CD2CD0" w:rsidP="00090C30">
            <w:pPr>
              <w:spacing w:after="0"/>
              <w:rPr>
                <w:lang w:eastAsia="zh-CN"/>
              </w:rPr>
            </w:pPr>
            <w:r>
              <w:rPr>
                <w:lang w:eastAsia="zh-CN"/>
              </w:rPr>
              <w:t>No</w:t>
            </w:r>
          </w:p>
        </w:tc>
        <w:tc>
          <w:tcPr>
            <w:tcW w:w="6448" w:type="dxa"/>
          </w:tcPr>
          <w:p w14:paraId="4F2697D6" w14:textId="0B6D664C" w:rsidR="00CD2CD0" w:rsidRDefault="00CD2CD0" w:rsidP="00C4049D">
            <w:pPr>
              <w:spacing w:after="0"/>
              <w:rPr>
                <w:lang w:eastAsia="zh-CN"/>
              </w:rPr>
            </w:pPr>
            <w:r>
              <w:rPr>
                <w:rFonts w:hint="eastAsia"/>
                <w:lang w:eastAsia="zh-CN"/>
              </w:rPr>
              <w:t>N</w:t>
            </w:r>
            <w:r>
              <w:rPr>
                <w:lang w:eastAsia="zh-CN"/>
              </w:rPr>
              <w:t>ot sure why Type 2 and Type 3 are not applied to RRC_INACTIVE</w:t>
            </w:r>
            <w:r w:rsidR="00C4049D">
              <w:rPr>
                <w:lang w:eastAsia="zh-CN"/>
              </w:rPr>
              <w:t>. The intention of releasing the NCR-MT to RRC_INACTVIE may be the NW doesn’t want to change the Fwd operation for a while. So all indications received during RRC_CONNECTED can be followed. If the NW wants to change anything, it can anyway paging the NCR-MT back to RRC_CONNECTD.</w:t>
            </w: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addition, another question is whether/when the NCR-MT should discard the beam indication configuration? As agreed in RAN2#120, the NCR-Fwd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RRCResume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19"/>
        <w:gridCol w:w="1139"/>
        <w:gridCol w:w="6392"/>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hand it could be useful to be explicit. Actually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reselects a different cell. If we do care about ping-pong, then the configuration will be kept until it has been override by gNB in a new RRCReconfiguration</w:t>
            </w:r>
            <w:r w:rsidR="0054623B">
              <w:rPr>
                <w:lang w:eastAsia="zh-CN"/>
              </w:rPr>
              <w:t xml:space="preserve"> or RRCResume</w:t>
            </w:r>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RRCResumeRequest.</w:t>
            </w:r>
            <w:r w:rsidR="0054623B">
              <w:rPr>
                <w:lang w:eastAsia="zh-CN"/>
              </w:rPr>
              <w:t xml:space="preserve"> It is very possible that the RRC Resume procedure may fail. If we follow the proposal and the RRC resuem procedure fails, then we create a singular state where NCR-MT is still vulnerable to “Ping-pong” but having no “last configuration” at all.</w:t>
            </w:r>
          </w:p>
        </w:tc>
      </w:tr>
      <w:tr w:rsidR="000F6097" w:rsidRPr="00467409" w14:paraId="379E6B07" w14:textId="77777777" w:rsidTr="000B04CC">
        <w:trPr>
          <w:trHeight w:val="278"/>
        </w:trPr>
        <w:tc>
          <w:tcPr>
            <w:tcW w:w="1838" w:type="dxa"/>
          </w:tcPr>
          <w:p w14:paraId="65F75BF2" w14:textId="61A8E9F5" w:rsidR="000F6097" w:rsidRDefault="000F6097" w:rsidP="000F6097">
            <w:pPr>
              <w:spacing w:after="0"/>
              <w:rPr>
                <w:lang w:eastAsia="zh-CN"/>
              </w:rPr>
            </w:pPr>
            <w:r>
              <w:rPr>
                <w:lang w:eastAsia="zh-CN"/>
              </w:rPr>
              <w:t>Qualcomm</w:t>
            </w:r>
          </w:p>
        </w:tc>
        <w:tc>
          <w:tcPr>
            <w:tcW w:w="992" w:type="dxa"/>
          </w:tcPr>
          <w:p w14:paraId="5D8F3D76" w14:textId="2824589D" w:rsidR="000F6097" w:rsidRDefault="000F6097" w:rsidP="000F6097">
            <w:pPr>
              <w:spacing w:after="0"/>
              <w:rPr>
                <w:lang w:eastAsia="zh-CN"/>
              </w:rPr>
            </w:pPr>
            <w:r>
              <w:rPr>
                <w:lang w:eastAsia="zh-CN"/>
              </w:rPr>
              <w:t>Yes</w:t>
            </w:r>
          </w:p>
        </w:tc>
        <w:tc>
          <w:tcPr>
            <w:tcW w:w="6520"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0B04CC">
        <w:trPr>
          <w:trHeight w:val="278"/>
        </w:trPr>
        <w:tc>
          <w:tcPr>
            <w:tcW w:w="1838"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992" w:type="dxa"/>
          </w:tcPr>
          <w:p w14:paraId="6283013C" w14:textId="42963978" w:rsidR="00EE2604" w:rsidRDefault="00EE2604" w:rsidP="00EE2604">
            <w:pPr>
              <w:spacing w:after="0"/>
              <w:rPr>
                <w:lang w:eastAsia="zh-CN"/>
              </w:rPr>
            </w:pPr>
            <w:r>
              <w:rPr>
                <w:rFonts w:eastAsia="Yu Mincho"/>
                <w:lang w:eastAsia="ja-JP"/>
              </w:rPr>
              <w:t>-</w:t>
            </w:r>
          </w:p>
        </w:tc>
        <w:tc>
          <w:tcPr>
            <w:tcW w:w="6520" w:type="dxa"/>
          </w:tcPr>
          <w:p w14:paraId="56D337A2" w14:textId="182788A3" w:rsidR="00EE2604" w:rsidRDefault="00EE2604" w:rsidP="00EE2604">
            <w:pPr>
              <w:spacing w:after="0"/>
              <w:rPr>
                <w:lang w:eastAsia="zh-CN"/>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0B04CC">
        <w:trPr>
          <w:trHeight w:val="278"/>
        </w:trPr>
        <w:tc>
          <w:tcPr>
            <w:tcW w:w="1838" w:type="dxa"/>
          </w:tcPr>
          <w:p w14:paraId="6AD1D13D" w14:textId="237C35CC" w:rsidR="00244408" w:rsidRDefault="00244408" w:rsidP="00244408">
            <w:pPr>
              <w:spacing w:after="0"/>
              <w:rPr>
                <w:rFonts w:eastAsia="Yu Mincho"/>
                <w:lang w:eastAsia="ja-JP"/>
              </w:rPr>
            </w:pPr>
            <w:r>
              <w:rPr>
                <w:rFonts w:asciiTheme="minorHAnsi" w:hAnsiTheme="minorHAnsi"/>
                <w:lang w:eastAsia="zh-CN"/>
              </w:rPr>
              <w:t>Intel</w:t>
            </w:r>
          </w:p>
        </w:tc>
        <w:tc>
          <w:tcPr>
            <w:tcW w:w="992"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520"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signalling optimization – if the configuration is retained, delta configuration can be applied in the Resume message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0B04CC">
        <w:trPr>
          <w:trHeight w:val="278"/>
        </w:trPr>
        <w:tc>
          <w:tcPr>
            <w:tcW w:w="1838" w:type="dxa"/>
          </w:tcPr>
          <w:p w14:paraId="18382518" w14:textId="19A9DC21" w:rsidR="00CA4872" w:rsidRDefault="00CA4872" w:rsidP="00244408">
            <w:pPr>
              <w:spacing w:after="0"/>
              <w:rPr>
                <w:lang w:eastAsia="zh-CN"/>
              </w:rPr>
            </w:pPr>
            <w:r>
              <w:rPr>
                <w:lang w:eastAsia="zh-CN"/>
              </w:rPr>
              <w:t>vivo</w:t>
            </w:r>
          </w:p>
        </w:tc>
        <w:tc>
          <w:tcPr>
            <w:tcW w:w="992" w:type="dxa"/>
          </w:tcPr>
          <w:p w14:paraId="3CF3BE05" w14:textId="4F71759A" w:rsidR="00CA4872" w:rsidRDefault="00CA4872" w:rsidP="00244408">
            <w:pPr>
              <w:spacing w:after="0"/>
              <w:rPr>
                <w:lang w:eastAsia="zh-CN"/>
              </w:rPr>
            </w:pPr>
            <w:r>
              <w:rPr>
                <w:lang w:eastAsia="zh-CN"/>
              </w:rPr>
              <w:t>Yes</w:t>
            </w:r>
          </w:p>
        </w:tc>
        <w:tc>
          <w:tcPr>
            <w:tcW w:w="6520" w:type="dxa"/>
          </w:tcPr>
          <w:p w14:paraId="6DCD9769" w14:textId="7CD0866F" w:rsidR="00CA4872" w:rsidRDefault="00CA4872" w:rsidP="00244408">
            <w:pPr>
              <w:spacing w:after="0"/>
              <w:rPr>
                <w:lang w:eastAsia="zh-CN"/>
              </w:rPr>
            </w:pPr>
            <w:r>
              <w:rPr>
                <w:lang w:eastAsia="zh-CN"/>
              </w:rPr>
              <w:t>Agree with Rapp.</w:t>
            </w:r>
          </w:p>
        </w:tc>
      </w:tr>
      <w:tr w:rsidR="00AC5B9B" w:rsidRPr="00467409" w14:paraId="12087715" w14:textId="77777777" w:rsidTr="000B04CC">
        <w:trPr>
          <w:trHeight w:val="278"/>
        </w:trPr>
        <w:tc>
          <w:tcPr>
            <w:tcW w:w="1838" w:type="dxa"/>
          </w:tcPr>
          <w:p w14:paraId="50C05350" w14:textId="69CD1168" w:rsidR="00AC5B9B" w:rsidRDefault="00AC5B9B" w:rsidP="00244408">
            <w:pPr>
              <w:spacing w:after="0"/>
              <w:rPr>
                <w:lang w:eastAsia="zh-CN"/>
              </w:rPr>
            </w:pPr>
            <w:r>
              <w:rPr>
                <w:rFonts w:hint="eastAsia"/>
                <w:lang w:eastAsia="zh-CN"/>
              </w:rPr>
              <w:t>H</w:t>
            </w:r>
            <w:r>
              <w:rPr>
                <w:lang w:eastAsia="zh-CN"/>
              </w:rPr>
              <w:t>uawei, HiSilicon</w:t>
            </w:r>
          </w:p>
        </w:tc>
        <w:tc>
          <w:tcPr>
            <w:tcW w:w="992" w:type="dxa"/>
          </w:tcPr>
          <w:p w14:paraId="7D48F535" w14:textId="78F23F25" w:rsidR="00AC5B9B" w:rsidRDefault="00AC5B9B" w:rsidP="00244408">
            <w:pPr>
              <w:spacing w:after="0"/>
              <w:rPr>
                <w:lang w:eastAsia="zh-CN"/>
              </w:rPr>
            </w:pPr>
            <w:r>
              <w:rPr>
                <w:lang w:eastAsia="zh-CN"/>
              </w:rPr>
              <w:t>See comments</w:t>
            </w:r>
          </w:p>
        </w:tc>
        <w:tc>
          <w:tcPr>
            <w:tcW w:w="6520" w:type="dxa"/>
          </w:tcPr>
          <w:p w14:paraId="72F3E797" w14:textId="4C9FA0A7" w:rsidR="00AC5B9B" w:rsidRDefault="00AC5B9B" w:rsidP="00244408">
            <w:pPr>
              <w:spacing w:after="0"/>
              <w:rPr>
                <w:lang w:eastAsia="zh-CN"/>
              </w:rPr>
            </w:pPr>
            <w:r>
              <w:rPr>
                <w:lang w:eastAsia="zh-CN"/>
              </w:rPr>
              <w:t>Actually, we see no benefit for the UE to store the configuration of the source cell after re-selection. We agreed to turn off the Fwd after the re-selection. Even if</w:t>
            </w:r>
            <w:r w:rsidR="0070765C">
              <w:rPr>
                <w:lang w:eastAsia="zh-CN"/>
              </w:rPr>
              <w:t xml:space="preserve"> the Ping-P</w:t>
            </w:r>
            <w:r>
              <w:rPr>
                <w:lang w:eastAsia="zh-CN"/>
              </w:rPr>
              <w:t xml:space="preserve">ong happens, the Fwd cannot use the original configuration since the Fwd is OFF. Then what is the use to store the configuration? So our view is this should be left to </w:t>
            </w:r>
            <w:r w:rsidR="0070765C">
              <w:rPr>
                <w:lang w:eastAsia="zh-CN"/>
              </w:rPr>
              <w:t xml:space="preserve">UE </w:t>
            </w:r>
            <w:r>
              <w:rPr>
                <w:lang w:eastAsia="zh-CN"/>
              </w:rPr>
              <w:t>implementation and no need for spec impact.</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lastRenderedPageBreak/>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6"/>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NCR-Fwd is OFF;</w:t>
            </w:r>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NCR-Fwd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 xml:space="preserve">In the CR we only have text on turning OFF NCR-Fwd if the NCR-MT starts the action of performing RRC re-establishment. Similar to BFR operation as agreed in RAN1 (as is also captured in the MAC spec), we need to add turning on NCR-Fwd after successfully re-establishing. This can probably be done when NCR-MT has received RRCReestablishment. </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7BB94C0C" w14:textId="53B38220" w:rsidR="000F6097" w:rsidRPr="00467409"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7513" w:type="dxa"/>
          </w:tcPr>
          <w:p w14:paraId="7A653036"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C56D885" w14:textId="16F78F51" w:rsidR="009B233F" w:rsidRPr="00467409" w:rsidRDefault="009B233F" w:rsidP="009B233F">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ndrew Lappalainen (Nokia)" w:date="2023-03-27T14:15:00Z" w:initials="AL(">
    <w:p w14:paraId="6DABFF98" w14:textId="5ED81385" w:rsidR="009F2582" w:rsidRDefault="009F2582">
      <w:pPr>
        <w:pStyle w:val="a9"/>
      </w:pPr>
      <w:r>
        <w:t xml:space="preserve">Order of </w:t>
      </w:r>
      <w:r>
        <w:rPr>
          <w:rStyle w:val="a8"/>
        </w:rPr>
        <w:annotationRef/>
      </w:r>
      <w:r>
        <w:t>Case 1 and Case 2 are switched compared to their descriptions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BFF98" w16cid:durableId="27CC23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9387" w14:textId="77777777" w:rsidR="00AE39B8" w:rsidRDefault="00AE39B8" w:rsidP="00094E6A">
      <w:pPr>
        <w:spacing w:after="0"/>
      </w:pPr>
      <w:r>
        <w:separator/>
      </w:r>
    </w:p>
  </w:endnote>
  <w:endnote w:type="continuationSeparator" w:id="0">
    <w:p w14:paraId="26501B78" w14:textId="77777777" w:rsidR="00AE39B8" w:rsidRDefault="00AE39B8" w:rsidP="00094E6A">
      <w:pPr>
        <w:spacing w:after="0"/>
      </w:pPr>
      <w:r>
        <w:continuationSeparator/>
      </w:r>
    </w:p>
  </w:endnote>
  <w:endnote w:type="continuationNotice" w:id="1">
    <w:p w14:paraId="64D49E3D" w14:textId="77777777" w:rsidR="00AE39B8" w:rsidRDefault="00AE3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00"/>
    <w:family w:val="roman"/>
    <w:pitch w:val="default"/>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E1234" w14:textId="77777777" w:rsidR="00AE39B8" w:rsidRDefault="00AE39B8" w:rsidP="00094E6A">
      <w:pPr>
        <w:spacing w:after="0"/>
      </w:pPr>
      <w:r>
        <w:separator/>
      </w:r>
    </w:p>
  </w:footnote>
  <w:footnote w:type="continuationSeparator" w:id="0">
    <w:p w14:paraId="0A601753" w14:textId="77777777" w:rsidR="00AE39B8" w:rsidRDefault="00AE39B8" w:rsidP="00094E6A">
      <w:pPr>
        <w:spacing w:after="0"/>
      </w:pPr>
      <w:r>
        <w:continuationSeparator/>
      </w:r>
    </w:p>
  </w:footnote>
  <w:footnote w:type="continuationNotice" w:id="1">
    <w:p w14:paraId="6F27A9AC" w14:textId="77777777" w:rsidR="00AE39B8" w:rsidRDefault="00AE39B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23"/>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6"/>
  </w:num>
  <w:num w:numId="20">
    <w:abstractNumId w:val="9"/>
  </w:num>
  <w:num w:numId="21">
    <w:abstractNumId w:val="14"/>
  </w:num>
  <w:num w:numId="22">
    <w:abstractNumId w:val="3"/>
  </w:num>
  <w:num w:numId="23">
    <w:abstractNumId w:val="2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4"/>
  </w:num>
  <w:num w:numId="28">
    <w:abstractNumId w:val="22"/>
  </w:num>
  <w:num w:numId="29">
    <w:abstractNumId w:val="11"/>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46B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5C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0765C"/>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3B5"/>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5B9B"/>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9B8"/>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32B5"/>
    <w:rsid w:val="00BF352E"/>
    <w:rsid w:val="00BF408B"/>
    <w:rsid w:val="00BF4227"/>
    <w:rsid w:val="00BF4266"/>
    <w:rsid w:val="00BF7313"/>
    <w:rsid w:val="00BF7403"/>
    <w:rsid w:val="00C00FE3"/>
    <w:rsid w:val="00C028BD"/>
    <w:rsid w:val="00C03623"/>
    <w:rsid w:val="00C04BA5"/>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049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2CD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994"/>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D7FC9"/>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C8"/>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EE1029"/>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25EFB-3812-4341-80DF-DE7D76A5740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134</TotalTime>
  <Pages>1</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Huawei-Xubin</cp:lastModifiedBy>
  <cp:revision>5</cp:revision>
  <dcterms:created xsi:type="dcterms:W3CDTF">2023-03-31T03:33:00Z</dcterms:created>
  <dcterms:modified xsi:type="dcterms:W3CDTF">2023-03-31T09:06:00Z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