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17D07"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3GPP TSG-RAN WG2 Meeting #12</w:t>
      </w:r>
      <w:r w:rsidRPr="005C4803">
        <w:rPr>
          <w:rFonts w:ascii="Arial" w:eastAsia="宋体" w:hAnsi="Arial" w:hint="eastAsia"/>
          <w:b/>
          <w:sz w:val="24"/>
          <w:lang w:eastAsia="ja-JP"/>
        </w:rPr>
        <w:t>2</w:t>
      </w:r>
      <w:r w:rsidRPr="005C4803">
        <w:rPr>
          <w:rFonts w:ascii="Arial" w:eastAsia="宋体" w:hAnsi="Arial"/>
          <w:b/>
          <w:sz w:val="24"/>
          <w:lang w:eastAsia="ja-JP"/>
        </w:rPr>
        <w:t xml:space="preserve">                                                            R2-230</w:t>
      </w:r>
      <w:r w:rsidRPr="005C4803">
        <w:rPr>
          <w:rFonts w:ascii="Arial" w:eastAsia="宋体" w:hAnsi="Arial" w:hint="eastAsia"/>
          <w:b/>
          <w:sz w:val="24"/>
          <w:lang w:eastAsia="ja-JP"/>
        </w:rPr>
        <w:t>x</w:t>
      </w:r>
      <w:r w:rsidRPr="005C4803">
        <w:rPr>
          <w:rFonts w:ascii="Arial" w:eastAsia="宋体" w:hAnsi="Arial"/>
          <w:b/>
          <w:sz w:val="24"/>
          <w:lang w:eastAsia="ja-JP"/>
        </w:rPr>
        <w:t>xxx</w:t>
      </w:r>
    </w:p>
    <w:p w14:paraId="08317D08"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 xml:space="preserve">Incheon, KR, </w:t>
      </w:r>
      <w:r w:rsidRPr="005C4803">
        <w:rPr>
          <w:rFonts w:ascii="Arial" w:eastAsia="宋体" w:hAnsi="Arial" w:hint="eastAsia"/>
          <w:b/>
          <w:sz w:val="24"/>
          <w:lang w:eastAsia="ja-JP"/>
        </w:rPr>
        <w:t>May</w:t>
      </w:r>
      <w:r w:rsidRPr="005C4803">
        <w:rPr>
          <w:rFonts w:ascii="Arial" w:eastAsia="宋体" w:hAnsi="Arial"/>
          <w:b/>
          <w:sz w:val="24"/>
          <w:lang w:eastAsia="ja-JP"/>
        </w:rPr>
        <w:t xml:space="preserve"> 2</w:t>
      </w:r>
      <w:r w:rsidRPr="005C4803">
        <w:rPr>
          <w:rFonts w:ascii="Arial" w:eastAsia="宋体" w:hAnsi="Arial" w:hint="eastAsia"/>
          <w:b/>
          <w:sz w:val="24"/>
          <w:lang w:eastAsia="ja-JP"/>
        </w:rPr>
        <w:t>2</w:t>
      </w:r>
      <w:r w:rsidRPr="005C4803">
        <w:rPr>
          <w:rFonts w:ascii="Arial" w:eastAsia="宋体" w:hAnsi="Arial"/>
          <w:b/>
          <w:sz w:val="24"/>
          <w:lang w:eastAsia="ja-JP"/>
        </w:rPr>
        <w:t>-</w:t>
      </w:r>
      <w:r w:rsidRPr="005C4803">
        <w:rPr>
          <w:rFonts w:ascii="Arial" w:eastAsia="宋体" w:hAnsi="Arial" w:hint="eastAsia"/>
          <w:b/>
          <w:sz w:val="24"/>
          <w:lang w:eastAsia="ja-JP"/>
        </w:rPr>
        <w:t xml:space="preserve"> May 26</w:t>
      </w:r>
      <w:r w:rsidRPr="005C4803">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2"/>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宋体"/>
                <w:lang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r>
              <w:t>NR_IDC_enh-Core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宋体"/>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宋体"/>
                <w:lang w:eastAsia="zh-CN"/>
              </w:rPr>
            </w:pPr>
            <w:r>
              <w:t>Rel-1</w:t>
            </w:r>
            <w:r>
              <w:rPr>
                <w:rFonts w:eastAsia="宋体"/>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宋体"/>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宋体"/>
                <w:lang w:val="en-US" w:eastAsia="zh-CN"/>
              </w:rPr>
            </w:pPr>
            <w:r>
              <w:t>Rel-18 IDC solutions are</w:t>
            </w:r>
            <w:r>
              <w:rPr>
                <w:rFonts w:hint="eastAsia"/>
              </w:rPr>
              <w:t xml:space="preserve"> </w:t>
            </w:r>
            <w:r>
              <w:t xml:space="preserve">not supported in </w:t>
            </w:r>
            <w:r>
              <w:rPr>
                <w:rFonts w:eastAsia="宋体"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620AB35E" w:rsidR="002B59CC" w:rsidRDefault="00F931BD">
            <w:pPr>
              <w:pStyle w:val="CRCoverPage"/>
              <w:spacing w:after="0"/>
              <w:rPr>
                <w:rFonts w:eastAsia="宋体"/>
                <w:lang w:val="en-US" w:eastAsia="zh-CN"/>
              </w:rPr>
            </w:pPr>
            <w:r>
              <w:rPr>
                <w:rFonts w:eastAsia="宋体" w:hint="eastAsia"/>
                <w:lang w:val="en-US" w:eastAsia="zh-CN"/>
              </w:rPr>
              <w:t>7</w:t>
            </w:r>
            <w:r>
              <w:rPr>
                <w:rFonts w:eastAsia="宋体"/>
                <w:lang w:val="en-US" w:eastAsia="zh-CN"/>
              </w:rPr>
              <w:t>.10</w:t>
            </w:r>
            <w:commentRangeStart w:id="0"/>
            <w:commentRangeStart w:id="1"/>
            <w:r>
              <w:rPr>
                <w:rFonts w:eastAsia="宋体" w:hint="eastAsia"/>
                <w:lang w:val="en-US" w:eastAsia="zh-CN"/>
              </w:rPr>
              <w:t>/</w:t>
            </w:r>
            <w:commentRangeEnd w:id="0"/>
            <w:r w:rsidR="00B91DEF">
              <w:rPr>
                <w:rStyle w:val="af3"/>
                <w:rFonts w:ascii="Times New Roman" w:eastAsia="Times New Roman" w:hAnsi="Times New Roman"/>
                <w:lang w:eastAsia="ja-JP"/>
              </w:rPr>
              <w:commentReference w:id="0"/>
            </w:r>
            <w:commentRangeEnd w:id="1"/>
            <w:r w:rsidR="00CD3195">
              <w:rPr>
                <w:rStyle w:val="af3"/>
                <w:rFonts w:ascii="Times New Roman" w:eastAsia="Times New Roman" w:hAnsi="Times New Roman"/>
                <w:lang w:eastAsia="ja-JP"/>
              </w:rPr>
              <w:commentReference w:id="1"/>
            </w:r>
            <w:r>
              <w:rPr>
                <w:rFonts w:eastAsia="宋体" w:hint="eastAsia"/>
                <w:lang w:val="en-US" w:eastAsia="zh-CN"/>
              </w:rPr>
              <w:t>1</w:t>
            </w:r>
            <w:r>
              <w:rPr>
                <w:rFonts w:eastAsia="宋体"/>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2" w:name="_Toc46492800"/>
      <w:bookmarkStart w:id="3" w:name="_Toc52568326"/>
      <w:bookmarkStart w:id="4" w:name="_Toc124526249"/>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2"/>
      <w:bookmarkEnd w:id="3"/>
      <w:bookmarkEnd w:id="4"/>
    </w:p>
    <w:p w14:paraId="08317D97" w14:textId="77777777" w:rsidR="002B59CC" w:rsidRPr="00667A44" w:rsidRDefault="00F931BD" w:rsidP="00667A44">
      <w:pPr>
        <w:rPr>
          <w:rFonts w:eastAsia="宋体"/>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宋体"/>
          <w:lang w:eastAsia="zh-CN"/>
        </w:rPr>
        <w:t>re</w:t>
      </w:r>
      <w:r w:rsidRPr="00F931BD">
        <w:rPr>
          <w:rFonts w:eastAsia="Times New Roman"/>
          <w:lang w:eastAsia="ja-JP"/>
        </w:rPr>
        <w:t xml:space="preserve">fers the SCG to be deactivated, the minimum scheduling offset for cross-slot scheduling cycle length, </w:t>
      </w:r>
      <w:del w:id="5"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6" w:author="RAN2#122" w:date="2023-03-20T16:13:00Z">
        <w:r>
          <w:rPr>
            <w:rFonts w:hint="eastAsia"/>
          </w:rPr>
          <w:t>, and/or whether the UE is experiencing IDC problem</w:t>
        </w:r>
      </w:ins>
      <w:ins w:id="7"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8" w:author="RAN2#122" w:date="2023-03-20T16:14:00Z">
        <w:r>
          <w:rPr>
            <w:rFonts w:eastAsia="Times New Roman"/>
            <w:lang w:eastAsia="ja-JP"/>
          </w:rPr>
          <w:t xml:space="preserve"> </w:t>
        </w:r>
        <w:r>
          <w:rPr>
            <w:rFonts w:hint="eastAsia"/>
          </w:rPr>
          <w:t>or how to solve the IDC problem</w:t>
        </w:r>
      </w:ins>
      <w:ins w:id="9" w:author="RAN2#122" w:date="2023-03-20T17:13:00Z">
        <w:r w:rsidR="00444A08">
          <w:t>s</w:t>
        </w:r>
      </w:ins>
      <w:r w:rsidRPr="00F931BD">
        <w:rPr>
          <w:rFonts w:eastAsia="Times New Roman"/>
          <w:lang w:eastAsia="ja-JP"/>
        </w:rPr>
        <w:t>. SCG specific UE assistance information for power saving</w:t>
      </w:r>
      <w:ins w:id="10"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11"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2" w:author="RAN2#122" w:date="2023-03-20T16:15:00Z">
        <w:r>
          <w:rPr>
            <w:rFonts w:hint="eastAsia"/>
          </w:rPr>
          <w:t>or IDC</w:t>
        </w:r>
        <w:r>
          <w:rPr>
            <w:rFonts w:eastAsia="宋体"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等线"/>
          <w:lang w:eastAsia="zh-CN"/>
        </w:rPr>
        <w:t>simultaneously</w:t>
      </w:r>
      <w:r w:rsidRPr="00F931BD">
        <w:rPr>
          <w:rFonts w:eastAsia="Times New Roman"/>
          <w:lang w:eastAsia="ja-JP"/>
        </w:rPr>
        <w:t xml:space="preserve"> configures</w:t>
      </w:r>
      <w:r w:rsidRPr="00F931BD">
        <w:rPr>
          <w:rFonts w:eastAsia="宋体"/>
          <w:lang w:eastAsia="ja-JP"/>
        </w:rPr>
        <w:t xml:space="preserve"> </w:t>
      </w:r>
      <w:r w:rsidRPr="00F931BD">
        <w:rPr>
          <w:rFonts w:eastAsia="宋体"/>
          <w:lang w:eastAsia="zh-CN"/>
        </w:rPr>
        <w:t>t</w:t>
      </w:r>
      <w:r w:rsidRPr="00F931BD">
        <w:rPr>
          <w:rFonts w:eastAsia="宋体"/>
          <w:lang w:eastAsia="ja-JP"/>
        </w:rPr>
        <w:t>he UE to perform radio link monitor</w:t>
      </w:r>
      <w:r w:rsidRPr="00F931BD">
        <w:rPr>
          <w:rFonts w:eastAsia="宋体"/>
          <w:lang w:eastAsia="zh-CN"/>
        </w:rPr>
        <w:t>ing</w:t>
      </w:r>
      <w:r w:rsidRPr="00F931BD">
        <w:rPr>
          <w:rFonts w:eastAsia="宋体"/>
          <w:lang w:eastAsia="ja-JP"/>
        </w:rPr>
        <w:t xml:space="preserve"> </w:t>
      </w:r>
      <w:r w:rsidRPr="00F931BD">
        <w:rPr>
          <w:rFonts w:eastAsia="宋体"/>
          <w:lang w:eastAsia="zh-CN"/>
        </w:rPr>
        <w:t xml:space="preserve">on the SCG </w:t>
      </w:r>
      <w:r w:rsidRPr="00F931BD">
        <w:rPr>
          <w:rFonts w:eastAsia="宋体"/>
          <w:lang w:eastAsia="ja-JP"/>
        </w:rPr>
        <w:t xml:space="preserve">and beam failure detection </w:t>
      </w:r>
      <w:r w:rsidRPr="00F931BD">
        <w:rPr>
          <w:rFonts w:eastAsia="宋体"/>
          <w:lang w:eastAsia="zh-CN"/>
        </w:rPr>
        <w:t xml:space="preserve">on the SCG </w:t>
      </w:r>
      <w:r w:rsidRPr="00F931BD">
        <w:rPr>
          <w:rFonts w:eastAsia="宋体"/>
          <w:lang w:eastAsia="ja-JP"/>
        </w:rPr>
        <w:t>while the SCG is deactivated</w:t>
      </w:r>
      <w:r w:rsidRPr="00F931BD">
        <w:rPr>
          <w:rFonts w:eastAsia="等线"/>
          <w:lang w:eastAsia="zh-CN"/>
        </w:rPr>
        <w:t>,</w:t>
      </w:r>
      <w:r w:rsidRPr="00F931BD">
        <w:rPr>
          <w:rFonts w:eastAsia="Times New Roman"/>
          <w:lang w:eastAsia="ja-JP"/>
        </w:rPr>
        <w:t xml:space="preserve"> UE assistance information</w:t>
      </w:r>
      <w:r w:rsidRPr="00F931BD" w:rsidDel="003F4ADD">
        <w:rPr>
          <w:rFonts w:eastAsia="等线"/>
          <w:lang w:eastAsia="zh-CN"/>
        </w:rPr>
        <w:t xml:space="preserve"> </w:t>
      </w:r>
      <w:r w:rsidRPr="00F931BD">
        <w:rPr>
          <w:rFonts w:eastAsia="等线"/>
          <w:lang w:eastAsia="zh-CN"/>
        </w:rPr>
        <w:t>for the relaxation state report of RLM/BFD measurements for SCG</w:t>
      </w:r>
      <w:r w:rsidRPr="00F931BD">
        <w:rPr>
          <w:rFonts w:eastAsia="Times New Roman"/>
          <w:lang w:eastAsia="ja-JP"/>
        </w:rPr>
        <w:t xml:space="preserve"> </w:t>
      </w:r>
      <w:r w:rsidRPr="00F931BD">
        <w:rPr>
          <w:rFonts w:eastAsia="等线"/>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hint="eastAsia"/>
          <w:lang w:val="en-US" w:eastAsia="zh-CN"/>
        </w:rPr>
        <w:t>N</w:t>
      </w:r>
      <w:r w:rsidRPr="005C4803">
        <w:rPr>
          <w:rFonts w:ascii="Times New Roman" w:eastAsia="宋体" w:hAnsi="Times New Roman" w:cs="Times New Roman"/>
          <w:lang w:val="en-US" w:eastAsia="zh-CN"/>
        </w:rPr>
        <w:t>EXT CHANGE</w:t>
      </w:r>
    </w:p>
    <w:p w14:paraId="08317D99" w14:textId="77777777" w:rsidR="00F931BD" w:rsidRPr="00B35BE7" w:rsidRDefault="00F931BD" w:rsidP="00F931BD">
      <w:pPr>
        <w:pStyle w:val="2"/>
        <w:rPr>
          <w:lang w:eastAsia="zh-CN"/>
        </w:rPr>
      </w:pPr>
      <w:bookmarkStart w:id="13" w:name="_Toc29248401"/>
      <w:bookmarkStart w:id="14" w:name="_Toc37200988"/>
      <w:bookmarkStart w:id="15" w:name="_Toc46492854"/>
      <w:bookmarkStart w:id="16" w:name="_Toc52568385"/>
      <w:bookmarkStart w:id="17" w:name="_Toc124526318"/>
      <w:r w:rsidRPr="00B35BE7">
        <w:rPr>
          <w:kern w:val="2"/>
          <w:lang w:eastAsia="zh-CN" w:bidi="ta-IN"/>
        </w:rPr>
        <w:t>13.1</w:t>
      </w:r>
      <w:r w:rsidRPr="00B35BE7">
        <w:rPr>
          <w:kern w:val="2"/>
          <w:lang w:bidi="ta-IN"/>
        </w:rPr>
        <w:tab/>
      </w:r>
      <w:r w:rsidRPr="00B35BE7">
        <w:t>Interference avoidance for in-device coexistence</w:t>
      </w:r>
      <w:bookmarkEnd w:id="13"/>
      <w:bookmarkEnd w:id="14"/>
      <w:bookmarkEnd w:id="15"/>
      <w:bookmarkEnd w:id="16"/>
      <w:bookmarkEnd w:id="17"/>
    </w:p>
    <w:p w14:paraId="08317D9A" w14:textId="77777777" w:rsidR="00F931BD" w:rsidRDefault="00F931BD">
      <w:pPr>
        <w:rPr>
          <w:ins w:id="18" w:author="RAN2#122" w:date="2023-03-20T17:08:00Z"/>
          <w:lang w:eastAsia="zh-CN"/>
        </w:rPr>
      </w:pPr>
      <w:r w:rsidRPr="00B35BE7">
        <w:t>In-Device Coexistence (IDC) solution as described in TS 36.300 [2] is extended to address EN-DC</w:t>
      </w:r>
      <w:ins w:id="19" w:author="RAN2#122" w:date="2023-03-20T16:24:00Z">
        <w:r w:rsidR="002D41DF">
          <w:t>/NR-DC</w:t>
        </w:r>
      </w:ins>
      <w:r w:rsidRPr="00B35BE7">
        <w:t xml:space="preserve"> operation. </w:t>
      </w:r>
      <w:del w:id="20" w:author="RAN2#122" w:date="2023-03-20T16:26:00Z">
        <w:r w:rsidRPr="00B35BE7" w:rsidDel="002D41DF">
          <w:delText xml:space="preserve">Only </w:delText>
        </w:r>
      </w:del>
      <w:ins w:id="21" w:author="RAN2#122" w:date="2023-03-20T16:26:00Z">
        <w:r w:rsidR="002D41DF">
          <w:t>For the</w:t>
        </w:r>
        <w:r w:rsidR="002D41DF" w:rsidRPr="00B35BE7">
          <w:t xml:space="preserve"> </w:t>
        </w:r>
      </w:ins>
      <w:r w:rsidRPr="00B35BE7">
        <w:t xml:space="preserve">FDM solution, </w:t>
      </w:r>
      <w:del w:id="22" w:author="RAN2#122" w:date="2023-03-20T16:26:00Z">
        <w:r w:rsidRPr="00B35BE7" w:rsidDel="002D41DF">
          <w:delText xml:space="preserve">where </w:delText>
        </w:r>
      </w:del>
      <w:r w:rsidRPr="00B35BE7">
        <w:t>the list of NR carriers</w:t>
      </w:r>
      <w:ins w:id="23" w:author="RAN2#122" w:date="2023-03-20T16:29:00Z">
        <w:r w:rsidR="001A7067">
          <w:t xml:space="preserve"> </w:t>
        </w:r>
        <w:commentRangeStart w:id="24"/>
        <w:commentRangeStart w:id="25"/>
        <w:commentRangeStart w:id="26"/>
        <w:commentRangeStart w:id="27"/>
        <w:r w:rsidR="001A7067">
          <w:t>or frequency ranges</w:t>
        </w:r>
      </w:ins>
      <w:r w:rsidRPr="00B35BE7">
        <w:t xml:space="preserve"> </w:t>
      </w:r>
      <w:commentRangeEnd w:id="24"/>
      <w:r w:rsidR="00C31467">
        <w:rPr>
          <w:rStyle w:val="af3"/>
          <w:rFonts w:eastAsia="Times New Roman"/>
          <w:lang w:eastAsia="ja-JP"/>
        </w:rPr>
        <w:commentReference w:id="24"/>
      </w:r>
      <w:commentRangeEnd w:id="25"/>
      <w:r w:rsidR="00072702">
        <w:rPr>
          <w:rStyle w:val="af3"/>
          <w:rFonts w:eastAsia="Times New Roman"/>
          <w:lang w:eastAsia="ja-JP"/>
        </w:rPr>
        <w:commentReference w:id="25"/>
      </w:r>
      <w:commentRangeEnd w:id="26"/>
      <w:r w:rsidR="000E330F">
        <w:rPr>
          <w:rStyle w:val="af3"/>
          <w:rFonts w:eastAsia="Times New Roman"/>
          <w:lang w:eastAsia="ja-JP"/>
        </w:rPr>
        <w:commentReference w:id="26"/>
      </w:r>
      <w:commentRangeEnd w:id="27"/>
      <w:r w:rsidR="00CD3195">
        <w:rPr>
          <w:rStyle w:val="af3"/>
          <w:rFonts w:eastAsia="Times New Roman"/>
          <w:lang w:eastAsia="ja-JP"/>
        </w:rPr>
        <w:commentReference w:id="27"/>
      </w:r>
      <w:r w:rsidRPr="00B35BE7">
        <w:t>suffering from IDC problems is signalled in IDC indication</w:t>
      </w:r>
      <w:ins w:id="28" w:author="RAN2#122" w:date="2023-03-20T16:28:00Z">
        <w:r w:rsidR="001A7067">
          <w:t xml:space="preserve">. </w:t>
        </w:r>
      </w:ins>
      <w:del w:id="29" w:author="RAN2#122" w:date="2023-03-20T16:28:00Z">
        <w:r w:rsidRPr="00B35BE7" w:rsidDel="001A7067">
          <w:delText>,</w:delText>
        </w:r>
      </w:del>
      <w:del w:id="30" w:author="RAN2#122" w:date="2023-03-20T16:27:00Z">
        <w:r w:rsidRPr="00B35BE7" w:rsidDel="001A7067">
          <w:delText xml:space="preserve"> </w:delText>
        </w:r>
      </w:del>
      <w:commentRangeStart w:id="31"/>
      <w:commentRangeStart w:id="32"/>
      <w:ins w:id="33" w:author="RAN2#122" w:date="2023-03-20T16:28:00Z">
        <w:r w:rsidR="001A7067">
          <w:t>F</w:t>
        </w:r>
      </w:ins>
      <w:ins w:id="34" w:author="RAN2#122" w:date="2023-03-20T16:27:00Z">
        <w:r w:rsidR="001A7067">
          <w:t xml:space="preserve">or the TDM solution, </w:t>
        </w:r>
      </w:ins>
      <w:commentRangeStart w:id="35"/>
      <w:commentRangeStart w:id="36"/>
      <w:commentRangeStart w:id="37"/>
      <w:ins w:id="38" w:author="RAN2#122" w:date="2023-03-20T16:28:00Z">
        <w:r w:rsidR="001A7067">
          <w:t xml:space="preserve">the gap pattern </w:t>
        </w:r>
      </w:ins>
      <w:commentRangeEnd w:id="35"/>
      <w:r w:rsidR="003D3BED">
        <w:rPr>
          <w:rStyle w:val="af3"/>
          <w:rFonts w:eastAsia="Times New Roman"/>
          <w:lang w:eastAsia="ja-JP"/>
        </w:rPr>
        <w:commentReference w:id="35"/>
      </w:r>
      <w:commentRangeEnd w:id="36"/>
      <w:r w:rsidR="00072702">
        <w:rPr>
          <w:rStyle w:val="af3"/>
          <w:rFonts w:eastAsia="Times New Roman"/>
          <w:lang w:eastAsia="ja-JP"/>
        </w:rPr>
        <w:commentReference w:id="36"/>
      </w:r>
      <w:commentRangeEnd w:id="37"/>
      <w:r w:rsidR="00CD3195">
        <w:rPr>
          <w:rStyle w:val="af3"/>
          <w:rFonts w:eastAsia="Times New Roman"/>
          <w:lang w:eastAsia="ja-JP"/>
        </w:rPr>
        <w:commentReference w:id="37"/>
      </w:r>
      <w:ins w:id="39" w:author="RAN2#122" w:date="2023-03-20T16:28:00Z">
        <w:r w:rsidR="001A7067">
          <w:t>can be signalled per-CG in IDC indication</w:t>
        </w:r>
      </w:ins>
      <w:commentRangeEnd w:id="31"/>
      <w:r w:rsidR="0019138E">
        <w:rPr>
          <w:rStyle w:val="af3"/>
          <w:rFonts w:eastAsia="Times New Roman"/>
          <w:lang w:eastAsia="ja-JP"/>
        </w:rPr>
        <w:commentReference w:id="31"/>
      </w:r>
      <w:commentRangeEnd w:id="32"/>
      <w:r w:rsidR="00587F35">
        <w:rPr>
          <w:rStyle w:val="af3"/>
          <w:rFonts w:eastAsia="Times New Roman"/>
          <w:lang w:eastAsia="ja-JP"/>
        </w:rPr>
        <w:commentReference w:id="32"/>
      </w:r>
      <w:del w:id="40" w:author="RAN2#122" w:date="2023-03-20T16:27:00Z">
        <w:r w:rsidRPr="00B35BE7" w:rsidDel="001A7067">
          <w:delText>is supported in this version of the specifications</w:delText>
        </w:r>
      </w:del>
      <w:ins w:id="41" w:author="RAN2#122" w:date="2023-03-20T17:23:00Z">
        <w:r w:rsidR="005C4803">
          <w:t>.</w:t>
        </w:r>
      </w:ins>
      <w:del w:id="42" w:author="RAN2#122" w:date="2023-03-20T17:23:00Z">
        <w:r w:rsidRPr="00B35BE7" w:rsidDel="005C4803">
          <w:delText>.</w:delText>
        </w:r>
      </w:del>
      <w:r w:rsidRPr="00B35BE7">
        <w:t xml:space="preserve"> </w:t>
      </w:r>
      <w:commentRangeStart w:id="43"/>
      <w:commentRangeStart w:id="44"/>
      <w:commentRangeStart w:id="45"/>
      <w:ins w:id="46" w:author="RAN2#122" w:date="2023-03-20T16:31:00Z">
        <w:r w:rsidR="001A7067">
          <w:t xml:space="preserve">In EN-DC, the MN can configure the UE to report FDM assistance information </w:t>
        </w:r>
      </w:ins>
      <w:ins w:id="47" w:author="RAN2#122" w:date="2023-03-20T16:36:00Z">
        <w:r w:rsidR="001A7067">
          <w:t>with affected carriers</w:t>
        </w:r>
      </w:ins>
      <w:ins w:id="48" w:author="RAN2#122" w:date="2023-03-20T16:31:00Z">
        <w:r w:rsidR="001A7067">
          <w:t xml:space="preserve"> and/or </w:t>
        </w:r>
        <w:commentRangeStart w:id="49"/>
        <w:commentRangeStart w:id="50"/>
        <w:commentRangeStart w:id="51"/>
        <w:r w:rsidR="001A7067">
          <w:t>TDM assistance information</w:t>
        </w:r>
      </w:ins>
      <w:commentRangeEnd w:id="49"/>
      <w:r w:rsidR="009D1CC6">
        <w:rPr>
          <w:rStyle w:val="af3"/>
          <w:rFonts w:eastAsia="Times New Roman"/>
          <w:lang w:eastAsia="ja-JP"/>
        </w:rPr>
        <w:commentReference w:id="49"/>
      </w:r>
      <w:commentRangeEnd w:id="50"/>
      <w:r w:rsidR="00212F6B">
        <w:rPr>
          <w:rStyle w:val="af3"/>
          <w:rFonts w:eastAsia="Times New Roman"/>
          <w:lang w:eastAsia="ja-JP"/>
        </w:rPr>
        <w:commentReference w:id="50"/>
      </w:r>
      <w:commentRangeEnd w:id="43"/>
      <w:commentRangeEnd w:id="51"/>
      <w:r w:rsidR="006520C9">
        <w:rPr>
          <w:rStyle w:val="af3"/>
          <w:rFonts w:eastAsia="Times New Roman"/>
          <w:lang w:eastAsia="ja-JP"/>
        </w:rPr>
        <w:commentReference w:id="51"/>
      </w:r>
      <w:r w:rsidR="0019138E">
        <w:rPr>
          <w:rStyle w:val="af3"/>
          <w:rFonts w:eastAsia="Times New Roman"/>
          <w:lang w:eastAsia="ja-JP"/>
        </w:rPr>
        <w:commentReference w:id="43"/>
      </w:r>
      <w:commentRangeEnd w:id="44"/>
      <w:r w:rsidR="000E330F">
        <w:rPr>
          <w:rStyle w:val="af3"/>
          <w:rFonts w:eastAsia="Times New Roman"/>
          <w:lang w:eastAsia="ja-JP"/>
        </w:rPr>
        <w:commentReference w:id="44"/>
      </w:r>
      <w:commentRangeEnd w:id="45"/>
      <w:r w:rsidR="006520C9">
        <w:rPr>
          <w:rStyle w:val="af3"/>
          <w:rFonts w:eastAsia="Times New Roman"/>
          <w:lang w:eastAsia="ja-JP"/>
        </w:rPr>
        <w:commentReference w:id="45"/>
      </w:r>
      <w:ins w:id="52" w:author="RAN2#122" w:date="2023-03-20T17:25:00Z">
        <w:r w:rsidR="005C4803">
          <w:t>.</w:t>
        </w:r>
      </w:ins>
      <w:ins w:id="53" w:author="RAN2#122" w:date="2023-03-20T16:31:00Z">
        <w:r w:rsidR="005C4803">
          <w:t xml:space="preserve"> In NR-DC, </w:t>
        </w:r>
        <w:r w:rsidR="001A7067">
          <w:t>the MN can configure the UE to report FDM assistance information</w:t>
        </w:r>
      </w:ins>
      <w:ins w:id="54" w:author="RAN2#122" w:date="2023-03-20T16:37:00Z">
        <w:r w:rsidR="001A7067">
          <w:t xml:space="preserve"> with affected frequency range</w:t>
        </w:r>
      </w:ins>
      <w:ins w:id="55" w:author="RAN2#122" w:date="2023-03-20T16:49:00Z">
        <w:r w:rsidR="001C4E22">
          <w:t>s</w:t>
        </w:r>
      </w:ins>
      <w:ins w:id="56" w:author="RAN2#122" w:date="2023-03-20T16:31:00Z">
        <w:r w:rsidR="001A7067">
          <w:t xml:space="preserve"> </w:t>
        </w:r>
        <w:commentRangeStart w:id="57"/>
        <w:commentRangeStart w:id="58"/>
        <w:r w:rsidR="001A7067">
          <w:t xml:space="preserve">and/or </w:t>
        </w:r>
      </w:ins>
      <w:commentRangeEnd w:id="57"/>
      <w:r w:rsidR="003302AF">
        <w:rPr>
          <w:rStyle w:val="af3"/>
          <w:rFonts w:eastAsia="Times New Roman"/>
          <w:lang w:eastAsia="ja-JP"/>
        </w:rPr>
        <w:commentReference w:id="57"/>
      </w:r>
      <w:commentRangeEnd w:id="58"/>
      <w:r w:rsidR="00447B3D">
        <w:rPr>
          <w:rStyle w:val="af3"/>
          <w:rFonts w:eastAsia="Times New Roman"/>
          <w:lang w:eastAsia="ja-JP"/>
        </w:rPr>
        <w:commentReference w:id="58"/>
      </w:r>
      <w:ins w:id="59" w:author="RAN2#122" w:date="2023-03-20T16:31:00Z">
        <w:r w:rsidR="001A7067">
          <w:t>TDM assistance information.</w:t>
        </w:r>
      </w:ins>
      <w:ins w:id="60" w:author="RAN2#122" w:date="2023-03-20T16:51:00Z">
        <w:r w:rsidR="001C4E22">
          <w:t xml:space="preserve"> </w:t>
        </w:r>
      </w:ins>
      <w:ins w:id="61" w:author="RAN2#122" w:date="2023-03-20T17:23:00Z">
        <w:r w:rsidR="005C4803">
          <w:t xml:space="preserve">For both EN-DC and NR-DC, </w:t>
        </w:r>
      </w:ins>
      <w:ins w:id="62" w:author="RAN2#122" w:date="2023-03-20T17:22:00Z">
        <w:r w:rsidR="005C4803">
          <w:t xml:space="preserve">the SN can configure the UE to report FDM assistance information with affected frequency ranges and/or TDM assistance information to the SN via SRB1 or SRB3, if </w:t>
        </w:r>
      </w:ins>
      <w:ins w:id="63" w:author="RAN2#122" w:date="2023-03-20T17:33:00Z">
        <w:r w:rsidR="00F9227E">
          <w:t xml:space="preserve">SRB3 is </w:t>
        </w:r>
      </w:ins>
      <w:ins w:id="64" w:author="RAN2#122" w:date="2023-03-20T17:22:00Z">
        <w:r w:rsidR="005C4803">
          <w:t>configured</w:t>
        </w:r>
      </w:ins>
      <w:ins w:id="65"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66" w:author="RAN2#122" w:date="2023-03-20T17:22:00Z">
        <w:r w:rsidR="005C4803">
          <w:t xml:space="preserve"> </w:t>
        </w:r>
      </w:ins>
      <w:commentRangeStart w:id="67"/>
      <w:commentRangeStart w:id="68"/>
      <w:ins w:id="69" w:author="RAN2#122" w:date="2023-03-20T16:51:00Z">
        <w:r w:rsidR="001C4E22">
          <w:t xml:space="preserve">The network can also configure autonomous denial </w:t>
        </w:r>
        <w:r w:rsidR="00F9227E">
          <w:t>per</w:t>
        </w:r>
      </w:ins>
      <w:ins w:id="70" w:author="RAN2#122" w:date="2023-03-20T17:33:00Z">
        <w:r w:rsidR="00F9227E">
          <w:t>-</w:t>
        </w:r>
      </w:ins>
      <w:ins w:id="71" w:author="RAN2#122" w:date="2023-03-20T16:51:00Z">
        <w:r w:rsidR="001C4E22">
          <w:t xml:space="preserve">CG for the UE to solve IDC </w:t>
        </w:r>
      </w:ins>
      <w:ins w:id="72" w:author="RAN2#122" w:date="2023-03-20T16:52:00Z">
        <w:r w:rsidR="001C4E22">
          <w:t>problems</w:t>
        </w:r>
      </w:ins>
      <w:commentRangeEnd w:id="67"/>
      <w:r w:rsidR="00EA5D11">
        <w:rPr>
          <w:rStyle w:val="af3"/>
          <w:rFonts w:eastAsia="Times New Roman"/>
          <w:lang w:eastAsia="ja-JP"/>
        </w:rPr>
        <w:commentReference w:id="67"/>
      </w:r>
      <w:commentRangeEnd w:id="68"/>
      <w:r w:rsidR="00447B3D">
        <w:rPr>
          <w:rStyle w:val="af3"/>
          <w:rFonts w:eastAsia="Times New Roman"/>
          <w:lang w:eastAsia="ja-JP"/>
        </w:rPr>
        <w:commentReference w:id="68"/>
      </w:r>
      <w:ins w:id="73"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77777777" w:rsidR="003B19EE" w:rsidRPr="00F931BD" w:rsidRDefault="003B19EE" w:rsidP="003B19EE">
      <w:pPr>
        <w:widowControl w:val="0"/>
      </w:pPr>
      <w:ins w:id="74" w:author="RAN2#122" w:date="2023-03-20T17:09:00Z">
        <w:r>
          <w:rPr>
            <w:rFonts w:hint="eastAsia"/>
          </w:rPr>
          <w:t>Editor</w:t>
        </w:r>
        <w:r>
          <w:t>’</w:t>
        </w:r>
        <w:r>
          <w:rPr>
            <w:rFonts w:hint="eastAsia"/>
          </w:rPr>
          <w:t xml:space="preserve">s </w:t>
        </w:r>
      </w:ins>
      <w:ins w:id="75" w:author="RAN2#122" w:date="2023-03-20T17:10:00Z">
        <w:r>
          <w:t>N</w:t>
        </w:r>
      </w:ins>
      <w:ins w:id="76" w:author="RAN2#122" w:date="2023-03-20T17:09:00Z">
        <w:r>
          <w:rPr>
            <w:rFonts w:hint="eastAsia"/>
          </w:rPr>
          <w:t xml:space="preserve">ote: For the TDM, </w:t>
        </w:r>
        <w:r>
          <w:t xml:space="preserve">FFS whether any additional coordination is needed for network to resolve the problem when network receives </w:t>
        </w:r>
        <w:commentRangeStart w:id="77"/>
        <w:commentRangeStart w:id="78"/>
        <w:r>
          <w:t>the reporting</w:t>
        </w:r>
      </w:ins>
      <w:commentRangeEnd w:id="77"/>
      <w:r w:rsidR="00BF6818">
        <w:rPr>
          <w:rStyle w:val="af3"/>
          <w:rFonts w:eastAsia="Times New Roman"/>
          <w:lang w:eastAsia="ja-JP"/>
        </w:rPr>
        <w:commentReference w:id="77"/>
      </w:r>
      <w:commentRangeEnd w:id="78"/>
      <w:r w:rsidR="00447B3D">
        <w:rPr>
          <w:rStyle w:val="af3"/>
          <w:rFonts w:eastAsia="Times New Roman"/>
          <w:lang w:eastAsia="ja-JP"/>
        </w:rPr>
        <w:commentReference w:id="78"/>
      </w:r>
      <w:ins w:id="79" w:author="RAN2#122" w:date="2023-03-20T17:09:00Z">
        <w:r>
          <w:t xml:space="preserve"> from UE.</w:t>
        </w:r>
        <w:r>
          <w:rPr>
            <w:rFonts w:hint="eastAsia"/>
          </w:rPr>
          <w:t xml:space="preserve"> </w:t>
        </w:r>
      </w:ins>
    </w:p>
    <w:p w14:paraId="08317D9C" w14:textId="77777777"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lang w:val="en-US" w:eastAsia="zh-CN"/>
        </w:rPr>
        <w:t>END OF CHANGES</w:t>
      </w:r>
    </w:p>
    <w:p w14:paraId="08317D9D" w14:textId="77777777" w:rsidR="002B59CC" w:rsidRDefault="008517FF">
      <w:pPr>
        <w:pStyle w:val="1"/>
        <w:rPr>
          <w:rFonts w:eastAsia="宋体"/>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bookmarkStart w:id="80" w:name="_GoBack"/>
      <w:bookmarkEnd w:id="80"/>
    </w:p>
    <w:p w14:paraId="08317DA2" w14:textId="77777777" w:rsidR="002B59CC" w:rsidRDefault="002B59CC">
      <w:pPr>
        <w:rPr>
          <w:rFonts w:eastAsia="宋体"/>
          <w:lang w:eastAsia="zh-CN"/>
        </w:rPr>
      </w:pPr>
    </w:p>
    <w:p w14:paraId="08317DA3" w14:textId="77777777" w:rsidR="002B59CC" w:rsidRDefault="008517FF">
      <w:pPr>
        <w:pStyle w:val="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freq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2"/>
        <w:rPr>
          <w:rFonts w:ascii="Times New Roman" w:hAnsi="Times New Roman"/>
          <w:sz w:val="20"/>
        </w:rPr>
      </w:pPr>
      <w:r>
        <w:rPr>
          <w:rFonts w:ascii="Times New Roman" w:hAnsi="Times New Roman"/>
          <w:sz w:val="20"/>
        </w:rPr>
        <w:t>RAN2#120</w:t>
      </w:r>
    </w:p>
    <w:p w14:paraId="08317DB8"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2"/>
        <w:rPr>
          <w:rFonts w:ascii="Times New Roman" w:hAnsi="Times New Roman"/>
          <w:sz w:val="20"/>
        </w:rPr>
      </w:pPr>
      <w:r>
        <w:rPr>
          <w:rFonts w:ascii="Times New Roman" w:hAnsi="Times New Roman"/>
          <w:sz w:val="20"/>
        </w:rPr>
        <w:t>RAN2#121</w:t>
      </w:r>
    </w:p>
    <w:p w14:paraId="08317DC9"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Min)" w:date="2023-03-28T15:48:00Z" w:initials="E">
    <w:p w14:paraId="364D502F" w14:textId="133F5B7D" w:rsidR="00B91DEF" w:rsidRDefault="00B91DEF">
      <w:pPr>
        <w:pStyle w:val="a6"/>
      </w:pPr>
      <w:r>
        <w:rPr>
          <w:rStyle w:val="af3"/>
        </w:rPr>
        <w:annotationRef/>
      </w:r>
      <w:r>
        <w:t>Change to comma</w:t>
      </w:r>
    </w:p>
  </w:comment>
  <w:comment w:id="1" w:author="ZTE(Wenting)" w:date="2023-03-30T10:26:00Z" w:initials="MSOffice">
    <w:p w14:paraId="62650593" w14:textId="231C360C" w:rsidR="00CD3195" w:rsidRPr="00CD3195" w:rsidRDefault="00CD3195">
      <w:pPr>
        <w:pStyle w:val="a6"/>
        <w:rPr>
          <w:rFonts w:eastAsiaTheme="minorEastAsia" w:hint="eastAsia"/>
          <w:lang w:eastAsia="zh-CN"/>
        </w:rPr>
      </w:pPr>
      <w:r>
        <w:rPr>
          <w:rStyle w:val="af3"/>
        </w:rPr>
        <w:annotationRef/>
      </w:r>
      <w:r>
        <w:rPr>
          <w:rFonts w:eastAsiaTheme="minorEastAsia"/>
          <w:lang w:eastAsia="zh-CN"/>
        </w:rPr>
        <w:t>Thanks, u</w:t>
      </w:r>
      <w:r w:rsidR="00497A57">
        <w:rPr>
          <w:rFonts w:eastAsiaTheme="minorEastAsia"/>
          <w:lang w:eastAsia="zh-CN"/>
        </w:rPr>
        <w:t>pdated in the V07</w:t>
      </w:r>
      <w:r>
        <w:rPr>
          <w:rFonts w:eastAsiaTheme="minorEastAsia" w:hint="eastAsia"/>
          <w:lang w:eastAsia="zh-CN"/>
        </w:rPr>
        <w:t>_</w:t>
      </w:r>
      <w:r>
        <w:rPr>
          <w:rFonts w:eastAsiaTheme="minorEastAsia"/>
          <w:lang w:eastAsia="zh-CN"/>
        </w:rPr>
        <w:t>rapp</w:t>
      </w:r>
    </w:p>
  </w:comment>
  <w:comment w:id="24" w:author="Qualcomm - Sherif Elazzouni" w:date="2023-03-23T11:14:00Z" w:initials="SE">
    <w:p w14:paraId="7247E9F5" w14:textId="77777777" w:rsidR="00045FA8" w:rsidRDefault="00C31467">
      <w:pPr>
        <w:pStyle w:val="a6"/>
      </w:pPr>
      <w:r>
        <w:rPr>
          <w:rStyle w:val="af3"/>
        </w:rPr>
        <w:annotationRef/>
      </w:r>
      <w:r w:rsidR="00045FA8">
        <w:t xml:space="preserve">"NR carriers, frequency ranges or frequency ranges combinations." </w:t>
      </w:r>
    </w:p>
    <w:p w14:paraId="4BE75FBA" w14:textId="77777777" w:rsidR="00045FA8" w:rsidRDefault="00045FA8">
      <w:pPr>
        <w:pStyle w:val="a6"/>
      </w:pPr>
      <w:r>
        <w:t>To be in line with 38.300 text below on UAI:</w:t>
      </w:r>
    </w:p>
    <w:p w14:paraId="457C90D1" w14:textId="77777777" w:rsidR="00045FA8" w:rsidRDefault="00045FA8" w:rsidP="00D43D0E">
      <w:pPr>
        <w:pStyle w:val="a6"/>
      </w:pPr>
      <w:r>
        <w:tab/>
        <w:t>The list of frequencies affected by IDC problems (see clause 23.4 of TS 36.300 [2]) or the list of frequency ranges/frequency ranges combination affected by the IDC problems, where a frequency range is characterised by a center frequency and bandwidth in KHz/MHz, and TDM assistance information including the cycle, start offset and active duration to enable appropriate TDM configuration on the serving NR carriers;</w:t>
      </w:r>
    </w:p>
  </w:comment>
  <w:comment w:id="25" w:author="Nokia (Jarkko)" w:date="2023-03-29T09:44:00Z" w:initials="Nokia">
    <w:p w14:paraId="378BE6D9" w14:textId="70CC52C0" w:rsidR="00072702" w:rsidRDefault="00072702">
      <w:pPr>
        <w:pStyle w:val="a6"/>
      </w:pPr>
      <w:r>
        <w:rPr>
          <w:rStyle w:val="af3"/>
        </w:rPr>
        <w:annotationRef/>
      </w:r>
      <w:r>
        <w:t xml:space="preserve">IT seems unnecessary to list all the stage 3 details in stage 2 – especially no need to list “kHz/MHz”. But we agree to add “frequency range combinations” here – or alternatively just remove frequency ranges all together.  </w:t>
      </w:r>
    </w:p>
  </w:comment>
  <w:comment w:id="26" w:author="Xiaomi - Yumin Wu" w:date="2023-03-29T19:15:00Z" w:initials="Xiaomi">
    <w:p w14:paraId="61B4476E" w14:textId="1EA99732" w:rsidR="000E330F" w:rsidRDefault="000E330F">
      <w:pPr>
        <w:pStyle w:val="a6"/>
      </w:pPr>
      <w:r>
        <w:rPr>
          <w:rStyle w:val="af3"/>
        </w:rPr>
        <w:annotationRef/>
      </w:r>
      <w:r>
        <w:t>Agree with Nokia’s comments</w:t>
      </w:r>
    </w:p>
  </w:comment>
  <w:comment w:id="27" w:author="ZTE(Wenting)" w:date="2023-03-30T10:29:00Z" w:initials="MSOffice">
    <w:p w14:paraId="22D7B595" w14:textId="7F684633" w:rsidR="00CD3195" w:rsidRPr="00CD3195" w:rsidRDefault="00CD3195">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hanks for the comments, would add “</w:t>
      </w:r>
      <w:r>
        <w:t>or frequency ranges combinations” as Qualcomm suggested</w:t>
      </w:r>
      <w:r w:rsidR="00497A57">
        <w:t>. See v07</w:t>
      </w:r>
      <w:r w:rsidR="00497A57" w:rsidRPr="00497A57">
        <w:t>_Rapp version</w:t>
      </w:r>
    </w:p>
  </w:comment>
  <w:comment w:id="35" w:author="Ericsson(Min)" w:date="2023-03-28T15:49:00Z" w:initials="E">
    <w:p w14:paraId="759E5A6C" w14:textId="213B0264" w:rsidR="003D3BED" w:rsidRDefault="003D3BED">
      <w:pPr>
        <w:pStyle w:val="a6"/>
      </w:pPr>
      <w:r>
        <w:rPr>
          <w:rStyle w:val="af3"/>
        </w:rPr>
        <w:annotationRef/>
      </w:r>
      <w:r>
        <w:t>more accurate to say “a periodic pattern”</w:t>
      </w:r>
    </w:p>
  </w:comment>
  <w:comment w:id="36" w:author="Nokia (Jarkko)" w:date="2023-03-29T09:38:00Z" w:initials="Nokia">
    <w:p w14:paraId="5136E83F" w14:textId="0030C63B" w:rsidR="00072702" w:rsidRDefault="00072702">
      <w:pPr>
        <w:pStyle w:val="a6"/>
      </w:pPr>
      <w:r>
        <w:rPr>
          <w:rStyle w:val="af3"/>
        </w:rPr>
        <w:annotationRef/>
      </w:r>
      <w:r>
        <w:t>We are OK with this proposal from Ericsson although we do not see big issue with just generally referring to TDM assistance</w:t>
      </w:r>
      <w:r w:rsidR="00341C32">
        <w:t xml:space="preserve"> in stage-2. Details can be in stage-3.</w:t>
      </w:r>
    </w:p>
    <w:p w14:paraId="28BB430F" w14:textId="77777777" w:rsidR="00072702" w:rsidRDefault="00072702">
      <w:pPr>
        <w:pStyle w:val="a6"/>
      </w:pPr>
    </w:p>
    <w:p w14:paraId="2B5BD98B" w14:textId="2667E361" w:rsidR="00072702" w:rsidRDefault="00072702">
      <w:pPr>
        <w:pStyle w:val="a6"/>
      </w:pPr>
      <w:r>
        <w:t>But we would need to be consistent. Now we talk about “FDM assistance information with affected carriers” but only about “TDM assistance information”. So we could either remove “with affected frequency ranges”” or add to TDM “with periodic patterns”</w:t>
      </w:r>
    </w:p>
    <w:p w14:paraId="325D86E3" w14:textId="77777777" w:rsidR="00072702" w:rsidRDefault="00072702">
      <w:pPr>
        <w:pStyle w:val="a6"/>
      </w:pPr>
    </w:p>
    <w:p w14:paraId="006601E7" w14:textId="6AED9577" w:rsidR="00072702" w:rsidRDefault="00072702">
      <w:pPr>
        <w:pStyle w:val="a6"/>
      </w:pPr>
      <w:r>
        <w:t>Probably for easier maintenance and more clear text we might just remove from FDM “with affected frequency ranges” as this is stage-2 and we don’t need to explicitly list all the details here.</w:t>
      </w:r>
    </w:p>
  </w:comment>
  <w:comment w:id="37" w:author="ZTE(Wenting)" w:date="2023-03-30T10:33:00Z" w:initials="MSOffice">
    <w:p w14:paraId="16473C94" w14:textId="77777777" w:rsidR="00497A57" w:rsidRPr="00CD3195" w:rsidRDefault="00CD3195" w:rsidP="00497A57">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hanks for the comments, change to “a periodic Pattern”</w:t>
      </w:r>
      <w:r w:rsidR="00497A57">
        <w:rPr>
          <w:rFonts w:eastAsiaTheme="minorEastAsia"/>
          <w:lang w:eastAsia="zh-CN"/>
        </w:rPr>
        <w:t xml:space="preserve"> (</w:t>
      </w:r>
      <w:r w:rsidR="00497A57">
        <w:t>See v07</w:t>
      </w:r>
      <w:r w:rsidR="00497A57" w:rsidRPr="00497A57">
        <w:t>_Rapp version</w:t>
      </w:r>
    </w:p>
    <w:p w14:paraId="31E1F94F" w14:textId="2FD8F511" w:rsidR="00497A57" w:rsidRPr="00CD3195" w:rsidRDefault="00497A57" w:rsidP="00497A57">
      <w:pPr>
        <w:pStyle w:val="a6"/>
        <w:rPr>
          <w:rFonts w:eastAsiaTheme="minorEastAsia" w:hint="eastAsia"/>
          <w:lang w:eastAsia="zh-CN"/>
        </w:rPr>
      </w:pPr>
      <w:r>
        <w:rPr>
          <w:rFonts w:eastAsiaTheme="minorEastAsia"/>
          <w:lang w:eastAsia="zh-CN"/>
        </w:rPr>
        <w:t>)</w:t>
      </w:r>
      <w:r w:rsidR="00CD3195">
        <w:rPr>
          <w:rFonts w:eastAsiaTheme="minorEastAsia"/>
          <w:lang w:eastAsia="zh-CN"/>
        </w:rPr>
        <w:t xml:space="preserve">.  </w:t>
      </w:r>
      <w:r>
        <w:rPr>
          <w:rFonts w:eastAsiaTheme="minorEastAsia"/>
          <w:lang w:eastAsia="zh-CN"/>
        </w:rPr>
        <w:t>To the Nokia’s second comment, h</w:t>
      </w:r>
      <w:r w:rsidR="00CD3195">
        <w:rPr>
          <w:rFonts w:eastAsiaTheme="minorEastAsia"/>
          <w:lang w:eastAsia="zh-CN"/>
        </w:rPr>
        <w:t>ere the intention of “</w:t>
      </w:r>
      <w:r w:rsidR="00CD3195">
        <w:t>with affected carriers</w:t>
      </w:r>
      <w:r w:rsidR="00CD3195">
        <w:rPr>
          <w:rFonts w:eastAsiaTheme="minorEastAsia"/>
          <w:lang w:eastAsia="zh-CN"/>
        </w:rPr>
        <w:t>” is to distinguish it from the NR-DC, for the EN-DC, only affected carriers are supported, but</w:t>
      </w:r>
      <w:r>
        <w:rPr>
          <w:rFonts w:eastAsiaTheme="minorEastAsia"/>
          <w:lang w:eastAsia="zh-CN"/>
        </w:rPr>
        <w:t xml:space="preserve"> </w:t>
      </w:r>
      <w:r w:rsidR="00CD3195">
        <w:rPr>
          <w:rFonts w:eastAsiaTheme="minorEastAsia"/>
          <w:lang w:eastAsia="zh-CN"/>
        </w:rPr>
        <w:t>for the NR-DC the affected frequency ranges would be reported.</w:t>
      </w:r>
      <w:r w:rsidR="00587F35">
        <w:rPr>
          <w:rFonts w:eastAsiaTheme="minorEastAsia"/>
          <w:lang w:eastAsia="zh-CN"/>
        </w:rPr>
        <w:t xml:space="preserve"> </w:t>
      </w:r>
    </w:p>
    <w:p w14:paraId="147299AB" w14:textId="7BA98861" w:rsidR="00CD3195" w:rsidRPr="00CD3195" w:rsidRDefault="00CD3195">
      <w:pPr>
        <w:pStyle w:val="a6"/>
        <w:rPr>
          <w:rFonts w:eastAsiaTheme="minorEastAsia" w:hint="eastAsia"/>
          <w:lang w:eastAsia="zh-CN"/>
        </w:rPr>
      </w:pPr>
    </w:p>
  </w:comment>
  <w:comment w:id="31" w:author="Intel - Yujian Zhang" w:date="2023-03-29T15:25:00Z" w:initials="I">
    <w:p w14:paraId="2E259FEB" w14:textId="3E184EA8" w:rsidR="0019138E" w:rsidRDefault="0019138E">
      <w:pPr>
        <w:pStyle w:val="a6"/>
      </w:pPr>
      <w:r>
        <w:rPr>
          <w:rStyle w:val="af3"/>
        </w:rPr>
        <w:annotationRef/>
      </w:r>
      <w:r>
        <w:t>Suggest to change the sentence to “TDM assistance information can be signalled for the cell group in IDC indication” since: 1) we don’t use “gap pattern” terminology in stage-3; 2) in UAI, UE can only include TDM pattern for one CG, but not two TDM patterns in the same message.</w:t>
      </w:r>
    </w:p>
  </w:comment>
  <w:comment w:id="32" w:author="ZTE(Wenting)" w:date="2023-03-30T11:16:00Z" w:initials="MSOffice">
    <w:p w14:paraId="5CAE12B5" w14:textId="5CE7FE6B" w:rsidR="00587F35" w:rsidRPr="00587F35" w:rsidRDefault="00587F35">
      <w:pPr>
        <w:pStyle w:val="a6"/>
        <w:rPr>
          <w:rFonts w:eastAsiaTheme="minorEastAsia" w:hint="eastAsia"/>
          <w:lang w:eastAsia="zh-CN"/>
        </w:rPr>
      </w:pPr>
      <w:r>
        <w:rPr>
          <w:rStyle w:val="af3"/>
        </w:rPr>
        <w:annotationRef/>
      </w:r>
      <w:r>
        <w:rPr>
          <w:rFonts w:eastAsiaTheme="minorEastAsia"/>
          <w:lang w:eastAsia="zh-CN"/>
        </w:rPr>
        <w:t xml:space="preserve">For the bullet 1, we checked the latest 38331 running CR, as you said no gap pattern mentioned. </w:t>
      </w:r>
      <w:r w:rsidR="00FD2AFF">
        <w:rPr>
          <w:rFonts w:eastAsiaTheme="minorEastAsia"/>
          <w:lang w:eastAsia="zh-CN"/>
        </w:rPr>
        <w:t>But</w:t>
      </w:r>
      <w:r>
        <w:rPr>
          <w:rFonts w:eastAsiaTheme="minorEastAsia"/>
          <w:lang w:eastAsia="zh-CN"/>
        </w:rPr>
        <w:t xml:space="preserve"> if we say TDM assistance information, we think it’s </w:t>
      </w:r>
      <w:r w:rsidR="00FD2AFF">
        <w:rPr>
          <w:rFonts w:eastAsiaTheme="minorEastAsia"/>
          <w:lang w:eastAsia="zh-CN"/>
        </w:rPr>
        <w:t xml:space="preserve">too high level, to keep consistence with the description of the FD M(e.g.  a list of NR carriers), it’s better to give more info about the TDM assistance info, thus here we change it to “a periodic pattern” as also other companies suggested. For the bullet 2, we think whether the UE can include 2 </w:t>
      </w:r>
      <w:r w:rsidR="00FD2AFF">
        <w:t>two TDM patterns in the same message can be specified in the Stage 3.</w:t>
      </w:r>
    </w:p>
  </w:comment>
  <w:comment w:id="49" w:author="Ericsson(Min)" w:date="2023-03-28T15:50:00Z" w:initials="E">
    <w:p w14:paraId="38A993AB" w14:textId="77777777" w:rsidR="009D1CC6" w:rsidRDefault="009D1CC6" w:rsidP="009D1CC6">
      <w:pPr>
        <w:pStyle w:val="a6"/>
      </w:pPr>
      <w:r>
        <w:rPr>
          <w:rStyle w:val="af3"/>
        </w:rPr>
        <w:annotationRef/>
      </w:r>
      <w:r>
        <w:t>The TDM assistance information needs to be removed.</w:t>
      </w:r>
    </w:p>
    <w:p w14:paraId="5C92E8C0" w14:textId="77777777" w:rsidR="009D1CC6" w:rsidRDefault="009D1CC6" w:rsidP="009D1CC6">
      <w:pPr>
        <w:pStyle w:val="a6"/>
      </w:pPr>
    </w:p>
    <w:p w14:paraId="0AF80198" w14:textId="77777777" w:rsidR="009D1CC6" w:rsidRDefault="009D1CC6" w:rsidP="009D1CC6">
      <w:pPr>
        <w:pStyle w:val="a6"/>
      </w:pPr>
      <w:r>
        <w:t xml:space="preserve">According to the RAN2 agreement, </w:t>
      </w:r>
    </w:p>
    <w:p w14:paraId="6761D0A6" w14:textId="77777777" w:rsidR="009D1CC6" w:rsidRPr="0094664E" w:rsidRDefault="009D1CC6" w:rsidP="009D1CC6">
      <w:pPr>
        <w:pStyle w:val="Agreement"/>
      </w:pPr>
      <w:r w:rsidRPr="0094664E">
        <w:t>LTE MN does not configure the UE with R18 NR IDC configuration.</w:t>
      </w:r>
    </w:p>
    <w:p w14:paraId="43497892" w14:textId="2E8E657E" w:rsidR="009D1CC6" w:rsidRDefault="009D1CC6" w:rsidP="009D1CC6">
      <w:pPr>
        <w:pStyle w:val="a6"/>
      </w:pPr>
      <w:r>
        <w:t>In other words, LTE MN can only configure R16 IDC configuration</w:t>
      </w:r>
    </w:p>
  </w:comment>
  <w:comment w:id="50" w:author="Nokia (Jarkko)" w:date="2023-03-29T09:46:00Z" w:initials="Nokia">
    <w:p w14:paraId="5F8D4040" w14:textId="2FF7CC80" w:rsidR="00212F6B" w:rsidRDefault="00212F6B">
      <w:pPr>
        <w:pStyle w:val="a6"/>
      </w:pPr>
      <w:r>
        <w:rPr>
          <w:rStyle w:val="af3"/>
        </w:rPr>
        <w:annotationRef/>
      </w:r>
      <w:r>
        <w:t>agree</w:t>
      </w:r>
    </w:p>
  </w:comment>
  <w:comment w:id="51" w:author="ZTE(Wenting)" w:date="2023-03-30T10:50:00Z" w:initials="MSOffice">
    <w:p w14:paraId="1AEF1831" w14:textId="77777777" w:rsidR="00497A57" w:rsidRPr="00CD3195" w:rsidRDefault="006520C9" w:rsidP="00497A57">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 xml:space="preserve">hanks for the comments, our original intention was to indicate that the UE can report the TDM as Legacy (e.g. R11) has done, but after further thinking about your comments, we think you are right, this sentence is from network configuration aspect, and the MN of the EN-DC can’t configure the UE to report TDM info. Would be deleted in the Rapp version, please take a further check. </w:t>
      </w:r>
      <w:r w:rsidR="00497A57">
        <w:rPr>
          <w:rFonts w:eastAsiaTheme="minorEastAsia"/>
          <w:lang w:eastAsia="zh-CN"/>
        </w:rPr>
        <w:t>(</w:t>
      </w:r>
      <w:r w:rsidR="00497A57">
        <w:t>See v07</w:t>
      </w:r>
      <w:r w:rsidR="00497A57" w:rsidRPr="00497A57">
        <w:t>_Rapp version</w:t>
      </w:r>
    </w:p>
    <w:p w14:paraId="3B15F070" w14:textId="2087F5D8" w:rsidR="006520C9" w:rsidRPr="006520C9" w:rsidRDefault="00497A57">
      <w:pPr>
        <w:pStyle w:val="a6"/>
        <w:rPr>
          <w:rFonts w:eastAsiaTheme="minorEastAsia" w:hint="eastAsia"/>
          <w:lang w:eastAsia="zh-CN"/>
        </w:rPr>
      </w:pPr>
      <w:r>
        <w:rPr>
          <w:rFonts w:eastAsiaTheme="minorEastAsia"/>
          <w:lang w:eastAsia="zh-CN"/>
        </w:rPr>
        <w:t>)</w:t>
      </w:r>
    </w:p>
  </w:comment>
  <w:comment w:id="43" w:author="Intel - Yujian Zhang" w:date="2023-03-29T15:26:00Z" w:initials="I">
    <w:p w14:paraId="4B1C3E21" w14:textId="77777777" w:rsidR="0019138E" w:rsidRDefault="0019138E" w:rsidP="0019138E">
      <w:pPr>
        <w:pStyle w:val="a6"/>
      </w:pPr>
      <w:r>
        <w:rPr>
          <w:rStyle w:val="af3"/>
        </w:rPr>
        <w:annotationRef/>
      </w:r>
      <w:r>
        <w:rPr>
          <w:rStyle w:val="af3"/>
        </w:rPr>
        <w:annotationRef/>
      </w:r>
      <w:r>
        <w:t>Not sure whether we need this sentence. RAN2#121 meeting agreed “</w:t>
      </w:r>
      <w:r w:rsidRPr="004B42C1">
        <w:t>LTE MN does not configure the UE with R18 NR IDC configuration</w:t>
      </w:r>
      <w:r>
        <w:t>”. The added sentence “</w:t>
      </w:r>
      <w:r w:rsidRPr="00176444">
        <w:rPr>
          <w:i/>
          <w:iCs/>
        </w:rPr>
        <w:t>In EN-DC, the MN can configure the UE to report FDM assistance information with affected carriers and/or TDM assistance information</w:t>
      </w:r>
      <w:r w:rsidRPr="00176444">
        <w:rPr>
          <w:rStyle w:val="af3"/>
          <w:i/>
          <w:iCs/>
        </w:rPr>
        <w:annotationRef/>
      </w:r>
      <w:r>
        <w:t xml:space="preserve">” is Rel-15 LTE behavior and TDM assistance information refers to LTE Rel-11 TDM assistance information. </w:t>
      </w:r>
    </w:p>
    <w:p w14:paraId="59B9074B" w14:textId="15885F9E" w:rsidR="0019138E" w:rsidRDefault="0019138E">
      <w:pPr>
        <w:pStyle w:val="a6"/>
      </w:pPr>
    </w:p>
  </w:comment>
  <w:comment w:id="44" w:author="Xiaomi - Yumin Wu" w:date="2023-03-29T19:18:00Z" w:initials="Xiaomi">
    <w:p w14:paraId="6B1A2118" w14:textId="4BD1EF72" w:rsidR="000E330F" w:rsidRDefault="000E330F">
      <w:pPr>
        <w:pStyle w:val="a6"/>
      </w:pPr>
      <w:r>
        <w:rPr>
          <w:rStyle w:val="af3"/>
        </w:rPr>
        <w:annotationRef/>
      </w:r>
      <w:r>
        <w:t xml:space="preserve">Maybe we can have clearer text saying that this is to allow the LTE MN configuring the </w:t>
      </w:r>
      <w:r w:rsidR="003E5924">
        <w:rPr>
          <w:rFonts w:asciiTheme="minorEastAsia" w:eastAsiaTheme="minorEastAsia" w:hAnsiTheme="minorEastAsia" w:hint="eastAsia"/>
          <w:lang w:eastAsia="zh-CN"/>
        </w:rPr>
        <w:t>LTE</w:t>
      </w:r>
      <w:r>
        <w:t xml:space="preserve"> IDC configuration.</w:t>
      </w:r>
    </w:p>
  </w:comment>
  <w:comment w:id="45" w:author="ZTE(Wenting)" w:date="2023-03-30T10:55:00Z" w:initials="MSOffice">
    <w:p w14:paraId="13F45B4F" w14:textId="5576EF79" w:rsidR="00526E1E" w:rsidRPr="006520C9" w:rsidRDefault="006520C9">
      <w:pPr>
        <w:pStyle w:val="a6"/>
        <w:rPr>
          <w:rFonts w:eastAsiaTheme="minorEastAsia" w:hint="eastAsia"/>
          <w:lang w:eastAsia="zh-CN"/>
        </w:rPr>
      </w:pPr>
      <w:r>
        <w:rPr>
          <w:rStyle w:val="af3"/>
        </w:rPr>
        <w:annotationRef/>
      </w:r>
      <w:r>
        <w:rPr>
          <w:rFonts w:eastAsiaTheme="minorEastAsia"/>
          <w:lang w:eastAsia="zh-CN"/>
        </w:rPr>
        <w:t xml:space="preserve">We think </w:t>
      </w:r>
      <w:r w:rsidR="00526E1E">
        <w:rPr>
          <w:rFonts w:eastAsiaTheme="minorEastAsia"/>
          <w:lang w:eastAsia="zh-CN"/>
        </w:rPr>
        <w:t>the features in the R15</w:t>
      </w:r>
      <w:r>
        <w:rPr>
          <w:rFonts w:eastAsiaTheme="minorEastAsia"/>
          <w:lang w:eastAsia="zh-CN"/>
        </w:rPr>
        <w:t xml:space="preserve"> shall also </w:t>
      </w:r>
      <w:r w:rsidR="00526E1E">
        <w:rPr>
          <w:rFonts w:eastAsiaTheme="minorEastAsia"/>
          <w:lang w:eastAsia="zh-CN"/>
        </w:rPr>
        <w:t>be kept in the R18</w:t>
      </w:r>
      <w:r>
        <w:rPr>
          <w:rFonts w:eastAsiaTheme="minorEastAsia"/>
          <w:lang w:eastAsia="zh-CN"/>
        </w:rPr>
        <w:t xml:space="preserve">, </w:t>
      </w:r>
      <w:r w:rsidR="00526E1E">
        <w:rPr>
          <w:rFonts w:eastAsiaTheme="minorEastAsia"/>
          <w:lang w:eastAsia="zh-CN"/>
        </w:rPr>
        <w:t xml:space="preserve">for the EN-DC only carrier based reporting was supported as R15 has done, while for the NR-DC the frequency range based solution was supported, that’s the intention to add this sentence. But we </w:t>
      </w:r>
      <w:r w:rsidR="00497A57">
        <w:rPr>
          <w:rFonts w:eastAsiaTheme="minorEastAsia"/>
          <w:lang w:eastAsia="zh-CN"/>
        </w:rPr>
        <w:t xml:space="preserve">agree that the </w:t>
      </w:r>
      <w:r w:rsidR="00526E1E">
        <w:rPr>
          <w:rFonts w:eastAsiaTheme="minorEastAsia"/>
          <w:lang w:eastAsia="zh-CN"/>
        </w:rPr>
        <w:t>“</w:t>
      </w:r>
      <w:r w:rsidR="00526E1E">
        <w:t>TDM assistance information</w:t>
      </w:r>
      <w:r w:rsidR="00526E1E">
        <w:rPr>
          <w:rStyle w:val="af3"/>
        </w:rPr>
        <w:annotationRef/>
      </w:r>
      <w:r w:rsidR="00526E1E">
        <w:rPr>
          <w:rStyle w:val="af3"/>
        </w:rPr>
        <w:annotationRef/>
      </w:r>
      <w:r w:rsidR="00526E1E">
        <w:rPr>
          <w:rStyle w:val="af3"/>
        </w:rPr>
        <w:annotationRef/>
      </w:r>
      <w:r w:rsidR="00526E1E">
        <w:rPr>
          <w:rFonts w:eastAsiaTheme="minorEastAsia"/>
          <w:lang w:eastAsia="zh-CN"/>
        </w:rPr>
        <w:t>”</w:t>
      </w:r>
      <w:r w:rsidR="00497A57">
        <w:rPr>
          <w:rFonts w:eastAsiaTheme="minorEastAsia"/>
          <w:lang w:eastAsia="zh-CN"/>
        </w:rPr>
        <w:t xml:space="preserve"> shall be deleted (</w:t>
      </w:r>
      <w:r w:rsidR="00497A57">
        <w:t>See v07</w:t>
      </w:r>
      <w:r w:rsidR="00497A57" w:rsidRPr="00497A57">
        <w:t>_Rapp version</w:t>
      </w:r>
      <w:r w:rsidR="00497A57">
        <w:rPr>
          <w:rFonts w:eastAsiaTheme="minorEastAsia"/>
          <w:lang w:eastAsia="zh-CN"/>
        </w:rPr>
        <w:t>)</w:t>
      </w:r>
    </w:p>
  </w:comment>
  <w:comment w:id="57" w:author="Ericsson(Min)" w:date="2023-03-28T15:50:00Z" w:initials="E">
    <w:p w14:paraId="6C1BE6D5" w14:textId="354391F8" w:rsidR="003302AF" w:rsidRDefault="003302AF">
      <w:pPr>
        <w:pStyle w:val="a6"/>
      </w:pPr>
      <w:r>
        <w:rPr>
          <w:rStyle w:val="af3"/>
        </w:rPr>
        <w:annotationRef/>
      </w:r>
      <w:r>
        <w:rPr>
          <w:color w:val="000000"/>
        </w:rPr>
        <w:t>Usually and/or is not used, not a big issue. Anyway, “Or” should cover all options</w:t>
      </w:r>
    </w:p>
  </w:comment>
  <w:comment w:id="58" w:author="ZTE(Wenting)" w:date="2023-03-30T10:47:00Z" w:initials="MSOffice">
    <w:p w14:paraId="2235FB80" w14:textId="2F0B3293" w:rsidR="00447B3D" w:rsidRPr="00447B3D" w:rsidRDefault="00447B3D">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 xml:space="preserve">hanks for the </w:t>
      </w:r>
      <w:r w:rsidR="006520C9">
        <w:rPr>
          <w:rFonts w:eastAsiaTheme="minorEastAsia"/>
          <w:lang w:eastAsia="zh-CN"/>
        </w:rPr>
        <w:t>comments. We just checked the 37340, and find that and/or is also used at other places. So we keep it as it is in the v07_Rapp version.</w:t>
      </w:r>
    </w:p>
  </w:comment>
  <w:comment w:id="67" w:author="Ericsson(Min)" w:date="2023-03-28T15:51:00Z" w:initials="E">
    <w:p w14:paraId="27FB31F9" w14:textId="77777777" w:rsidR="00EA5D11" w:rsidRDefault="00EA5D11" w:rsidP="00EA5D11">
      <w:pPr>
        <w:pStyle w:val="a6"/>
      </w:pPr>
      <w:r>
        <w:rPr>
          <w:rStyle w:val="af3"/>
        </w:rPr>
        <w:annotationRef/>
      </w:r>
      <w:r>
        <w:t>Suggest to move up this sentence and merge with “For the TDM solution, the gap pattern can be signalled per-CG in IDC indication”, as</w:t>
      </w:r>
    </w:p>
    <w:p w14:paraId="6AB8EA68" w14:textId="77777777" w:rsidR="00EA5D11" w:rsidRDefault="00EA5D11" w:rsidP="00EA5D11">
      <w:pPr>
        <w:pStyle w:val="a6"/>
      </w:pPr>
    </w:p>
    <w:p w14:paraId="0964AFF8" w14:textId="53058686" w:rsidR="00EA5D11" w:rsidRDefault="00EA5D11" w:rsidP="00EA5D11">
      <w:pPr>
        <w:pStyle w:val="a6"/>
      </w:pPr>
      <w:r>
        <w:t xml:space="preserve">For the TDM solution, </w:t>
      </w:r>
      <w:r w:rsidRPr="008A5F88">
        <w:rPr>
          <w:highlight w:val="yellow"/>
        </w:rPr>
        <w:t>periodic pattern or autonomous denial</w:t>
      </w:r>
      <w:r>
        <w:t xml:space="preserve"> can be </w:t>
      </w:r>
      <w:r w:rsidRPr="008A5F88">
        <w:rPr>
          <w:highlight w:val="yellow"/>
        </w:rPr>
        <w:t>configured</w:t>
      </w:r>
      <w:r>
        <w:t xml:space="preserve"> </w:t>
      </w:r>
      <w:r w:rsidRPr="008A5F88">
        <w:rPr>
          <w:strike/>
        </w:rPr>
        <w:t>signalled</w:t>
      </w:r>
      <w:r>
        <w:t xml:space="preserve"> per-CG </w:t>
      </w:r>
      <w:r w:rsidRPr="008A5F88">
        <w:rPr>
          <w:strike/>
        </w:rPr>
        <w:t>in</w:t>
      </w:r>
      <w:r>
        <w:t xml:space="preserve"> </w:t>
      </w:r>
      <w:r w:rsidRPr="008A5F88">
        <w:rPr>
          <w:strike/>
        </w:rPr>
        <w:t>IDC indication</w:t>
      </w:r>
    </w:p>
  </w:comment>
  <w:comment w:id="68" w:author="ZTE(Wenting)" w:date="2023-03-30T10:43:00Z" w:initials="MSOffice">
    <w:p w14:paraId="5EB62651" w14:textId="56A20F68" w:rsidR="00447B3D" w:rsidRPr="00447B3D" w:rsidRDefault="00447B3D">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hanks for the comments. At the beginning we also merged these two items together, but then we think the first 2 sentences focus on UE reporting, while the following sentences are described from the network configuration aspect. That’s the reason why we don’t merge them together.</w:t>
      </w:r>
    </w:p>
  </w:comment>
  <w:comment w:id="77" w:author="Ericsson(Min)" w:date="2023-03-28T15:51:00Z" w:initials="E">
    <w:p w14:paraId="29586BF7" w14:textId="77777777" w:rsidR="00BF6818" w:rsidRDefault="00BF6818" w:rsidP="00BF6818">
      <w:pPr>
        <w:jc w:val="left"/>
      </w:pPr>
      <w:r>
        <w:rPr>
          <w:rStyle w:val="af3"/>
        </w:rPr>
        <w:annotationRef/>
      </w:r>
      <w:r>
        <w:rPr>
          <w:rStyle w:val="af3"/>
        </w:rPr>
        <w:annotationRef/>
      </w:r>
      <w:r>
        <w:rPr>
          <w:rFonts w:eastAsia="Times New Roman"/>
          <w:lang w:eastAsia="ja-JP"/>
        </w:rPr>
        <w:t>Would not use “the reporting” but rather “an IDC report”</w:t>
      </w:r>
    </w:p>
    <w:p w14:paraId="1B36E80F" w14:textId="4032B873" w:rsidR="00BF6818" w:rsidRDefault="00BF6818">
      <w:pPr>
        <w:pStyle w:val="a6"/>
      </w:pPr>
    </w:p>
  </w:comment>
  <w:comment w:id="78" w:author="ZTE(Wenting)" w:date="2023-03-30T10:42:00Z" w:initials="MSOffice">
    <w:p w14:paraId="118AF2BF" w14:textId="281C6E1B" w:rsidR="00447B3D" w:rsidRPr="00447B3D" w:rsidRDefault="00447B3D">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hanks for the comments, updated in the _v07_Rapp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D502F" w15:done="0"/>
  <w15:commentEx w15:paraId="62650593" w15:paraIdParent="364D502F" w15:done="0"/>
  <w15:commentEx w15:paraId="457C90D1" w15:done="0"/>
  <w15:commentEx w15:paraId="378BE6D9" w15:paraIdParent="457C90D1" w15:done="0"/>
  <w15:commentEx w15:paraId="61B4476E" w15:paraIdParent="457C90D1" w15:done="0"/>
  <w15:commentEx w15:paraId="22D7B595" w15:paraIdParent="457C90D1" w15:done="0"/>
  <w15:commentEx w15:paraId="759E5A6C" w15:done="0"/>
  <w15:commentEx w15:paraId="006601E7" w15:paraIdParent="759E5A6C" w15:done="0"/>
  <w15:commentEx w15:paraId="147299AB" w15:paraIdParent="759E5A6C" w15:done="0"/>
  <w15:commentEx w15:paraId="2E259FEB" w15:done="0"/>
  <w15:commentEx w15:paraId="5CAE12B5" w15:paraIdParent="2E259FEB" w15:done="0"/>
  <w15:commentEx w15:paraId="43497892" w15:done="0"/>
  <w15:commentEx w15:paraId="5F8D4040" w15:paraIdParent="43497892" w15:done="0"/>
  <w15:commentEx w15:paraId="3B15F070" w15:paraIdParent="43497892" w15:done="0"/>
  <w15:commentEx w15:paraId="59B9074B" w15:done="0"/>
  <w15:commentEx w15:paraId="6B1A2118" w15:paraIdParent="59B9074B" w15:done="0"/>
  <w15:commentEx w15:paraId="13F45B4F" w15:paraIdParent="59B9074B" w15:done="0"/>
  <w15:commentEx w15:paraId="6C1BE6D5" w15:done="0"/>
  <w15:commentEx w15:paraId="2235FB80" w15:paraIdParent="6C1BE6D5" w15:done="0"/>
  <w15:commentEx w15:paraId="0964AFF8" w15:done="0"/>
  <w15:commentEx w15:paraId="5EB62651" w15:paraIdParent="0964AFF8" w15:done="0"/>
  <w15:commentEx w15:paraId="1B36E80F" w15:done="0"/>
  <w15:commentEx w15:paraId="118AF2BF" w15:paraIdParent="1B36E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ADB" w16cex:dateUtc="2023-03-28T13:48:00Z"/>
  <w16cex:commentExtensible w16cex:durableId="27C6B324" w16cex:dateUtc="2023-03-23T18:14:00Z"/>
  <w16cex:commentExtensible w16cex:durableId="27CE86EA" w16cex:dateUtc="2023-03-29T06:44:00Z"/>
  <w16cex:commentExtensible w16cex:durableId="27CF0CB4" w16cex:dateUtc="2023-03-29T11:15:00Z"/>
  <w16cex:commentExtensible w16cex:durableId="27CD8B08" w16cex:dateUtc="2023-03-28T13:49:00Z"/>
  <w16cex:commentExtensible w16cex:durableId="27CE85A9" w16cex:dateUtc="2023-03-29T06:38:00Z"/>
  <w16cex:commentExtensible w16cex:durableId="27CED6EB" w16cex:dateUtc="2023-03-29T07:25:00Z"/>
  <w16cex:commentExtensible w16cex:durableId="27CD8B32" w16cex:dateUtc="2023-03-28T13:50:00Z"/>
  <w16cex:commentExtensible w16cex:durableId="27CE8788" w16cex:dateUtc="2023-03-29T06:46:00Z"/>
  <w16cex:commentExtensible w16cex:durableId="27CED70F" w16cex:dateUtc="2023-03-29T07:26:00Z"/>
  <w16cex:commentExtensible w16cex:durableId="27CF0D6F" w16cex:dateUtc="2023-03-29T11:18:00Z"/>
  <w16cex:commentExtensible w16cex:durableId="27CD8B54" w16cex:dateUtc="2023-03-28T13:50:00Z"/>
  <w16cex:commentExtensible w16cex:durableId="27CD8B6C" w16cex:dateUtc="2023-03-28T13:51:00Z"/>
  <w16cex:commentExtensible w16cex:durableId="27CD8B7F" w16cex:dateUtc="2023-03-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502F" w16cid:durableId="27CD8ADB"/>
  <w16cid:commentId w16cid:paraId="457C90D1" w16cid:durableId="27C6B324"/>
  <w16cid:commentId w16cid:paraId="378BE6D9" w16cid:durableId="27CE86EA"/>
  <w16cid:commentId w16cid:paraId="61B4476E" w16cid:durableId="27CF0CB4"/>
  <w16cid:commentId w16cid:paraId="759E5A6C" w16cid:durableId="27CD8B08"/>
  <w16cid:commentId w16cid:paraId="006601E7" w16cid:durableId="27CE85A9"/>
  <w16cid:commentId w16cid:paraId="2E259FEB" w16cid:durableId="27CED6EB"/>
  <w16cid:commentId w16cid:paraId="43497892" w16cid:durableId="27CD8B32"/>
  <w16cid:commentId w16cid:paraId="5F8D4040" w16cid:durableId="27CE8788"/>
  <w16cid:commentId w16cid:paraId="59B9074B" w16cid:durableId="27CED70F"/>
  <w16cid:commentId w16cid:paraId="6B1A2118" w16cid:durableId="27CF0D6F"/>
  <w16cid:commentId w16cid:paraId="6C1BE6D5" w16cid:durableId="27CD8B54"/>
  <w16cid:commentId w16cid:paraId="0964AFF8" w16cid:durableId="27CD8B6C"/>
  <w16cid:commentId w16cid:paraId="1B36E80F" w16cid:durableId="27CD8B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00058" w14:textId="77777777" w:rsidR="000B6621" w:rsidRDefault="000B6621">
      <w:pPr>
        <w:spacing w:line="240" w:lineRule="auto"/>
      </w:pPr>
      <w:r>
        <w:separator/>
      </w:r>
    </w:p>
  </w:endnote>
  <w:endnote w:type="continuationSeparator" w:id="0">
    <w:p w14:paraId="636311BB" w14:textId="77777777" w:rsidR="000B6621" w:rsidRDefault="000B6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86C6" w14:textId="77777777" w:rsidR="000B6621" w:rsidRDefault="000B6621">
      <w:pPr>
        <w:spacing w:after="0"/>
      </w:pPr>
      <w:r>
        <w:separator/>
      </w:r>
    </w:p>
  </w:footnote>
  <w:footnote w:type="continuationSeparator" w:id="0">
    <w:p w14:paraId="7D5C8C55" w14:textId="77777777" w:rsidR="000B6621" w:rsidRDefault="000B66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Min)">
    <w15:presenceInfo w15:providerId="None" w15:userId="Ericsson(Min)"/>
  </w15:person>
  <w15:person w15:author="ZTE(Wenting)">
    <w15:presenceInfo w15:providerId="None" w15:userId="ZTE(Wenting)"/>
  </w15:person>
  <w15:person w15:author="RAN2#122">
    <w15:presenceInfo w15:providerId="None" w15:userId="RAN2#122"/>
  </w15:person>
  <w15:person w15:author="Qualcomm - Sherif Elazzouni">
    <w15:presenceInfo w15:providerId="None" w15:userId="Qualcomm - Sherif Elazzouni"/>
  </w15:person>
  <w15:person w15:author="Nokia (Jarkko)">
    <w15:presenceInfo w15:providerId="None" w15:userId="Nokia (Jarkko)"/>
  </w15:person>
  <w15:person w15:author="Xiaomi - Yumin Wu">
    <w15:presenceInfo w15:providerId="None" w15:userId="Xiaomi - Yumin Wu"/>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6621"/>
    <w:rsid w:val="000B7010"/>
    <w:rsid w:val="000C71DD"/>
    <w:rsid w:val="000D517E"/>
    <w:rsid w:val="000E0E50"/>
    <w:rsid w:val="000E2CE1"/>
    <w:rsid w:val="000E330F"/>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138E"/>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41DF"/>
    <w:rsid w:val="002D58EC"/>
    <w:rsid w:val="002E2B6C"/>
    <w:rsid w:val="002F232E"/>
    <w:rsid w:val="002F2AA1"/>
    <w:rsid w:val="0030086D"/>
    <w:rsid w:val="00302EFF"/>
    <w:rsid w:val="00304715"/>
    <w:rsid w:val="003051E4"/>
    <w:rsid w:val="00310B76"/>
    <w:rsid w:val="00311077"/>
    <w:rsid w:val="00312CAE"/>
    <w:rsid w:val="00312EE9"/>
    <w:rsid w:val="00317B24"/>
    <w:rsid w:val="003302AF"/>
    <w:rsid w:val="00334917"/>
    <w:rsid w:val="003379A5"/>
    <w:rsid w:val="00341C32"/>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6E1E"/>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54"/>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C0501C"/>
    <w:rsid w:val="00C116AD"/>
    <w:rsid w:val="00C1775B"/>
    <w:rsid w:val="00C20744"/>
    <w:rsid w:val="00C230A7"/>
    <w:rsid w:val="00C24BBE"/>
    <w:rsid w:val="00C27B91"/>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5">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5"/>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D41DF"/>
    <w:rPr>
      <w:rFonts w:eastAsia="Malgun Gothic"/>
      <w:lang w:val="en-GB" w:eastAsia="en-US"/>
    </w:rPr>
  </w:style>
  <w:style w:type="paragraph" w:customStyle="1" w:styleId="Note-Boxed">
    <w:name w:val="Note - Boxed"/>
    <w:basedOn w:val="a"/>
    <w:next w:val="a"/>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rsid w:val="009D1CC6"/>
    <w:pPr>
      <w:numPr>
        <w:numId w:val="4"/>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RAN2#122_v2</cp:lastModifiedBy>
  <cp:revision>3</cp:revision>
  <dcterms:created xsi:type="dcterms:W3CDTF">2023-03-30T03:25:00Z</dcterms:created>
  <dcterms:modified xsi:type="dcterms:W3CDTF">2023-03-30T03:32:00Z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