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黑体"/>
          <w:b/>
          <w:sz w:val="24"/>
          <w:szCs w:val="24"/>
        </w:rPr>
        <w:t xml:space="preserve"> TSG-</w:t>
      </w:r>
      <w:bookmarkStart w:id="0" w:name="OLE_LINK199"/>
      <w:bookmarkStart w:id="1" w:name="OLE_LINK198"/>
      <w:r>
        <w:rPr>
          <w:rFonts w:cs="黑体"/>
          <w:b/>
          <w:sz w:val="24"/>
          <w:szCs w:val="24"/>
        </w:rPr>
        <w:t>RAN WG2 Meeting</w:t>
      </w:r>
      <w:bookmarkEnd w:id="0"/>
      <w:bookmarkEnd w:id="1"/>
      <w:r>
        <w:rPr>
          <w:rFonts w:cs="黑体"/>
          <w:b/>
          <w:sz w:val="24"/>
          <w:szCs w:val="24"/>
        </w:rPr>
        <w:t xml:space="preserve"> #121</w:t>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宋体" w:hAnsi="Arial"/>
          <w:b/>
          <w:sz w:val="24"/>
          <w:lang w:eastAsia="ja-JP"/>
        </w:rPr>
      </w:pPr>
      <w:r>
        <w:rPr>
          <w:rFonts w:ascii="Arial" w:eastAsia="宋体" w:hAnsi="Arial"/>
          <w:b/>
          <w:sz w:val="24"/>
          <w:lang w:eastAsia="ja-JP"/>
        </w:rPr>
        <w:t xml:space="preserve">Incheon, KR, </w:t>
      </w:r>
      <w:r>
        <w:rPr>
          <w:rFonts w:ascii="Arial" w:eastAsia="宋体" w:hAnsi="Arial" w:hint="eastAsia"/>
          <w:b/>
          <w:sz w:val="24"/>
          <w:lang w:eastAsia="ja-JP"/>
        </w:rPr>
        <w:t>May</w:t>
      </w:r>
      <w:r>
        <w:rPr>
          <w:rFonts w:ascii="Arial" w:eastAsia="宋体" w:hAnsi="Arial"/>
          <w:b/>
          <w:sz w:val="24"/>
          <w:lang w:eastAsia="ja-JP"/>
        </w:rPr>
        <w:t xml:space="preserve"> 2</w:t>
      </w:r>
      <w:r>
        <w:rPr>
          <w:rFonts w:ascii="Arial" w:eastAsia="宋体" w:hAnsi="Arial" w:hint="eastAsia"/>
          <w:b/>
          <w:sz w:val="24"/>
          <w:lang w:eastAsia="ja-JP"/>
        </w:rPr>
        <w:t>2</w:t>
      </w:r>
      <w:r>
        <w:rPr>
          <w:rFonts w:ascii="Arial" w:eastAsia="宋体" w:hAnsi="Arial"/>
          <w:b/>
          <w:sz w:val="24"/>
          <w:lang w:eastAsia="ja-JP"/>
        </w:rPr>
        <w:t>-</w:t>
      </w:r>
      <w:r>
        <w:rPr>
          <w:rFonts w:ascii="Arial" w:eastAsia="宋体" w:hAnsi="Arial" w:hint="eastAsia"/>
          <w:b/>
          <w:sz w:val="24"/>
          <w:lang w:eastAsia="ja-JP"/>
        </w:rPr>
        <w:t xml:space="preserve"> May 26</w:t>
      </w:r>
      <w:r>
        <w:rPr>
          <w:rFonts w:ascii="Arial" w:eastAsia="宋体"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宋体"/>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宋体"/>
                <w:lang w:eastAsia="zh-CN"/>
              </w:rPr>
            </w:pPr>
            <w:r>
              <w:rPr>
                <w:rFonts w:eastAsia="宋体"/>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宋体"/>
                <w:sz w:val="18"/>
                <w:lang w:eastAsia="zh-CN"/>
              </w:rPr>
              <w:t>Huawei, HiSilicon</w:t>
            </w:r>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宋体"/>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宋体"/>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宋体"/>
                <w:bCs/>
                <w:lang w:eastAsia="zh-CN"/>
              </w:rPr>
            </w:pPr>
            <w:r>
              <w:rPr>
                <w:rFonts w:eastAsia="宋体"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宋体"/>
                <w:lang w:eastAsia="zh-CN"/>
              </w:rPr>
            </w:pPr>
            <w:r>
              <w:t>Rel-1</w:t>
            </w:r>
            <w:r>
              <w:rPr>
                <w:rFonts w:eastAsia="宋体"/>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宋体"/>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宋体"/>
                <w:lang w:val="en-US" w:eastAsia="zh-CN"/>
              </w:rPr>
            </w:pPr>
            <w:r>
              <w:rPr>
                <w:rFonts w:eastAsia="宋体"/>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2"/>
            <w:r>
              <w:rPr>
                <w:b/>
                <w:caps/>
              </w:rPr>
              <w:t>X</w:t>
            </w:r>
            <w:commentRangeEnd w:id="2"/>
            <w:r w:rsidR="0003080D">
              <w:rPr>
                <w:rStyle w:val="CommentReference"/>
                <w:rFonts w:ascii="Times New Roman" w:hAnsi="Times New Roman"/>
              </w:rPr>
              <w:commentReference w:id="2"/>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宋体"/>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宋体"/>
          <w:lang w:eastAsia="zh-CN"/>
        </w:rPr>
        <w:sectPr w:rsidR="00237425">
          <w:headerReference w:type="even" r:id="rId21"/>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1</w:t>
      </w:r>
      <w:r>
        <w:rPr>
          <w:i/>
          <w:vertAlign w:val="superscript"/>
        </w:rPr>
        <w:t>st</w:t>
      </w:r>
      <w:r>
        <w:rPr>
          <w:i/>
        </w:rPr>
        <w:t xml:space="preserve"> change</w:t>
      </w:r>
    </w:p>
    <w:p w14:paraId="5C72C55C" w14:textId="77777777" w:rsidR="00237425" w:rsidRDefault="003C1BAC">
      <w:pPr>
        <w:pStyle w:val="Heading2"/>
        <w:rPr>
          <w:sz w:val="36"/>
          <w:szCs w:val="36"/>
        </w:rPr>
      </w:pPr>
      <w:bookmarkStart w:id="5" w:name="_Toc20387961"/>
      <w:bookmarkStart w:id="6" w:name="_Toc46501984"/>
      <w:bookmarkStart w:id="7" w:name="_Toc29376040"/>
      <w:bookmarkStart w:id="8" w:name="_Toc37231929"/>
      <w:bookmarkStart w:id="9" w:name="_Toc51971332"/>
      <w:bookmarkStart w:id="10" w:name="_Toc52551315"/>
      <w:bookmarkStart w:id="11" w:name="_Toc124536073"/>
      <w:bookmarkStart w:id="12" w:name="_Toc29376031"/>
      <w:bookmarkStart w:id="13" w:name="_Toc37231920"/>
      <w:bookmarkStart w:id="14" w:name="_Toc46501975"/>
      <w:bookmarkStart w:id="15" w:name="_Toc20387952"/>
      <w:bookmarkStart w:id="16" w:name="_Toc51971323"/>
      <w:bookmarkStart w:id="17" w:name="_Toc52551350"/>
      <w:bookmarkStart w:id="18" w:name="_Toc51971367"/>
      <w:bookmarkStart w:id="19" w:name="_Toc67860704"/>
      <w:bookmarkStart w:id="20" w:name="_Toc52551306"/>
      <w:bookmarkStart w:id="21" w:name="_Toc67860749"/>
      <w:bookmarkStart w:id="22" w:name="_Toc37231962"/>
      <w:bookmarkStart w:id="23" w:name="_Toc46502019"/>
      <w:bookmarkEnd w:id="3"/>
      <w:bookmarkEnd w:id="4"/>
      <w:r>
        <w:rPr>
          <w:sz w:val="36"/>
          <w:szCs w:val="36"/>
        </w:rPr>
        <w:t>7.9</w:t>
      </w:r>
      <w:r>
        <w:rPr>
          <w:sz w:val="36"/>
          <w:szCs w:val="36"/>
        </w:rPr>
        <w:tab/>
        <w:t>UE Assistance Information</w:t>
      </w:r>
      <w:bookmarkEnd w:id="5"/>
      <w:bookmarkEnd w:id="6"/>
      <w:bookmarkEnd w:id="7"/>
      <w:bookmarkEnd w:id="8"/>
      <w:bookmarkEnd w:id="9"/>
      <w:bookmarkEnd w:id="10"/>
      <w:bookmarkEnd w:id="11"/>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If it prefers an adjustment in the connected mode DRX cycle length, for the purpose of delay budget reporting;</w:t>
      </w:r>
    </w:p>
    <w:p w14:paraId="1B806D02" w14:textId="77777777" w:rsidR="00237425" w:rsidRDefault="003C1BAC">
      <w:pPr>
        <w:pStyle w:val="B10"/>
      </w:pPr>
      <w:r>
        <w:t>-</w:t>
      </w:r>
      <w:r>
        <w:tab/>
        <w:t>If it is experiencing internal overheating;</w:t>
      </w:r>
    </w:p>
    <w:p w14:paraId="28E29828" w14:textId="77777777" w:rsidR="00237425" w:rsidRDefault="003C1BAC">
      <w:pPr>
        <w:pStyle w:val="B10"/>
      </w:pPr>
      <w:r>
        <w:t>-</w:t>
      </w:r>
      <w:r>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17F3F360" w14:textId="77777777" w:rsidR="00237425" w:rsidRDefault="003C1BAC">
      <w:pPr>
        <w:pStyle w:val="B10"/>
      </w:pPr>
      <w:r>
        <w:t>-</w:t>
      </w:r>
      <w:r>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4CC703D" w14:textId="77777777" w:rsidR="00237425" w:rsidRDefault="003C1BAC">
      <w:pPr>
        <w:pStyle w:val="B10"/>
        <w:rPr>
          <w:rFonts w:eastAsia="MS Mincho"/>
        </w:rPr>
      </w:pPr>
      <w:r>
        <w:t>-</w:t>
      </w:r>
      <w:r>
        <w:tab/>
      </w:r>
      <w:r>
        <w:rPr>
          <w:rFonts w:eastAsia="MS Mincho"/>
        </w:rPr>
        <w:t xml:space="preserve">If it </w:t>
      </w:r>
      <w:r>
        <w:t>prefers (not) to be provisioned with reference time information</w:t>
      </w:r>
      <w:r>
        <w:rPr>
          <w:rFonts w:eastAsia="MS Mincho"/>
        </w:rPr>
        <w:t>;</w:t>
      </w:r>
    </w:p>
    <w:p w14:paraId="31FA76C7" w14:textId="77777777" w:rsidR="00237425" w:rsidRDefault="003C1BAC">
      <w:pPr>
        <w:pStyle w:val="B10"/>
      </w:pPr>
      <w:r>
        <w:t>-</w:t>
      </w:r>
      <w:r>
        <w:tab/>
        <w:t>If it prefers to transition out of RRC_CONNECTED state for MUSIM operation and its preferred RRC state after transition;</w:t>
      </w:r>
    </w:p>
    <w:p w14:paraId="70AB86FB" w14:textId="77777777" w:rsidR="00237425" w:rsidRDefault="003C1BAC">
      <w:pPr>
        <w:pStyle w:val="B10"/>
      </w:pPr>
      <w:r>
        <w:t>-</w:t>
      </w:r>
      <w:r>
        <w:tab/>
        <w:t>If it wants to include assistance information for setup or release of gaps for MUSIM operation;</w:t>
      </w:r>
    </w:p>
    <w:p w14:paraId="68569E61" w14:textId="77777777" w:rsidR="00D42266" w:rsidRDefault="003C1BAC">
      <w:pPr>
        <w:pStyle w:val="B10"/>
        <w:rPr>
          <w:ins w:id="24" w:author="Benoist (Nokia)" w:date="2023-03-29T14:11:00Z"/>
        </w:rPr>
      </w:pPr>
      <w:r>
        <w:t>-</w:t>
      </w:r>
      <w:r>
        <w:tab/>
      </w:r>
      <w:ins w:id="25" w:author="Benoist (Nokia)" w:date="2023-03-29T14:11:00Z">
        <w:r w:rsidR="00D42266">
          <w:t>When affected by IDC problems:</w:t>
        </w:r>
      </w:ins>
    </w:p>
    <w:p w14:paraId="25CAFBB5" w14:textId="77777777" w:rsidR="00D42266" w:rsidRDefault="00D42266" w:rsidP="00D42266">
      <w:pPr>
        <w:pStyle w:val="B2"/>
        <w:rPr>
          <w:ins w:id="26" w:author="Benoist (Nokia)" w:date="2023-03-29T14:12:00Z"/>
        </w:rPr>
      </w:pPr>
      <w:ins w:id="27" w:author="Benoist (Nokia)" w:date="2023-03-29T14:11:00Z">
        <w:r>
          <w:t>-</w:t>
        </w:r>
        <w:r>
          <w:tab/>
        </w:r>
      </w:ins>
      <w:r w:rsidR="003C1BAC">
        <w:t>The list of frequencies affected by IDC problems (see clause 23.4 of TS 36.300 [2])</w:t>
      </w:r>
      <w:ins w:id="28" w:author="Benoist (Nokia)" w:date="2023-03-29T14:12:00Z">
        <w:r>
          <w:t>;</w:t>
        </w:r>
      </w:ins>
      <w:r w:rsidR="003C1BAC">
        <w:t xml:space="preserve"> </w:t>
      </w:r>
      <w:ins w:id="29" w:author="Before RAN2#121" w:date="2023-03-21T09:19:00Z">
        <w:r w:rsidR="003C1BAC">
          <w:t>or</w:t>
        </w:r>
      </w:ins>
    </w:p>
    <w:p w14:paraId="7718D7C1" w14:textId="77777777" w:rsidR="00D42266" w:rsidRDefault="00D42266" w:rsidP="00D42266">
      <w:pPr>
        <w:pStyle w:val="B2"/>
        <w:rPr>
          <w:ins w:id="30" w:author="Benoist (Nokia)" w:date="2023-03-29T14:13:00Z"/>
        </w:rPr>
      </w:pPr>
      <w:ins w:id="31" w:author="Benoist (Nokia)" w:date="2023-03-29T14:12:00Z">
        <w:r>
          <w:t>-</w:t>
        </w:r>
        <w:r>
          <w:tab/>
        </w:r>
      </w:ins>
      <w:ins w:id="32" w:author="Before RAN2#121" w:date="2023-03-21T09:19:00Z">
        <w:del w:id="33" w:author="Benoist (Nokia)" w:date="2023-03-29T14:12:00Z">
          <w:r w:rsidR="003C1BAC" w:rsidDel="00D42266">
            <w:delText xml:space="preserve"> t</w:delText>
          </w:r>
        </w:del>
      </w:ins>
      <w:ins w:id="34" w:author="Benoist (Nokia)" w:date="2023-03-29T14:12:00Z">
        <w:r>
          <w:t>T</w:t>
        </w:r>
      </w:ins>
      <w:ins w:id="35" w:author="Before RAN2#121" w:date="2023-03-21T09:19:00Z">
        <w:r w:rsidR="003C1BAC">
          <w:t xml:space="preserve">he </w:t>
        </w:r>
        <w:r w:rsidR="003C1BAC">
          <w:rPr>
            <w:lang w:eastAsia="zh-CN"/>
          </w:rPr>
          <w:t>list of frequency ranges</w:t>
        </w:r>
      </w:ins>
      <w:ins w:id="36" w:author="After RAN2#121" w:date="2023-03-21T18:26:00Z">
        <w:r w:rsidR="003C1BAC">
          <w:rPr>
            <w:lang w:eastAsia="zh-CN"/>
          </w:rPr>
          <w:t>/</w:t>
        </w:r>
      </w:ins>
      <w:ins w:id="37" w:author="After RAN2#121" w:date="2023-03-20T23:44:00Z">
        <w:r w:rsidR="003C1BAC">
          <w:rPr>
            <w:lang w:eastAsia="zh-CN"/>
          </w:rPr>
          <w:t>frequency range</w:t>
        </w:r>
        <w:commentRangeStart w:id="38"/>
        <w:r w:rsidR="003C1BAC">
          <w:rPr>
            <w:lang w:eastAsia="zh-CN"/>
          </w:rPr>
          <w:t>s</w:t>
        </w:r>
      </w:ins>
      <w:commentRangeEnd w:id="38"/>
      <w:r w:rsidR="006A05F0">
        <w:rPr>
          <w:rStyle w:val="CommentReference"/>
        </w:rPr>
        <w:commentReference w:id="38"/>
      </w:r>
      <w:ins w:id="39" w:author="After RAN2#121" w:date="2023-03-20T23:44:00Z">
        <w:r w:rsidR="003C1BAC">
          <w:rPr>
            <w:lang w:eastAsia="zh-CN"/>
          </w:rPr>
          <w:t xml:space="preserve"> </w:t>
        </w:r>
        <w:commentRangeStart w:id="40"/>
        <w:r w:rsidR="003C1BAC">
          <w:rPr>
            <w:lang w:eastAsia="zh-CN"/>
          </w:rPr>
          <w:t>combination</w:t>
        </w:r>
      </w:ins>
      <w:ins w:id="41" w:author="After RAN2#121" w:date="2023-03-20T23:11:00Z">
        <w:r w:rsidR="003C1BAC">
          <w:rPr>
            <w:lang w:eastAsia="zh-CN"/>
          </w:rPr>
          <w:t xml:space="preserve"> </w:t>
        </w:r>
      </w:ins>
      <w:commentRangeEnd w:id="40"/>
      <w:r w:rsidR="006A05F0">
        <w:rPr>
          <w:rStyle w:val="CommentReference"/>
        </w:rPr>
        <w:commentReference w:id="40"/>
      </w:r>
      <w:ins w:id="42" w:author="Before RAN2#121" w:date="2023-03-21T09:19:00Z">
        <w:r w:rsidR="003C1BAC">
          <w:t>affected by the IDC problems</w:t>
        </w:r>
      </w:ins>
      <w:ins w:id="43" w:author="After RAN2#121" w:date="2023-03-21T18:26:00Z">
        <w:r w:rsidR="003C1BAC">
          <w:t>,</w:t>
        </w:r>
      </w:ins>
      <w:ins w:id="44" w:author="Before RAN2#121" w:date="2023-03-21T09:19:00Z">
        <w:r w:rsidR="003C1BAC">
          <w:t xml:space="preserve"> </w:t>
        </w:r>
      </w:ins>
      <w:commentRangeStart w:id="45"/>
      <w:commentRangeStart w:id="46"/>
      <w:commentRangeStart w:id="47"/>
      <w:ins w:id="48" w:author="After RAN2#121" w:date="2023-03-21T09:14:00Z">
        <w:r w:rsidR="003C1BAC">
          <w:t xml:space="preserve">where a frequency range is characterised by a </w:t>
        </w:r>
        <w:proofErr w:type="spellStart"/>
        <w:r w:rsidR="003C1BAC">
          <w:t>center</w:t>
        </w:r>
        <w:proofErr w:type="spellEnd"/>
        <w:r w:rsidR="003C1BAC">
          <w:t xml:space="preserve"> frequency and bandwidth in </w:t>
        </w:r>
        <w:proofErr w:type="spellStart"/>
        <w:r w:rsidR="003C1BAC">
          <w:t>KHz</w:t>
        </w:r>
        <w:proofErr w:type="spellEnd"/>
        <w:r w:rsidR="003C1BAC">
          <w:t>/MHz</w:t>
        </w:r>
      </w:ins>
      <w:commentRangeEnd w:id="45"/>
      <w:r w:rsidR="003C1BAC">
        <w:commentReference w:id="45"/>
      </w:r>
      <w:commentRangeEnd w:id="46"/>
      <w:r>
        <w:rPr>
          <w:rStyle w:val="CommentReference"/>
        </w:rPr>
        <w:commentReference w:id="46"/>
      </w:r>
      <w:commentRangeEnd w:id="47"/>
      <w:r w:rsidR="005F46B4">
        <w:rPr>
          <w:rStyle w:val="CommentReference"/>
        </w:rPr>
        <w:commentReference w:id="47"/>
      </w:r>
      <w:ins w:id="49" w:author="Benoist (Nokia)" w:date="2023-03-29T14:12:00Z">
        <w:r>
          <w:t>; and</w:t>
        </w:r>
      </w:ins>
      <w:ins w:id="50" w:author="After RAN2#121" w:date="2023-03-21T09:15:00Z">
        <w:del w:id="51" w:author="Benoist (Nokia)" w:date="2023-03-29T14:13:00Z">
          <w:r w:rsidR="003C1BAC" w:rsidDel="00D42266">
            <w:delText>,</w:delText>
          </w:r>
        </w:del>
      </w:ins>
      <w:ins w:id="52" w:author="Before RAN2#121" w:date="2023-03-21T09:19:00Z">
        <w:del w:id="53" w:author="Benoist (Nokia)" w:date="2023-03-29T14:13:00Z">
          <w:r w:rsidR="003C1BAC" w:rsidDel="00D42266">
            <w:delText xml:space="preserve"> and </w:delText>
          </w:r>
        </w:del>
      </w:ins>
    </w:p>
    <w:p w14:paraId="7F665174" w14:textId="3C898B02" w:rsidR="00237425" w:rsidRDefault="00D42266">
      <w:pPr>
        <w:pStyle w:val="B2"/>
        <w:pPrChange w:id="54" w:author="Benoist (Nokia)" w:date="2023-03-29T14:11:00Z">
          <w:pPr>
            <w:pStyle w:val="B10"/>
          </w:pPr>
        </w:pPrChange>
      </w:pPr>
      <w:ins w:id="55" w:author="Benoist (Nokia)" w:date="2023-03-29T14:13:00Z">
        <w:r>
          <w:t>-</w:t>
        </w:r>
        <w:r>
          <w:tab/>
        </w:r>
        <w:commentRangeStart w:id="56"/>
        <w:r>
          <w:t xml:space="preserve">optionally </w:t>
        </w:r>
      </w:ins>
      <w:commentRangeEnd w:id="56"/>
      <w:ins w:id="57" w:author="Benoist (Nokia)" w:date="2023-03-29T14:14:00Z">
        <w:r>
          <w:rPr>
            <w:rStyle w:val="CommentReference"/>
          </w:rPr>
          <w:commentReference w:id="56"/>
        </w:r>
      </w:ins>
      <w:ins w:id="58" w:author="Before RAN2#121" w:date="2023-03-21T09:19:00Z">
        <w:r w:rsidR="003C1BAC">
          <w:t xml:space="preserve">TDM assistance information </w:t>
        </w:r>
        <w:commentRangeStart w:id="59"/>
        <w:commentRangeStart w:id="60"/>
        <w:r w:rsidR="003C1BAC">
          <w:t>including the cycle, start offset and active duration</w:t>
        </w:r>
      </w:ins>
      <w:commentRangeEnd w:id="59"/>
      <w:r w:rsidR="003C1BAC">
        <w:commentReference w:id="59"/>
      </w:r>
      <w:commentRangeEnd w:id="60"/>
      <w:r>
        <w:rPr>
          <w:rStyle w:val="CommentReference"/>
        </w:rPr>
        <w:commentReference w:id="60"/>
      </w:r>
      <w:ins w:id="61" w:author="Before RAN2#121" w:date="2023-03-21T09:19:00Z">
        <w:r w:rsidR="003C1BAC">
          <w:t xml:space="preserve"> </w:t>
        </w:r>
        <w:commentRangeStart w:id="62"/>
        <w:commentRangeStart w:id="63"/>
        <w:commentRangeStart w:id="64"/>
        <w:r w:rsidR="003C1BAC">
          <w:t>to enable appropriate TDM configuration on the serving NR carriers</w:t>
        </w:r>
      </w:ins>
      <w:commentRangeEnd w:id="62"/>
      <w:r>
        <w:rPr>
          <w:rStyle w:val="CommentReference"/>
        </w:rPr>
        <w:commentReference w:id="62"/>
      </w:r>
      <w:commentRangeEnd w:id="63"/>
      <w:r w:rsidR="00774550">
        <w:rPr>
          <w:rStyle w:val="CommentReference"/>
        </w:rPr>
        <w:commentReference w:id="63"/>
      </w:r>
      <w:commentRangeEnd w:id="64"/>
      <w:r w:rsidR="006652E2">
        <w:rPr>
          <w:rStyle w:val="CommentReference"/>
        </w:rPr>
        <w:commentReference w:id="64"/>
      </w:r>
      <w:r w:rsidR="003C1BAC">
        <w:t>;</w:t>
      </w:r>
    </w:p>
    <w:p w14:paraId="38373E74" w14:textId="77777777" w:rsidR="00237425" w:rsidRDefault="003C1BAC">
      <w:pPr>
        <w:pStyle w:val="B10"/>
      </w:pPr>
      <w:r>
        <w:t>-</w:t>
      </w:r>
      <w:r>
        <w:tab/>
        <w:t xml:space="preserve">Its RRM measurement relaxation status </w:t>
      </w:r>
      <w:bookmarkStart w:id="65" w:name="_Hlk94280472"/>
      <w:r>
        <w:t>indicating whether RRM measurement relaxation criteria are met or not</w:t>
      </w:r>
      <w:bookmarkEnd w:id="65"/>
      <w:r>
        <w:t>;</w:t>
      </w:r>
    </w:p>
    <w:p w14:paraId="3A63AF06" w14:textId="77777777" w:rsidR="00237425" w:rsidRDefault="003C1BAC">
      <w:pPr>
        <w:pStyle w:val="B10"/>
      </w:pPr>
      <w:r>
        <w:t>-</w:t>
      </w:r>
      <w:r>
        <w:tab/>
        <w:t>Its RLM measurement relaxation status indicating whether the UE is applying RLM measurements relaxation;</w:t>
      </w:r>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66"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bandwidth and the number of maximum MIMO layers. In </w:t>
      </w:r>
      <w:r>
        <w:t xml:space="preserve">all </w:t>
      </w:r>
      <w:r>
        <w:rPr>
          <w:iCs/>
        </w:rPr>
        <w:t xml:space="preserve">cases, </w:t>
      </w:r>
      <w:r>
        <w:t>it is up to the gNB whether to accommodate the request.</w:t>
      </w:r>
    </w:p>
    <w:p w14:paraId="26BCD156" w14:textId="77777777" w:rsidR="00237425" w:rsidRDefault="003C1BAC">
      <w:r>
        <w:t>For sidelink, the UE can report SL traffic pattern(s) to NG-RAN, for periodic traffic.</w:t>
      </w:r>
      <w:bookmarkEnd w:id="12"/>
      <w:bookmarkEnd w:id="13"/>
      <w:bookmarkEnd w:id="14"/>
      <w:bookmarkEnd w:id="15"/>
      <w:bookmarkEnd w:id="16"/>
      <w:bookmarkEnd w:id="17"/>
      <w:bookmarkEnd w:id="18"/>
      <w:bookmarkEnd w:id="19"/>
      <w:bookmarkEnd w:id="20"/>
      <w:bookmarkEnd w:id="21"/>
      <w:bookmarkEnd w:id="22"/>
      <w:bookmarkEnd w:id="23"/>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67" w:author="Huawei，Hisilicon" w:date="2023-02-02T19:47:00Z">
        <w:r>
          <w:rPr>
            <w:i/>
          </w:rPr>
          <w:t xml:space="preserve"> </w:t>
        </w:r>
      </w:ins>
      <w:r>
        <w:rPr>
          <w:i/>
        </w:rPr>
        <w:t>change</w:t>
      </w:r>
    </w:p>
    <w:p w14:paraId="1A8847CD" w14:textId="77777777" w:rsidR="00237425" w:rsidRDefault="003C1BAC">
      <w:pPr>
        <w:pStyle w:val="Heading2"/>
        <w:rPr>
          <w:sz w:val="36"/>
          <w:szCs w:val="36"/>
        </w:rPr>
      </w:pPr>
      <w:bookmarkStart w:id="68" w:name="_Toc51971390"/>
      <w:bookmarkStart w:id="69" w:name="_Toc52551373"/>
      <w:bookmarkStart w:id="70" w:name="_Toc100782057"/>
      <w:bookmarkStart w:id="71" w:name="_Toc46502042"/>
      <w:bookmarkStart w:id="72" w:name="_Toc37231985"/>
      <w:r>
        <w:rPr>
          <w:sz w:val="36"/>
          <w:szCs w:val="36"/>
        </w:rPr>
        <w:lastRenderedPageBreak/>
        <w:t>10</w:t>
      </w:r>
      <w:r>
        <w:rPr>
          <w:sz w:val="36"/>
          <w:szCs w:val="36"/>
        </w:rPr>
        <w:tab/>
        <w:t>Scheduling</w:t>
      </w:r>
      <w:bookmarkEnd w:id="68"/>
      <w:bookmarkEnd w:id="69"/>
      <w:bookmarkEnd w:id="70"/>
      <w:bookmarkEnd w:id="71"/>
      <w:bookmarkEnd w:id="72"/>
    </w:p>
    <w:p w14:paraId="793742EF" w14:textId="77777777" w:rsidR="00237425" w:rsidRDefault="003C1BAC">
      <w:pPr>
        <w:pStyle w:val="Heading2"/>
        <w:rPr>
          <w:ins w:id="73" w:author="Before RAN2#121" w:date="2023-03-21T09:20:00Z"/>
          <w:lang w:eastAsia="zh-CN"/>
        </w:rPr>
      </w:pPr>
      <w:ins w:id="74" w:author="Before RAN2#121" w:date="2023-03-21T09:20:00Z">
        <w:r>
          <w:rPr>
            <w:rFonts w:hint="eastAsia"/>
            <w:lang w:eastAsia="zh-CN"/>
          </w:rPr>
          <w:t>10</w:t>
        </w:r>
        <w:r>
          <w:rPr>
            <w:lang w:eastAsia="zh-CN"/>
          </w:rPr>
          <w:t xml:space="preserve">. x    </w:t>
        </w:r>
        <w:commentRangeStart w:id="75"/>
        <w:r>
          <w:rPr>
            <w:lang w:eastAsia="zh-CN"/>
          </w:rPr>
          <w:t>Autonomous Denial for IDC</w:t>
        </w:r>
      </w:ins>
      <w:commentRangeEnd w:id="75"/>
      <w:r w:rsidR="00D42266">
        <w:rPr>
          <w:rStyle w:val="CommentReference"/>
          <w:rFonts w:ascii="Times New Roman" w:hAnsi="Times New Roman"/>
        </w:rPr>
        <w:commentReference w:id="75"/>
      </w:r>
    </w:p>
    <w:p w14:paraId="580FC542" w14:textId="77777777" w:rsidR="00237425" w:rsidRDefault="003C1BAC">
      <w:pPr>
        <w:jc w:val="both"/>
        <w:rPr>
          <w:ins w:id="76" w:author="Before RAN2#121" w:date="2023-03-21T09:21:00Z"/>
        </w:rPr>
      </w:pPr>
      <w:ins w:id="77" w:author="Before RAN2#121" w:date="2023-03-21T09:20:00Z">
        <w:r>
          <w:t xml:space="preserve">The network may configure a </w:t>
        </w:r>
        <w:commentRangeStart w:id="78"/>
        <w:r>
          <w:t xml:space="preserve">long-term </w:t>
        </w:r>
      </w:ins>
      <w:commentRangeEnd w:id="78"/>
      <w:r w:rsidR="00127267">
        <w:rPr>
          <w:rStyle w:val="CommentReference"/>
        </w:rPr>
        <w:commentReference w:id="78"/>
      </w:r>
      <w:ins w:id="79" w:author="Before RAN2#121" w:date="2023-03-21T09:20:00Z">
        <w:r>
          <w:t xml:space="preserve">denial rate by dedicated RRC signalling to </w:t>
        </w:r>
        <w:commentRangeStart w:id="80"/>
        <w:r>
          <w:t xml:space="preserve">limit the amount of NR UL autonomous denials </w:t>
        </w:r>
        <w:commentRangeStart w:id="81"/>
        <w:commentRangeStart w:id="82"/>
        <w:commentRangeStart w:id="83"/>
        <w:r>
          <w:t>in order to protect other RAT(s) from IDC problem</w:t>
        </w:r>
      </w:ins>
      <w:commentRangeEnd w:id="81"/>
      <w:r>
        <w:commentReference w:id="81"/>
      </w:r>
      <w:commentRangeEnd w:id="82"/>
      <w:r w:rsidR="00B80433">
        <w:rPr>
          <w:rStyle w:val="CommentReference"/>
        </w:rPr>
        <w:commentReference w:id="82"/>
      </w:r>
      <w:commentRangeEnd w:id="80"/>
      <w:commentRangeEnd w:id="83"/>
      <w:r w:rsidR="00316905">
        <w:rPr>
          <w:rStyle w:val="CommentReference"/>
        </w:rPr>
        <w:commentReference w:id="83"/>
      </w:r>
      <w:r>
        <w:rPr>
          <w:rStyle w:val="CommentReference"/>
        </w:rPr>
        <w:commentReference w:id="80"/>
      </w:r>
      <w:ins w:id="84" w:author="Before RAN2#121" w:date="2023-03-21T09:20:00Z">
        <w:r>
          <w:t>.</w:t>
        </w:r>
        <w:commentRangeStart w:id="85"/>
        <w:commentRangeStart w:id="86"/>
        <w:commentRangeStart w:id="87"/>
        <w:r>
          <w:t xml:space="preserve"> </w:t>
        </w:r>
      </w:ins>
      <w:ins w:id="88" w:author="After RAN2#121" w:date="2023-03-20T23:18:00Z">
        <w:r>
          <w:t>The autonomous denial configuration pr</w:t>
        </w:r>
      </w:ins>
      <w:ins w:id="89" w:author="After RAN2#121" w:date="2023-03-21T09:22:00Z">
        <w:r>
          <w:t>o</w:t>
        </w:r>
      </w:ins>
      <w:ins w:id="90" w:author="After RAN2#121" w:date="2023-03-20T23:19:00Z">
        <w:r>
          <w:t>vided by the network</w:t>
        </w:r>
      </w:ins>
      <w:ins w:id="91" w:author="After RAN2#121" w:date="2023-03-20T23:23:00Z">
        <w:r>
          <w:t xml:space="preserve"> can be on</w:t>
        </w:r>
      </w:ins>
      <w:ins w:id="92" w:author="After RAN2#121" w:date="2023-03-20T23:19:00Z">
        <w:r>
          <w:t xml:space="preserve"> per CG basis.</w:t>
        </w:r>
      </w:ins>
      <w:commentRangeEnd w:id="85"/>
      <w:r>
        <w:commentReference w:id="85"/>
      </w:r>
      <w:commentRangeEnd w:id="86"/>
      <w:r w:rsidR="00856FEE">
        <w:rPr>
          <w:rStyle w:val="CommentReference"/>
        </w:rPr>
        <w:commentReference w:id="86"/>
      </w:r>
      <w:commentRangeEnd w:id="87"/>
      <w:r w:rsidR="00B97B99">
        <w:rPr>
          <w:rStyle w:val="CommentReference"/>
        </w:rPr>
        <w:commentReference w:id="87"/>
      </w:r>
      <w:ins w:id="93" w:author="After RAN2#121" w:date="2023-03-20T23:19:00Z">
        <w:r>
          <w:t xml:space="preserve"> </w:t>
        </w:r>
      </w:ins>
      <w:ins w:id="94" w:author="Before RAN2#121" w:date="2023-03-21T09:21:00Z">
        <w:r>
          <w:t xml:space="preserve">Once configured by the network, the UE can autonomously deny NR UL transmission. </w:t>
        </w:r>
        <w:commentRangeStart w:id="95"/>
        <w:r>
          <w:t>Otherwise, the UE shall not perform any NR UL autonomous denials</w:t>
        </w:r>
      </w:ins>
      <w:commentRangeEnd w:id="95"/>
      <w:r w:rsidR="00E3200C">
        <w:rPr>
          <w:rStyle w:val="CommentReference"/>
        </w:rPr>
        <w:commentReference w:id="95"/>
      </w:r>
      <w:ins w:id="96" w:author="Before RAN2#121" w:date="2023-03-21T09:21:00Z">
        <w:r>
          <w:t>.</w:t>
        </w:r>
      </w:ins>
      <w:commentRangeStart w:id="97"/>
      <w:commentRangeStart w:id="98"/>
      <w:commentRangeEnd w:id="97"/>
      <w:r>
        <w:commentReference w:id="97"/>
      </w:r>
      <w:commentRangeEnd w:id="98"/>
      <w:r w:rsidR="00CA1639">
        <w:rPr>
          <w:rStyle w:val="CommentReference"/>
        </w:rPr>
        <w:commentReference w:id="98"/>
      </w:r>
    </w:p>
    <w:p w14:paraId="74867925" w14:textId="06FA46DD" w:rsidR="00237425" w:rsidRDefault="00D42266">
      <w:pPr>
        <w:jc w:val="both"/>
        <w:rPr>
          <w:ins w:id="99" w:author="Huawei, HiSilicon" w:date="2023-02-15T12:45:00Z"/>
        </w:rPr>
      </w:pPr>
      <w:commentRangeStart w:id="100"/>
      <w:ins w:id="101" w:author="Benoist (Nokia)" w:date="2023-03-29T14:16:00Z">
        <w:r>
          <w:t>O</w:t>
        </w:r>
        <w:r w:rsidRPr="006F37EA">
          <w:t xml:space="preserve">nce configured by the network, the UE can autonomously deny </w:t>
        </w:r>
        <w:r>
          <w:t>NR</w:t>
        </w:r>
        <w:r w:rsidRPr="006F37EA">
          <w:t xml:space="preserve"> UL transmission to protect ISM in rare cases if other solutions cannot be used. Conversely, it is assumed that the UE also autonomously denies ISM transmission in order to ensure connectivity with the eNB to perform necessary </w:t>
        </w:r>
        <w:r>
          <w:t>NR</w:t>
        </w:r>
        <w:r w:rsidRPr="006F37EA">
          <w:t xml:space="preserve"> procedures, e.g., paging reception, etc. The network may configure a long-term denial rate by dedicated RRC signalling to limit the amount of </w:t>
        </w:r>
        <w:r>
          <w:t>NR</w:t>
        </w:r>
        <w:r w:rsidRPr="006F37EA">
          <w:t xml:space="preserve"> UL autonomous denials. Otherwise, the UE shall not perform any </w:t>
        </w:r>
        <w:r>
          <w:t>NR</w:t>
        </w:r>
        <w:r w:rsidRPr="006F37EA">
          <w:t xml:space="preserve"> UL autonomous denials</w:t>
        </w:r>
        <w:commentRangeEnd w:id="100"/>
        <w:r>
          <w:rPr>
            <w:rStyle w:val="CommentReference"/>
          </w:rPr>
          <w:commentReference w:id="100"/>
        </w:r>
        <w:r>
          <w:t>.</w:t>
        </w:r>
      </w:ins>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102"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Heading1"/>
        <w:rPr>
          <w:rFonts w:eastAsia="宋体"/>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宋体"/>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TableGrid"/>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non-3</w:t>
            </w:r>
            <w:proofErr w:type="gramStart"/>
            <w:r>
              <w:rPr>
                <w:rFonts w:cs="Arial"/>
              </w:rPr>
              <w:t>GPP  should</w:t>
            </w:r>
            <w:proofErr w:type="gramEnd"/>
            <w:r>
              <w:rPr>
                <w:rFonts w:cs="Arial"/>
              </w:rPr>
              <w:t xml:space="preserve">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FFS, on signalling details;</w:t>
            </w:r>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non-3</w:t>
            </w:r>
            <w:proofErr w:type="gramStart"/>
            <w:r>
              <w:rPr>
                <w:rFonts w:cs="Arial"/>
              </w:rPr>
              <w:t>GPP  should</w:t>
            </w:r>
            <w:proofErr w:type="gramEnd"/>
            <w:r>
              <w:rPr>
                <w:rFonts w:cs="Arial"/>
              </w:rPr>
              <w:t xml:space="preserve">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w:t>
            </w:r>
            <w:proofErr w:type="gramStart"/>
            <w:r>
              <w:rPr>
                <w:rFonts w:cs="Arial"/>
              </w:rPr>
              <w:t>GPP  should</w:t>
            </w:r>
            <w:proofErr w:type="gramEnd"/>
            <w:r>
              <w:rPr>
                <w:rFonts w:cs="Arial"/>
              </w:rPr>
              <w:t xml:space="preserve">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lastRenderedPageBreak/>
              <w:t xml:space="preserve">As the baseline, the UE reports the TDM assistance information for IDC affected frequency </w:t>
            </w:r>
            <w:proofErr w:type="gramStart"/>
            <w:r>
              <w:rPr>
                <w:highlight w:val="green"/>
              </w:rPr>
              <w:t>list ,</w:t>
            </w:r>
            <w:proofErr w:type="gramEnd"/>
            <w:r>
              <w:rPr>
                <w:highlight w:val="green"/>
              </w:rPr>
              <w:t xml:space="preserve">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Periodic pattern is supported; FFS on the values;</w:t>
            </w:r>
          </w:p>
          <w:p w14:paraId="790C2390" w14:textId="77777777" w:rsidR="00237425" w:rsidRDefault="003C1BAC">
            <w:pPr>
              <w:pStyle w:val="Agreement"/>
              <w:tabs>
                <w:tab w:val="clear" w:pos="3195"/>
                <w:tab w:val="left" w:pos="1619"/>
              </w:tabs>
              <w:ind w:left="1619"/>
            </w:pPr>
            <w:r>
              <w:t>Option 3 (i.e.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103"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104" w:name="_Hlk121944496"/>
            <w:bookmarkEnd w:id="103"/>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105" w:name="_Hlk121944506"/>
            <w:bookmarkEnd w:id="104"/>
            <w:r>
              <w:t>NR DRX values can be treated as a starting point for assistance information reported by UE. FFS, on exact values.</w:t>
            </w:r>
          </w:p>
          <w:bookmarkEnd w:id="105"/>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106" w:name="_Hlk121944605"/>
            <w:r>
              <w:rPr>
                <w:highlight w:val="green"/>
              </w:rPr>
              <w:t>Autonomous denial solution is supported in Rel-18 IDC, RAN2 will not introduce other solution on aperiodic use case (i.e. no report from UE on this aperiodic issue).</w:t>
            </w:r>
          </w:p>
          <w:bookmarkEnd w:id="106"/>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 xml:space="preserve">Add granular values for band width (including BW in </w:t>
            </w:r>
            <w:proofErr w:type="spellStart"/>
            <w:r>
              <w:t>KHz</w:t>
            </w:r>
            <w:proofErr w:type="spellEnd"/>
            <w:r>
              <w:t>/</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89450" w14:textId="77777777" w:rsidR="00237425" w:rsidRDefault="003C1BAC">
            <w:pPr>
              <w:pStyle w:val="Agreement"/>
              <w:tabs>
                <w:tab w:val="clear" w:pos="3195"/>
                <w:tab w:val="left" w:pos="1729"/>
              </w:tabs>
              <w:ind w:left="1729" w:hanging="425"/>
            </w:pPr>
            <w:r>
              <w:lastRenderedPageBreak/>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If the UE detects interference in both directions for one candidate frequency range indicated by the gNB, the UE can report two affected frequency ranges 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idc-AssistanceConfigTDM-r</w:t>
            </w:r>
            <w:proofErr w:type="gramStart"/>
            <w:r>
              <w:t>18  is</w:t>
            </w:r>
            <w:proofErr w:type="gramEnd"/>
            <w:r>
              <w:t xml:space="preserve">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宋体"/>
          <w:lang w:eastAsia="zh-CN"/>
        </w:rPr>
      </w:pPr>
    </w:p>
    <w:p w14:paraId="0C3A1AED" w14:textId="77777777" w:rsidR="00237425" w:rsidRDefault="00237425">
      <w:pPr>
        <w:rPr>
          <w:rFonts w:eastAsia="宋体"/>
          <w:lang w:eastAsia="zh-CN"/>
        </w:rPr>
      </w:pPr>
    </w:p>
    <w:sectPr w:rsidR="0023742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Min)" w:date="2023-03-28T16:07:00Z" w:initials="E">
    <w:p w14:paraId="282DEF9B" w14:textId="252B525A" w:rsidR="0003080D" w:rsidRDefault="0003080D">
      <w:pPr>
        <w:pStyle w:val="CommentText"/>
      </w:pPr>
      <w:r>
        <w:rPr>
          <w:rStyle w:val="CommentReference"/>
        </w:rPr>
        <w:annotationRef/>
      </w:r>
      <w:r>
        <w:t>Change to “Y”, there are other CRs on RRC, UE capability and 37.340 affected</w:t>
      </w:r>
    </w:p>
  </w:comment>
  <w:comment w:id="38" w:author="Ericsson(Min)" w:date="2023-03-28T16:08:00Z" w:initials="E">
    <w:p w14:paraId="7445562E" w14:textId="3A3997EA" w:rsidR="006A05F0" w:rsidRDefault="006A05F0">
      <w:pPr>
        <w:pStyle w:val="CommentText"/>
      </w:pPr>
      <w:r>
        <w:rPr>
          <w:rStyle w:val="CommentReference"/>
        </w:rPr>
        <w:annotationRef/>
      </w:r>
      <w:r>
        <w:t>Remove “s”</w:t>
      </w:r>
    </w:p>
  </w:comment>
  <w:comment w:id="40" w:author="Ericsson(Min)" w:date="2023-03-28T16:08:00Z" w:initials="E">
    <w:p w14:paraId="2BAAD92A" w14:textId="6AC89FA3" w:rsidR="006A05F0" w:rsidRDefault="006A05F0">
      <w:pPr>
        <w:pStyle w:val="CommentText"/>
      </w:pPr>
      <w:r>
        <w:rPr>
          <w:rStyle w:val="CommentReference"/>
        </w:rPr>
        <w:annotationRef/>
      </w:r>
      <w:r>
        <w:t>Change to “combinations”</w:t>
      </w:r>
    </w:p>
  </w:comment>
  <w:comment w:id="45" w:author="ZTE(Wenting)" w:date="2023-03-27T15:36:00Z" w:initials="Wenting">
    <w:p w14:paraId="5D03701F" w14:textId="77777777" w:rsidR="00237425" w:rsidRDefault="003C1BAC">
      <w:pPr>
        <w:pStyle w:val="CommentText"/>
        <w:rPr>
          <w:rFonts w:eastAsia="宋体"/>
          <w:lang w:val="en-US" w:eastAsia="zh-CN"/>
        </w:rPr>
      </w:pPr>
      <w:r>
        <w:rPr>
          <w:rFonts w:eastAsia="宋体" w:hint="eastAsia"/>
          <w:lang w:val="en-US" w:eastAsia="zh-CN"/>
        </w:rPr>
        <w:t xml:space="preserve">We think this detail info can be included in the stage 3 spec. </w:t>
      </w:r>
    </w:p>
  </w:comment>
  <w:comment w:id="46" w:author="Benoist (Nokia)" w:date="2023-03-29T14:10:00Z" w:initials="NB">
    <w:p w14:paraId="50C0B2D2" w14:textId="77777777" w:rsidR="00D42266" w:rsidRDefault="00D42266" w:rsidP="00FB1283">
      <w:r>
        <w:rPr>
          <w:rStyle w:val="CommentReference"/>
        </w:rPr>
        <w:annotationRef/>
      </w:r>
      <w:r>
        <w:rPr>
          <w:color w:val="000000"/>
        </w:rPr>
        <w:t>Agree with ZTE</w:t>
      </w:r>
    </w:p>
  </w:comment>
  <w:comment w:id="47" w:author="Xiaomi - Yumin Wu" w:date="2023-03-29T19:06:00Z" w:initials="Xiaomi">
    <w:p w14:paraId="334B099D" w14:textId="77A19663" w:rsidR="005F46B4" w:rsidRDefault="005F46B4">
      <w:pPr>
        <w:pStyle w:val="CommentText"/>
      </w:pPr>
      <w:r>
        <w:rPr>
          <w:rStyle w:val="CommentReference"/>
        </w:rPr>
        <w:annotationRef/>
      </w:r>
      <w:r>
        <w:t>No strong preference, but we agree that “</w:t>
      </w:r>
      <w:r>
        <w:t xml:space="preserve">in </w:t>
      </w:r>
      <w:proofErr w:type="spellStart"/>
      <w:r>
        <w:t>KHz</w:t>
      </w:r>
      <w:proofErr w:type="spellEnd"/>
      <w:r>
        <w:t>/MHz</w:t>
      </w:r>
      <w:r>
        <w:annotationRef/>
      </w:r>
      <w:r>
        <w:rPr>
          <w:rStyle w:val="CommentReference"/>
        </w:rPr>
        <w:annotationRef/>
      </w:r>
      <w:r>
        <w:t>” can be in stage-3.</w:t>
      </w:r>
    </w:p>
  </w:comment>
  <w:comment w:id="56" w:author="Benoist (Nokia)" w:date="2023-03-29T14:14:00Z" w:initials="NB">
    <w:p w14:paraId="2149C98F" w14:textId="77777777" w:rsidR="00D42266" w:rsidRDefault="00D42266" w:rsidP="001E15EA">
      <w:r>
        <w:rPr>
          <w:rStyle w:val="CommentReference"/>
        </w:rPr>
        <w:annotationRef/>
      </w:r>
      <w:r>
        <w:rPr>
          <w:color w:val="000000"/>
        </w:rPr>
        <w:t>TDM info is not mandatory, is it?</w:t>
      </w:r>
    </w:p>
  </w:comment>
  <w:comment w:id="59" w:author="ZTE(Wenting)" w:date="2023-03-27T15:37:00Z" w:initials="Wenting">
    <w:p w14:paraId="767D7A5A" w14:textId="7DCC842F" w:rsidR="00237425" w:rsidRDefault="003C1BAC">
      <w:pPr>
        <w:pStyle w:val="CommentText"/>
        <w:rPr>
          <w:rFonts w:eastAsia="宋体"/>
          <w:lang w:val="en-US" w:eastAsia="zh-CN"/>
        </w:rPr>
      </w:pPr>
      <w:r>
        <w:rPr>
          <w:rFonts w:eastAsia="宋体" w:hint="eastAsia"/>
          <w:lang w:val="en-US" w:eastAsia="zh-CN"/>
        </w:rPr>
        <w:t>Similar to  above, this can be included in the stage 3 spec</w:t>
      </w:r>
    </w:p>
  </w:comment>
  <w:comment w:id="60" w:author="Benoist (Nokia)" w:date="2023-03-29T14:10:00Z" w:initials="NB">
    <w:p w14:paraId="56A9FC9D" w14:textId="77777777" w:rsidR="00D42266" w:rsidRDefault="00D42266" w:rsidP="00EA30ED">
      <w:r>
        <w:rPr>
          <w:rStyle w:val="CommentReference"/>
        </w:rPr>
        <w:annotationRef/>
      </w:r>
      <w:r>
        <w:rPr>
          <w:color w:val="000000"/>
        </w:rPr>
        <w:t>Agree with ZTE</w:t>
      </w:r>
    </w:p>
  </w:comment>
  <w:comment w:id="62" w:author="Benoist (Nokia)" w:date="2023-03-29T14:14:00Z" w:initials="NB">
    <w:p w14:paraId="63C47BA5" w14:textId="77777777" w:rsidR="00D42266" w:rsidRDefault="00D42266" w:rsidP="00DF6215">
      <w:r>
        <w:rPr>
          <w:rStyle w:val="CommentReference"/>
        </w:rPr>
        <w:annotationRef/>
      </w:r>
      <w:r>
        <w:rPr>
          <w:color w:val="000000"/>
        </w:rPr>
        <w:t>Could also be removed.</w:t>
      </w:r>
    </w:p>
  </w:comment>
  <w:comment w:id="63" w:author="Intel - Yujian Zhang" w:date="2023-03-29T14:18:00Z" w:initials="I">
    <w:p w14:paraId="278A0A6B" w14:textId="4226AF77" w:rsidR="00774550" w:rsidRDefault="00774550">
      <w:pPr>
        <w:pStyle w:val="CommentText"/>
      </w:pPr>
      <w:r>
        <w:rPr>
          <w:rStyle w:val="CommentReference"/>
        </w:rPr>
        <w:annotationRef/>
      </w:r>
      <w:r>
        <w:t>Agree with Nokia. There is no need to describe the purpose of the TDM assistance information</w:t>
      </w:r>
      <w:r w:rsidR="00B97B99">
        <w:t>; we don’t have such</w:t>
      </w:r>
      <w:r>
        <w:t xml:space="preserve"> description for FDM.</w:t>
      </w:r>
    </w:p>
  </w:comment>
  <w:comment w:id="64" w:author="Xiaomi - Yumin Wu" w:date="2023-03-29T19:07:00Z" w:initials="Xiaomi">
    <w:p w14:paraId="5C653943" w14:textId="422402C2" w:rsidR="006652E2" w:rsidRDefault="006652E2">
      <w:pPr>
        <w:pStyle w:val="CommentText"/>
      </w:pPr>
      <w:r>
        <w:rPr>
          <w:rStyle w:val="CommentReference"/>
        </w:rPr>
        <w:annotationRef/>
      </w:r>
      <w:r>
        <w:t>Agree with Nokia</w:t>
      </w:r>
    </w:p>
  </w:comment>
  <w:comment w:id="75" w:author="Benoist (Nokia)" w:date="2023-03-29T14:16:00Z" w:initials="NB">
    <w:p w14:paraId="77141F9C" w14:textId="77777777" w:rsidR="00D42266" w:rsidRDefault="00D42266" w:rsidP="009D16F2">
      <w:r>
        <w:rPr>
          <w:rStyle w:val="CommentReference"/>
        </w:rPr>
        <w:annotationRef/>
      </w:r>
      <w:r>
        <w:rPr>
          <w:color w:val="000000"/>
        </w:rPr>
        <w:t>We wonder why we deviate from LTE wording.</w:t>
      </w:r>
    </w:p>
  </w:comment>
  <w:comment w:id="78" w:author="Qualcomm - Sherif Elazzouni" w:date="2023-03-27T16:24:00Z" w:initials="SE">
    <w:p w14:paraId="11A5A4CA" w14:textId="0D1A4C7D" w:rsidR="00127267" w:rsidRDefault="00127267" w:rsidP="00666547">
      <w:pPr>
        <w:pStyle w:val="CommentText"/>
      </w:pPr>
      <w:r>
        <w:rPr>
          <w:rStyle w:val="CommentReference"/>
        </w:rPr>
        <w:annotationRef/>
      </w:r>
      <w:r>
        <w:t>Suggest removing. The autonomous denials is configured with both a count and a validity period that may be not that long-term.</w:t>
      </w:r>
    </w:p>
  </w:comment>
  <w:comment w:id="81" w:author="ZTE(Wenting)" w:date="2023-03-27T15:44:00Z" w:initials="Wenting">
    <w:p w14:paraId="12384509" w14:textId="4D6D3536" w:rsidR="00237425" w:rsidRDefault="003C1BAC">
      <w:pPr>
        <w:pStyle w:val="CommentText"/>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this part is necessary.</w:t>
      </w:r>
    </w:p>
  </w:comment>
  <w:comment w:id="82" w:author="Qualcomm - Sherif Elazzouni" w:date="2023-03-27T16:24:00Z" w:initials="SE">
    <w:p w14:paraId="558FF2AF" w14:textId="77777777" w:rsidR="00B80433" w:rsidRDefault="00B80433" w:rsidP="00C4050A">
      <w:pPr>
        <w:pStyle w:val="CommentText"/>
      </w:pPr>
      <w:r>
        <w:rPr>
          <w:rStyle w:val="CommentReference"/>
        </w:rPr>
        <w:annotationRef/>
      </w:r>
      <w:r>
        <w:t>Agree</w:t>
      </w:r>
    </w:p>
  </w:comment>
  <w:comment w:id="83" w:author="Ericsson(Min)" w:date="2023-03-28T16:13:00Z" w:initials="E">
    <w:p w14:paraId="69EEDFC2" w14:textId="4839F6C9" w:rsidR="00316905" w:rsidRDefault="00316905">
      <w:pPr>
        <w:pStyle w:val="CommentText"/>
      </w:pPr>
      <w:r>
        <w:rPr>
          <w:rStyle w:val="CommentReference"/>
        </w:rPr>
        <w:annotationRef/>
      </w:r>
      <w:r>
        <w:t xml:space="preserve">Also agree this </w:t>
      </w:r>
      <w:r w:rsidR="00CA1639">
        <w:t>part is not needed.</w:t>
      </w:r>
    </w:p>
  </w:comment>
  <w:comment w:id="80" w:author="Qualcomm - Sherif Elazzouni" w:date="2023-03-27T16:25:00Z" w:initials="SE">
    <w:p w14:paraId="6D7A0831" w14:textId="77777777" w:rsidR="003C1BAC" w:rsidRDefault="003C1BAC">
      <w:pPr>
        <w:pStyle w:val="CommentText"/>
      </w:pPr>
      <w:r>
        <w:rPr>
          <w:rStyle w:val="CommentReference"/>
        </w:rPr>
        <w:annotationRef/>
      </w:r>
      <w:r>
        <w:t>This is confusing phrasing. Suggest changing to  "RRC signalling to allow some limited NR UL autonomous denials …".</w:t>
      </w:r>
    </w:p>
    <w:p w14:paraId="116B1EE0" w14:textId="77777777" w:rsidR="003C1BAC" w:rsidRDefault="003C1BAC" w:rsidP="008E618E">
      <w:pPr>
        <w:pStyle w:val="CommentText"/>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85" w:author="ZTE(Wenting)" w:date="2023-03-27T15:46:00Z" w:initials="Wenting">
    <w:p w14:paraId="1E1F3B25" w14:textId="78DAB352" w:rsidR="00237425" w:rsidRDefault="003C1BAC">
      <w:pPr>
        <w:pStyle w:val="CommentText"/>
        <w:rPr>
          <w:rFonts w:eastAsia="宋体"/>
          <w:lang w:val="en-US" w:eastAsia="zh-CN"/>
        </w:rPr>
      </w:pPr>
      <w:r>
        <w:rPr>
          <w:rFonts w:eastAsia="宋体" w:hint="eastAsia"/>
          <w:lang w:val="en-US" w:eastAsia="zh-CN"/>
        </w:rPr>
        <w:t>This is also included in the 37340,  so we are not sure whether it</w:t>
      </w:r>
      <w:r>
        <w:rPr>
          <w:rFonts w:eastAsia="宋体"/>
          <w:lang w:val="en-US" w:eastAsia="zh-CN"/>
        </w:rPr>
        <w:t>’</w:t>
      </w:r>
      <w:r>
        <w:rPr>
          <w:rFonts w:eastAsia="宋体" w:hint="eastAsia"/>
          <w:lang w:val="en-US" w:eastAsia="zh-CN"/>
        </w:rPr>
        <w:t>s necessary here, no strong view on this, open to see other companies</w:t>
      </w:r>
      <w:r>
        <w:rPr>
          <w:rFonts w:eastAsia="宋体"/>
          <w:lang w:val="en-US" w:eastAsia="zh-CN"/>
        </w:rPr>
        <w:t>’</w:t>
      </w:r>
      <w:r>
        <w:rPr>
          <w:rFonts w:eastAsia="宋体" w:hint="eastAsia"/>
          <w:lang w:val="en-US" w:eastAsia="zh-CN"/>
        </w:rPr>
        <w:t xml:space="preserve"> view</w:t>
      </w:r>
    </w:p>
  </w:comment>
  <w:comment w:id="86" w:author="Ericsson(Min)" w:date="2023-03-28T16:14:00Z" w:initials="E">
    <w:p w14:paraId="47AD9E2F" w14:textId="46B9BAFE" w:rsidR="00856FEE" w:rsidRDefault="00856FEE">
      <w:pPr>
        <w:pStyle w:val="CommentText"/>
      </w:pPr>
      <w:r>
        <w:rPr>
          <w:rStyle w:val="CommentReference"/>
        </w:rPr>
        <w:annotationRef/>
      </w:r>
      <w:r>
        <w:t>We think this sentence is not needed.</w:t>
      </w:r>
    </w:p>
  </w:comment>
  <w:comment w:id="87" w:author="Intel - Yujian Zhang" w:date="2023-03-29T14:21:00Z" w:initials="I">
    <w:p w14:paraId="610102F4" w14:textId="5BCF5295" w:rsidR="00B97B99" w:rsidRDefault="00B97B99">
      <w:pPr>
        <w:pStyle w:val="CommentText"/>
      </w:pPr>
      <w:r>
        <w:rPr>
          <w:rStyle w:val="CommentReference"/>
        </w:rPr>
        <w:annotationRef/>
      </w:r>
      <w:r>
        <w:t>Agree that per CG part is better captured in TS 37.340.</w:t>
      </w:r>
    </w:p>
  </w:comment>
  <w:comment w:id="95" w:author="Xiaomi - Yumin Wu" w:date="2023-03-29T19:09:00Z" w:initials="Xiaomi">
    <w:p w14:paraId="30184731" w14:textId="791649DE" w:rsidR="00E3200C" w:rsidRDefault="00E3200C">
      <w:pPr>
        <w:pStyle w:val="CommentText"/>
      </w:pPr>
      <w:r>
        <w:rPr>
          <w:rStyle w:val="CommentReference"/>
        </w:rPr>
        <w:annotationRef/>
      </w:r>
      <w:r>
        <w:t>NR seems already supporting UL autonomous denial due to the URLLC collision, which was not supported in LTE. Maybe we can remove this sentence</w:t>
      </w:r>
      <w:r w:rsidR="009B5B90">
        <w:t>, or remove “shall”</w:t>
      </w:r>
      <w:r>
        <w:t>.</w:t>
      </w:r>
    </w:p>
  </w:comment>
  <w:comment w:id="97" w:author="ZTE(Wenting)" w:date="2023-03-27T15:46:00Z" w:initials="Wenting">
    <w:p w14:paraId="1AD46E5D" w14:textId="77777777" w:rsidR="00237425" w:rsidRDefault="003C1BAC">
      <w:pPr>
        <w:pStyle w:val="CommentText"/>
        <w:rPr>
          <w:rFonts w:eastAsia="宋体"/>
          <w:lang w:val="en-US" w:eastAsia="zh-CN"/>
        </w:rPr>
      </w:pPr>
      <w:r>
        <w:rPr>
          <w:rFonts w:eastAsia="宋体" w:hint="eastAsia"/>
          <w:lang w:val="en-US" w:eastAsia="zh-CN"/>
        </w:rPr>
        <w:t>Based on above two comments, maybe we can simply say (aligned with the corresponding description in the 36300):</w:t>
      </w:r>
    </w:p>
    <w:p w14:paraId="6BFC63CB" w14:textId="77777777" w:rsidR="00237425" w:rsidRDefault="003C1BAC">
      <w:pPr>
        <w:pStyle w:val="CommentText"/>
        <w:rPr>
          <w:rFonts w:eastAsia="宋体"/>
          <w:lang w:val="en-US" w:eastAsia="zh-CN"/>
        </w:rPr>
      </w:pPr>
      <w:r>
        <w:rPr>
          <w:rFonts w:eastAsia="宋体"/>
          <w:lang w:val="en-US" w:eastAsia="zh-CN"/>
        </w:rPr>
        <w:t>“</w:t>
      </w:r>
      <w:r>
        <w:t>The network may configure a long-term denial rate by dedicated RRC signalling to limit the amount of NR UL autonomous denials</w:t>
      </w:r>
      <w:r>
        <w:rPr>
          <w:rFonts w:eastAsia="宋体" w:hint="eastAsia"/>
          <w:lang w:val="en-US" w:eastAsia="zh-CN"/>
        </w:rPr>
        <w:t xml:space="preserve">, </w:t>
      </w:r>
      <w:r>
        <w:t xml:space="preserve"> </w:t>
      </w:r>
      <w:r>
        <w:rPr>
          <w:rFonts w:eastAsia="宋体" w:hint="eastAsia"/>
          <w:lang w:val="en-US" w:eastAsia="zh-CN"/>
        </w:rPr>
        <w:t>o</w:t>
      </w:r>
      <w:r>
        <w:t>therwise, the UE shall not perform any NR UL autonomous denials.</w:t>
      </w:r>
      <w:r>
        <w:rPr>
          <w:rFonts w:eastAsia="宋体"/>
          <w:lang w:val="en-US" w:eastAsia="zh-CN"/>
        </w:rPr>
        <w:t>”</w:t>
      </w:r>
    </w:p>
  </w:comment>
  <w:comment w:id="98" w:author="Ericsson(Min)" w:date="2023-03-28T16:13:00Z" w:initials="E">
    <w:p w14:paraId="28D8DF73" w14:textId="02A248FF" w:rsidR="00CA1639" w:rsidRDefault="00CA1639">
      <w:pPr>
        <w:pStyle w:val="CommentText"/>
      </w:pPr>
      <w:r>
        <w:rPr>
          <w:rStyle w:val="CommentReference"/>
        </w:rPr>
        <w:annotationRef/>
      </w:r>
      <w:r>
        <w:t xml:space="preserve">We agree with ZTE that it is sufficient to </w:t>
      </w:r>
      <w:r w:rsidR="00CE6D08">
        <w:t>reuse the same texts as in the 36.300</w:t>
      </w:r>
    </w:p>
  </w:comment>
  <w:comment w:id="100" w:author="Benoist (Nokia)" w:date="2023-03-29T14:16:00Z" w:initials="NB">
    <w:p w14:paraId="058BC775" w14:textId="77777777" w:rsidR="00D42266" w:rsidRDefault="00D42266" w:rsidP="00BD36B9">
      <w:r>
        <w:rPr>
          <w:rStyle w:val="CommentReference"/>
        </w:rPr>
        <w:annotationRef/>
      </w:r>
      <w:r>
        <w:rPr>
          <w:color w:val="000000"/>
        </w:rPr>
        <w:t>Alternative wording based on 36.300.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DEF9B" w15:done="0"/>
  <w15:commentEx w15:paraId="7445562E" w15:done="0"/>
  <w15:commentEx w15:paraId="2BAAD92A" w15:done="0"/>
  <w15:commentEx w15:paraId="5D03701F" w15:done="0"/>
  <w15:commentEx w15:paraId="50C0B2D2" w15:paraIdParent="5D03701F" w15:done="0"/>
  <w15:commentEx w15:paraId="334B099D" w15:paraIdParent="5D03701F" w15:done="0"/>
  <w15:commentEx w15:paraId="2149C98F" w15:done="0"/>
  <w15:commentEx w15:paraId="767D7A5A" w15:done="0"/>
  <w15:commentEx w15:paraId="56A9FC9D" w15:paraIdParent="767D7A5A" w15:done="0"/>
  <w15:commentEx w15:paraId="63C47BA5" w15:done="0"/>
  <w15:commentEx w15:paraId="278A0A6B" w15:paraIdParent="63C47BA5" w15:done="0"/>
  <w15:commentEx w15:paraId="5C653943" w15:paraIdParent="63C47BA5" w15:done="0"/>
  <w15:commentEx w15:paraId="77141F9C" w15:done="0"/>
  <w15:commentEx w15:paraId="11A5A4CA" w15:done="0"/>
  <w15:commentEx w15:paraId="12384509" w15:done="0"/>
  <w15:commentEx w15:paraId="558FF2AF" w15:paraIdParent="12384509" w15:done="0"/>
  <w15:commentEx w15:paraId="69EEDFC2" w15:paraIdParent="12384509" w15:done="0"/>
  <w15:commentEx w15:paraId="116B1EE0" w15:done="0"/>
  <w15:commentEx w15:paraId="1E1F3B25" w15:done="0"/>
  <w15:commentEx w15:paraId="47AD9E2F" w15:paraIdParent="1E1F3B25" w15:done="0"/>
  <w15:commentEx w15:paraId="610102F4" w15:paraIdParent="1E1F3B25" w15:done="0"/>
  <w15:commentEx w15:paraId="30184731" w15:done="0"/>
  <w15:commentEx w15:paraId="6BFC63CB" w15:done="0"/>
  <w15:commentEx w15:paraId="28D8DF73" w15:paraIdParent="6BFC63CB" w15:done="0"/>
  <w15:commentEx w15:paraId="058BC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EC546" w16cex:dateUtc="2023-03-29T05:10:00Z"/>
  <w16cex:commentExtensible w16cex:durableId="27CF0AAC" w16cex:dateUtc="2023-03-29T11:06:00Z"/>
  <w16cex:commentExtensible w16cex:durableId="27CEC63C" w16cex:dateUtc="2023-03-29T05:14:00Z"/>
  <w16cex:commentExtensible w16cex:durableId="27CEC53D" w16cex:dateUtc="2023-03-29T05:10:00Z"/>
  <w16cex:commentExtensible w16cex:durableId="27CEC65A" w16cex:dateUtc="2023-03-29T05:14:00Z"/>
  <w16cex:commentExtensible w16cex:durableId="27CEC73E" w16cex:dateUtc="2023-03-29T06:18:00Z"/>
  <w16cex:commentExtensible w16cex:durableId="27CF0B03" w16cex:dateUtc="2023-03-29T11:07:00Z"/>
  <w16cex:commentExtensible w16cex:durableId="27CEC6A0" w16cex:dateUtc="2023-03-29T05:16: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EC7DF" w16cex:dateUtc="2023-03-29T06:21:00Z"/>
  <w16cex:commentExtensible w16cex:durableId="27CF0B84" w16cex:dateUtc="2023-03-29T11:09:00Z"/>
  <w16cex:commentExtensible w16cex:durableId="27CD90C0" w16cex:dateUtc="2023-03-28T14:13:00Z"/>
  <w16cex:commentExtensible w16cex:durableId="27CEC6C5" w16cex:dateUtc="2023-03-29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DEF9B" w16cid:durableId="27CD8F43"/>
  <w16cid:commentId w16cid:paraId="7445562E" w16cid:durableId="27CD8F64"/>
  <w16cid:commentId w16cid:paraId="2BAAD92A" w16cid:durableId="27CD8F6E"/>
  <w16cid:commentId w16cid:paraId="5D03701F" w16cid:durableId="27CC412A"/>
  <w16cid:commentId w16cid:paraId="50C0B2D2" w16cid:durableId="27CEC546"/>
  <w16cid:commentId w16cid:paraId="334B099D" w16cid:durableId="27CF0AAC"/>
  <w16cid:commentId w16cid:paraId="2149C98F" w16cid:durableId="27CEC63C"/>
  <w16cid:commentId w16cid:paraId="767D7A5A" w16cid:durableId="27CC412B"/>
  <w16cid:commentId w16cid:paraId="56A9FC9D" w16cid:durableId="27CEC53D"/>
  <w16cid:commentId w16cid:paraId="63C47BA5" w16cid:durableId="27CEC65A"/>
  <w16cid:commentId w16cid:paraId="278A0A6B" w16cid:durableId="27CEC73E"/>
  <w16cid:commentId w16cid:paraId="5C653943" w16cid:durableId="27CF0B03"/>
  <w16cid:commentId w16cid:paraId="77141F9C" w16cid:durableId="27CEC6A0"/>
  <w16cid:commentId w16cid:paraId="11A5A4CA" w16cid:durableId="27CC41C9"/>
  <w16cid:commentId w16cid:paraId="12384509" w16cid:durableId="27CC412C"/>
  <w16cid:commentId w16cid:paraId="558FF2AF" w16cid:durableId="27CC41B6"/>
  <w16cid:commentId w16cid:paraId="69EEDFC2" w16cid:durableId="27CD9090"/>
  <w16cid:commentId w16cid:paraId="116B1EE0" w16cid:durableId="27CC41E1"/>
  <w16cid:commentId w16cid:paraId="1E1F3B25" w16cid:durableId="27CC412D"/>
  <w16cid:commentId w16cid:paraId="47AD9E2F" w16cid:durableId="27CD90EE"/>
  <w16cid:commentId w16cid:paraId="610102F4" w16cid:durableId="27CEC7DF"/>
  <w16cid:commentId w16cid:paraId="30184731" w16cid:durableId="27CF0B84"/>
  <w16cid:commentId w16cid:paraId="6BFC63CB" w16cid:durableId="27CC412E"/>
  <w16cid:commentId w16cid:paraId="28D8DF73" w16cid:durableId="27CD90C0"/>
  <w16cid:commentId w16cid:paraId="058BC775" w16cid:durableId="27CEC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D796" w14:textId="77777777" w:rsidR="00F546CE" w:rsidRDefault="00F546CE">
      <w:pPr>
        <w:spacing w:after="0"/>
      </w:pPr>
      <w:r>
        <w:separator/>
      </w:r>
    </w:p>
  </w:endnote>
  <w:endnote w:type="continuationSeparator" w:id="0">
    <w:p w14:paraId="7FA1695D" w14:textId="77777777" w:rsidR="00F546CE" w:rsidRDefault="00F54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7E81" w14:textId="77777777" w:rsidR="00F546CE" w:rsidRDefault="00F546CE">
      <w:pPr>
        <w:spacing w:after="0"/>
      </w:pPr>
      <w:r>
        <w:separator/>
      </w:r>
    </w:p>
  </w:footnote>
  <w:footnote w:type="continuationSeparator" w:id="0">
    <w:p w14:paraId="697713FA" w14:textId="77777777" w:rsidR="00F546CE" w:rsidRDefault="00F546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7AF" w14:textId="77777777" w:rsidR="00237425" w:rsidRDefault="0023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989" w14:textId="77777777" w:rsidR="00237425" w:rsidRDefault="003C1B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646A" w14:textId="77777777" w:rsidR="00237425" w:rsidRDefault="0023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Benoist (Nokia)">
    <w15:presenceInfo w15:providerId="None" w15:userId="Benoist (Nokia)"/>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Xiaomi - Yumin Wu">
    <w15:presenceInfo w15:providerId="None" w15:userId="Xiaomi - Yumin Wu"/>
  </w15:person>
  <w15:person w15:author="Intel - Yujian Zhang">
    <w15:presenceInfo w15:providerId="None" w15:userId="Intel - Yujian Zha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446"/>
    <w:rsid w:val="00017CE6"/>
    <w:rsid w:val="00021E9A"/>
    <w:rsid w:val="00022E4A"/>
    <w:rsid w:val="00023093"/>
    <w:rsid w:val="00023BD4"/>
    <w:rsid w:val="00024EBA"/>
    <w:rsid w:val="00025A18"/>
    <w:rsid w:val="0003080D"/>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209B"/>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46B4"/>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52E2"/>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550"/>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5B90"/>
    <w:rsid w:val="009B682C"/>
    <w:rsid w:val="009B7E69"/>
    <w:rsid w:val="009C09DE"/>
    <w:rsid w:val="009C2083"/>
    <w:rsid w:val="009C21F8"/>
    <w:rsid w:val="009C28AE"/>
    <w:rsid w:val="009C599E"/>
    <w:rsid w:val="009C643E"/>
    <w:rsid w:val="009C73D2"/>
    <w:rsid w:val="009C7620"/>
    <w:rsid w:val="009D188E"/>
    <w:rsid w:val="009D19E1"/>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97B99"/>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266"/>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200C"/>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6C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宋体"/>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D7CC1D3-07E7-486E-9BFA-B638B8A9B9C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6</Pages>
  <Words>1870</Words>
  <Characters>10659</Characters>
  <Application>Microsoft Office Word</Application>
  <DocSecurity>0</DocSecurity>
  <Lines>88</Lines>
  <Paragraphs>25</Paragraphs>
  <ScaleCrop>false</ScaleCrop>
  <Company>Qualcomm Incorporated</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Xiaomi - Yumin Wu</cp:lastModifiedBy>
  <cp:revision>20</cp:revision>
  <cp:lastPrinted>2021-08-31T01:10:00Z</cp:lastPrinted>
  <dcterms:created xsi:type="dcterms:W3CDTF">2023-03-27T23:23:00Z</dcterms:created>
  <dcterms:modified xsi:type="dcterms:W3CDTF">2023-03-29T11:11:00Z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