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w:t>
      </w:r>
      <w:proofErr w:type="gramStart"/>
      <w:r w:rsidR="000262D5" w:rsidRPr="000262D5">
        <w:rPr>
          <w:sz w:val="22"/>
          <w:szCs w:val="22"/>
        </w:rPr>
        <w:t>121][</w:t>
      </w:r>
      <w:proofErr w:type="gramEnd"/>
      <w:r w:rsidR="000262D5" w:rsidRPr="000262D5">
        <w:rPr>
          <w:sz w:val="22"/>
          <w:szCs w:val="22"/>
        </w:rPr>
        <w:t xml:space="preserve">311][NES]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w:t>
      </w:r>
      <w:proofErr w:type="gramStart"/>
      <w:r>
        <w:t>121][</w:t>
      </w:r>
      <w:proofErr w:type="gramEnd"/>
      <w:r>
        <w:t xml:space="preserve">311][NES]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A377F9"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 xml:space="preserve">Alexey </w:t>
            </w:r>
            <w:proofErr w:type="spellStart"/>
            <w:r>
              <w:t>Kulakov</w:t>
            </w:r>
            <w:proofErr w:type="spellEnd"/>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777777" w:rsidR="00E751B1" w:rsidRDefault="00E751B1" w:rsidP="00E751B1">
            <w:pPr>
              <w:pStyle w:val="BodyText"/>
            </w:pPr>
          </w:p>
        </w:tc>
        <w:tc>
          <w:tcPr>
            <w:tcW w:w="2520" w:type="dxa"/>
            <w:tcBorders>
              <w:top w:val="single" w:sz="4" w:space="0" w:color="auto"/>
              <w:left w:val="single" w:sz="4" w:space="0" w:color="auto"/>
              <w:bottom w:val="single" w:sz="4" w:space="0" w:color="auto"/>
              <w:right w:val="single" w:sz="4" w:space="0" w:color="auto"/>
            </w:tcBorders>
          </w:tcPr>
          <w:p w14:paraId="11475E99" w14:textId="77777777" w:rsidR="00E751B1" w:rsidRDefault="00E751B1" w:rsidP="00E751B1">
            <w:pPr>
              <w:pStyle w:val="BodyText"/>
            </w:pPr>
          </w:p>
        </w:tc>
        <w:tc>
          <w:tcPr>
            <w:tcW w:w="5044" w:type="dxa"/>
            <w:tcBorders>
              <w:top w:val="single" w:sz="4" w:space="0" w:color="auto"/>
              <w:left w:val="single" w:sz="4" w:space="0" w:color="auto"/>
              <w:bottom w:val="single" w:sz="4" w:space="0" w:color="auto"/>
              <w:right w:val="single" w:sz="4" w:space="0" w:color="auto"/>
            </w:tcBorders>
          </w:tcPr>
          <w:p w14:paraId="7A04D49E" w14:textId="77777777" w:rsidR="00E751B1" w:rsidRDefault="00E751B1" w:rsidP="00E751B1">
            <w:pPr>
              <w:pStyle w:val="BodyText"/>
            </w:pP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lastRenderedPageBreak/>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 xml:space="preserve">The study </w:t>
            </w:r>
            <w:proofErr w:type="gramStart"/>
            <w:r w:rsidRPr="006B33BE">
              <w:rPr>
                <w:rFonts w:ascii="Times New Roman" w:hAnsi="Times New Roman"/>
                <w:lang w:val="en-US"/>
              </w:rPr>
              <w:t>focus</w:t>
            </w:r>
            <w:proofErr w:type="gramEnd"/>
            <w:r w:rsidRPr="006B33BE">
              <w:rPr>
                <w:rFonts w:ascii="Times New Roman" w:hAnsi="Times New Roman"/>
                <w:lang w:val="en-US"/>
              </w:rPr>
              <w:t xml:space="preserve">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lastRenderedPageBreak/>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r w:rsidR="0084639E">
        <w:rPr>
          <w:lang w:eastAsia="sv-SE"/>
        </w:rPr>
        <w:t>gNB</w:t>
      </w:r>
      <w:proofErr w:type="spell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lastRenderedPageBreak/>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bookmarkStart w:id="2" w:name="_GoBack"/>
            <w:bookmarkEnd w:id="2"/>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065828" w:rsidRPr="00C47924" w14:paraId="22926B0C" w14:textId="77777777" w:rsidTr="00DC328F">
        <w:tc>
          <w:tcPr>
            <w:tcW w:w="1719" w:type="dxa"/>
            <w:shd w:val="clear" w:color="auto" w:fill="auto"/>
          </w:tcPr>
          <w:p w14:paraId="6B93EA0D" w14:textId="77777777" w:rsidR="00065828" w:rsidRDefault="00065828" w:rsidP="00065828">
            <w:pPr>
              <w:rPr>
                <w:rFonts w:cs="Arial"/>
                <w:lang w:val="en-US" w:eastAsia="ko-KR"/>
              </w:rPr>
            </w:pPr>
          </w:p>
        </w:tc>
        <w:tc>
          <w:tcPr>
            <w:tcW w:w="1106" w:type="dxa"/>
            <w:shd w:val="clear" w:color="auto" w:fill="auto"/>
          </w:tcPr>
          <w:p w14:paraId="2486DE13" w14:textId="77777777" w:rsidR="00065828" w:rsidRDefault="00065828" w:rsidP="00065828">
            <w:pPr>
              <w:rPr>
                <w:rFonts w:cs="Arial"/>
                <w:lang w:val="en-US" w:eastAsia="ko-KR"/>
              </w:rPr>
            </w:pPr>
          </w:p>
        </w:tc>
        <w:tc>
          <w:tcPr>
            <w:tcW w:w="7066" w:type="dxa"/>
            <w:shd w:val="clear" w:color="auto" w:fill="auto"/>
          </w:tcPr>
          <w:p w14:paraId="6502415D" w14:textId="77777777" w:rsidR="00065828" w:rsidRDefault="00065828" w:rsidP="00065828">
            <w:pPr>
              <w:spacing w:after="0"/>
              <w:ind w:left="720" w:hanging="720"/>
              <w:jc w:val="left"/>
              <w:rPr>
                <w:rFonts w:cs="Arial"/>
                <w:lang w:val="en-US" w:eastAsia="ko-KR"/>
              </w:rPr>
            </w:pP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lastRenderedPageBreak/>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r w:rsidRPr="00210D7B">
              <w:rPr>
                <w:rFonts w:cs="Arial"/>
                <w:lang w:eastAsia="ko-KR"/>
              </w:rPr>
              <w:t>gNB</w:t>
            </w:r>
            <w:proofErr w:type="spell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42040" w:rsidRPr="00C47924" w14:paraId="48BC9C28" w14:textId="77777777" w:rsidTr="00507421">
        <w:tc>
          <w:tcPr>
            <w:tcW w:w="1704" w:type="dxa"/>
            <w:shd w:val="clear" w:color="auto" w:fill="auto"/>
          </w:tcPr>
          <w:p w14:paraId="3B581AC0" w14:textId="77777777" w:rsidR="00942040" w:rsidRDefault="00942040" w:rsidP="00942040">
            <w:pPr>
              <w:rPr>
                <w:rFonts w:cs="Arial"/>
                <w:lang w:val="en-US" w:eastAsia="ko-KR"/>
              </w:rPr>
            </w:pPr>
          </w:p>
        </w:tc>
        <w:tc>
          <w:tcPr>
            <w:tcW w:w="1273" w:type="dxa"/>
            <w:shd w:val="clear" w:color="auto" w:fill="auto"/>
          </w:tcPr>
          <w:p w14:paraId="3E06FC89" w14:textId="77777777" w:rsidR="00942040" w:rsidRDefault="00942040" w:rsidP="00942040">
            <w:pPr>
              <w:rPr>
                <w:rFonts w:cs="Arial"/>
                <w:lang w:val="en-US" w:eastAsia="ko-KR"/>
              </w:rPr>
            </w:pPr>
          </w:p>
        </w:tc>
        <w:tc>
          <w:tcPr>
            <w:tcW w:w="6914" w:type="dxa"/>
            <w:shd w:val="clear" w:color="auto" w:fill="auto"/>
          </w:tcPr>
          <w:p w14:paraId="2D12E3DF" w14:textId="77777777" w:rsidR="00942040" w:rsidRDefault="00942040" w:rsidP="00942040">
            <w:pPr>
              <w:rPr>
                <w:rFonts w:cs="Arial"/>
                <w:lang w:val="en-US" w:eastAsia="ko-KR"/>
              </w:rPr>
            </w:pP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w:t>
      </w:r>
      <w:r w:rsidR="23606A32" w:rsidRPr="014D2D22">
        <w:rPr>
          <w:lang w:eastAsia="sv-SE"/>
        </w:rPr>
        <w:lastRenderedPageBreak/>
        <w:t>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DC328F">
        <w:tc>
          <w:tcPr>
            <w:tcW w:w="1719" w:type="dxa"/>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06"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66"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DC328F">
        <w:tc>
          <w:tcPr>
            <w:tcW w:w="1719" w:type="dxa"/>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06"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66"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DC328F">
        <w:tc>
          <w:tcPr>
            <w:tcW w:w="1719" w:type="dxa"/>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06"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66"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DC328F">
        <w:tc>
          <w:tcPr>
            <w:tcW w:w="1719" w:type="dxa"/>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06"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66"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lastRenderedPageBreak/>
              <w:t>In our view, for Cell DRX, the SR restriction is necessary for NES gain.</w:t>
            </w:r>
          </w:p>
          <w:p w14:paraId="1B8AE9F5" w14:textId="46D07676" w:rsidR="007E2D23" w:rsidRDefault="007E2D23" w:rsidP="007E2D23">
            <w:pPr>
              <w:rPr>
                <w:rFonts w:cs="Arial"/>
                <w:lang w:val="en-US" w:eastAsia="ko-KR"/>
              </w:rPr>
            </w:pPr>
            <w:proofErr w:type="spellStart"/>
            <w:r w:rsidRPr="003815CA">
              <w:rPr>
                <w:rFonts w:cs="Arial"/>
                <w:lang w:eastAsia="ko-KR"/>
              </w:rPr>
              <w:t>gNB</w:t>
            </w:r>
            <w:proofErr w:type="spell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7E2D23" w:rsidRPr="00C47924" w14:paraId="76528110" w14:textId="77777777" w:rsidTr="00DC328F">
        <w:tc>
          <w:tcPr>
            <w:tcW w:w="1719" w:type="dxa"/>
            <w:shd w:val="clear" w:color="auto" w:fill="auto"/>
          </w:tcPr>
          <w:p w14:paraId="10486D2C" w14:textId="77777777" w:rsidR="007E2D23" w:rsidRDefault="007E2D23" w:rsidP="007E2D23">
            <w:pPr>
              <w:rPr>
                <w:rFonts w:cs="Arial"/>
                <w:lang w:val="en-US" w:eastAsia="ko-KR"/>
              </w:rPr>
            </w:pPr>
          </w:p>
        </w:tc>
        <w:tc>
          <w:tcPr>
            <w:tcW w:w="1106" w:type="dxa"/>
            <w:shd w:val="clear" w:color="auto" w:fill="auto"/>
          </w:tcPr>
          <w:p w14:paraId="4590DF4A" w14:textId="77777777" w:rsidR="007E2D23" w:rsidRDefault="007E2D23" w:rsidP="007E2D23">
            <w:pPr>
              <w:rPr>
                <w:rFonts w:cs="Arial"/>
                <w:lang w:val="en-US" w:eastAsia="ko-KR"/>
              </w:rPr>
            </w:pPr>
          </w:p>
        </w:tc>
        <w:tc>
          <w:tcPr>
            <w:tcW w:w="7066" w:type="dxa"/>
            <w:shd w:val="clear" w:color="auto" w:fill="auto"/>
          </w:tcPr>
          <w:p w14:paraId="61D2FD76" w14:textId="77777777" w:rsidR="007E2D23" w:rsidRDefault="007E2D23" w:rsidP="007E2D23">
            <w:pPr>
              <w:rPr>
                <w:rFonts w:cs="Arial"/>
                <w:lang w:val="en-US" w:eastAsia="ko-KR"/>
              </w:rPr>
            </w:pP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B1242">
        <w:tc>
          <w:tcPr>
            <w:tcW w:w="1712" w:type="dxa"/>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6"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B1242">
        <w:tc>
          <w:tcPr>
            <w:tcW w:w="1712" w:type="dxa"/>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6" w:type="dxa"/>
            <w:shd w:val="clear" w:color="auto" w:fill="auto"/>
          </w:tcPr>
          <w:p w14:paraId="1D883077" w14:textId="104951C1" w:rsidR="00DD5407" w:rsidRDefault="00DD5407" w:rsidP="00DD5407">
            <w:pPr>
              <w:rPr>
                <w:rFonts w:cs="Arial"/>
                <w:lang w:val="en-US" w:eastAsia="ko-KR"/>
              </w:rPr>
            </w:pPr>
            <w:r>
              <w:t xml:space="preserve">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w:t>
            </w:r>
            <w:r>
              <w:lastRenderedPageBreak/>
              <w:t>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B1242">
        <w:tc>
          <w:tcPr>
            <w:tcW w:w="1712" w:type="dxa"/>
            <w:shd w:val="clear" w:color="auto" w:fill="auto"/>
          </w:tcPr>
          <w:p w14:paraId="30AE90C5" w14:textId="4650B887" w:rsidR="001A5EEA" w:rsidRDefault="001A5EEA" w:rsidP="001A5EEA">
            <w:pPr>
              <w:rPr>
                <w:rFonts w:cs="Arial"/>
                <w:lang w:val="en-US" w:eastAsia="ko-KR"/>
              </w:rPr>
            </w:pPr>
            <w:r>
              <w:rPr>
                <w:rFonts w:cs="Arial"/>
                <w:lang w:val="en-US" w:eastAsia="ko-KR"/>
              </w:rPr>
              <w:lastRenderedPageBreak/>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6"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B1242">
        <w:tc>
          <w:tcPr>
            <w:tcW w:w="1712" w:type="dxa"/>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6"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B80E9F" w:rsidRPr="00C47924" w14:paraId="660BF5A7" w14:textId="77777777" w:rsidTr="001B1242">
        <w:tc>
          <w:tcPr>
            <w:tcW w:w="1712" w:type="dxa"/>
            <w:shd w:val="clear" w:color="auto" w:fill="auto"/>
          </w:tcPr>
          <w:p w14:paraId="589E593C" w14:textId="77777777" w:rsidR="00B80E9F" w:rsidRDefault="00B80E9F" w:rsidP="00B80E9F">
            <w:pPr>
              <w:rPr>
                <w:rFonts w:cs="Arial"/>
                <w:lang w:val="en-US" w:eastAsia="ko-KR"/>
              </w:rPr>
            </w:pPr>
          </w:p>
        </w:tc>
        <w:tc>
          <w:tcPr>
            <w:tcW w:w="1173" w:type="dxa"/>
            <w:shd w:val="clear" w:color="auto" w:fill="auto"/>
          </w:tcPr>
          <w:p w14:paraId="4DD23241" w14:textId="77777777" w:rsidR="00B80E9F" w:rsidRDefault="00B80E9F" w:rsidP="00B80E9F">
            <w:pPr>
              <w:rPr>
                <w:rFonts w:cs="Arial"/>
                <w:lang w:val="en-US" w:eastAsia="ko-KR"/>
              </w:rPr>
            </w:pPr>
          </w:p>
        </w:tc>
        <w:tc>
          <w:tcPr>
            <w:tcW w:w="7006" w:type="dxa"/>
            <w:shd w:val="clear" w:color="auto" w:fill="auto"/>
          </w:tcPr>
          <w:p w14:paraId="13DED131" w14:textId="77777777" w:rsidR="00B80E9F" w:rsidRDefault="00B80E9F" w:rsidP="00B80E9F">
            <w:pPr>
              <w:rPr>
                <w:rFonts w:cs="Arial"/>
                <w:lang w:val="en-US" w:eastAsia="ko-KR"/>
              </w:rPr>
            </w:pP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lastRenderedPageBreak/>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proofErr w:type="spellStart"/>
            <w:r w:rsidRPr="00437ECF">
              <w:rPr>
                <w:rFonts w:cs="Arial"/>
                <w:lang w:val="en-US" w:eastAsia="ko-KR"/>
              </w:rPr>
              <w:t>gNB</w:t>
            </w:r>
            <w:proofErr w:type="spell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 xml:space="preserve">even if the </w:t>
            </w:r>
            <w:r w:rsidRPr="00AB654B">
              <w:rPr>
                <w:highlight w:val="green"/>
                <w:lang w:eastAsia="sv-SE"/>
              </w:rPr>
              <w:lastRenderedPageBreak/>
              <w:t>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B80E9F" w:rsidRPr="00C47924" w14:paraId="65BC82BD" w14:textId="77777777" w:rsidTr="00B80E9F">
        <w:trPr>
          <w:trHeight w:val="347"/>
        </w:trPr>
        <w:tc>
          <w:tcPr>
            <w:tcW w:w="1465" w:type="dxa"/>
            <w:shd w:val="clear" w:color="auto" w:fill="auto"/>
          </w:tcPr>
          <w:p w14:paraId="7901B149" w14:textId="77777777" w:rsidR="00B80E9F" w:rsidRDefault="00B80E9F" w:rsidP="00B80E9F">
            <w:pPr>
              <w:rPr>
                <w:rFonts w:cs="Arial"/>
                <w:lang w:val="en-US" w:eastAsia="ko-KR"/>
              </w:rPr>
            </w:pPr>
          </w:p>
        </w:tc>
        <w:tc>
          <w:tcPr>
            <w:tcW w:w="1551" w:type="dxa"/>
          </w:tcPr>
          <w:p w14:paraId="50FB3BB3" w14:textId="77777777" w:rsidR="00B80E9F" w:rsidRDefault="00B80E9F" w:rsidP="00B80E9F">
            <w:pPr>
              <w:rPr>
                <w:rFonts w:cs="Arial"/>
                <w:lang w:val="en-US" w:eastAsia="ko-KR"/>
              </w:rPr>
            </w:pPr>
          </w:p>
        </w:tc>
        <w:tc>
          <w:tcPr>
            <w:tcW w:w="1484" w:type="dxa"/>
            <w:shd w:val="clear" w:color="auto" w:fill="auto"/>
          </w:tcPr>
          <w:p w14:paraId="512E175F" w14:textId="77777777" w:rsidR="00B80E9F" w:rsidRDefault="00B80E9F" w:rsidP="00B80E9F">
            <w:pPr>
              <w:rPr>
                <w:rFonts w:cs="Arial"/>
                <w:lang w:val="en-US" w:eastAsia="ko-KR"/>
              </w:rPr>
            </w:pPr>
          </w:p>
        </w:tc>
        <w:tc>
          <w:tcPr>
            <w:tcW w:w="5435" w:type="dxa"/>
            <w:shd w:val="clear" w:color="auto" w:fill="auto"/>
          </w:tcPr>
          <w:p w14:paraId="70436D14" w14:textId="77777777" w:rsidR="00B80E9F" w:rsidRPr="00AB654B" w:rsidRDefault="00B80E9F" w:rsidP="00B80E9F">
            <w:pPr>
              <w:rPr>
                <w:rFonts w:cs="Arial"/>
                <w:lang w:val="en-US" w:eastAsia="ko-KR"/>
              </w:rPr>
            </w:pP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4C1025B6" w14:textId="77777777" w:rsidTr="00AA62A8">
        <w:trPr>
          <w:trHeight w:val="587"/>
        </w:trPr>
        <w:tc>
          <w:tcPr>
            <w:tcW w:w="1543"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050"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0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292"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AA62A8">
        <w:trPr>
          <w:trHeight w:val="355"/>
        </w:trPr>
        <w:tc>
          <w:tcPr>
            <w:tcW w:w="1543"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050"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292"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lastRenderedPageBreak/>
              <w:t>For the moment, we think it is hard to discuss retransmission on-fly.</w:t>
            </w:r>
          </w:p>
        </w:tc>
      </w:tr>
      <w:tr w:rsidR="00AA62A8" w:rsidRPr="00C47924" w14:paraId="5DA54188" w14:textId="77777777" w:rsidTr="00AA62A8">
        <w:trPr>
          <w:trHeight w:val="347"/>
        </w:trPr>
        <w:tc>
          <w:tcPr>
            <w:tcW w:w="154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0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92"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AA62A8">
        <w:trPr>
          <w:trHeight w:val="347"/>
        </w:trPr>
        <w:tc>
          <w:tcPr>
            <w:tcW w:w="154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050"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92"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AA62A8">
        <w:trPr>
          <w:trHeight w:val="347"/>
        </w:trPr>
        <w:tc>
          <w:tcPr>
            <w:tcW w:w="154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050"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92"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AA62A8">
        <w:trPr>
          <w:trHeight w:val="347"/>
        </w:trPr>
        <w:tc>
          <w:tcPr>
            <w:tcW w:w="1543"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050"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92"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AA62A8">
        <w:trPr>
          <w:trHeight w:val="347"/>
        </w:trPr>
        <w:tc>
          <w:tcPr>
            <w:tcW w:w="1543"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050"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92"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AA62A8">
        <w:trPr>
          <w:trHeight w:val="347"/>
        </w:trPr>
        <w:tc>
          <w:tcPr>
            <w:tcW w:w="1543"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050" w:type="dxa"/>
          </w:tcPr>
          <w:p w14:paraId="0021ECF1" w14:textId="39DE4939" w:rsidR="00B80E9F" w:rsidRDefault="00B80E9F" w:rsidP="00B80E9F">
            <w:pPr>
              <w:rPr>
                <w:rFonts w:cs="Arial"/>
                <w:lang w:val="en-US" w:eastAsia="ko-KR"/>
              </w:rPr>
            </w:pPr>
            <w:r>
              <w:rPr>
                <w:rFonts w:cs="Arial"/>
                <w:lang w:val="en-US" w:eastAsia="ko-KR"/>
              </w:rPr>
              <w:t>Option 1</w:t>
            </w:r>
          </w:p>
        </w:tc>
        <w:tc>
          <w:tcPr>
            <w:tcW w:w="10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292"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B80E9F" w:rsidRPr="00C47924" w14:paraId="24DEEC7A" w14:textId="77777777" w:rsidTr="00AA62A8">
        <w:trPr>
          <w:trHeight w:val="347"/>
        </w:trPr>
        <w:tc>
          <w:tcPr>
            <w:tcW w:w="1543" w:type="dxa"/>
            <w:shd w:val="clear" w:color="auto" w:fill="auto"/>
          </w:tcPr>
          <w:p w14:paraId="56230A13" w14:textId="77777777" w:rsidR="00B80E9F" w:rsidRDefault="00B80E9F" w:rsidP="00B80E9F">
            <w:pPr>
              <w:rPr>
                <w:rFonts w:cs="Arial"/>
                <w:lang w:val="en-US" w:eastAsia="ko-KR"/>
              </w:rPr>
            </w:pPr>
          </w:p>
        </w:tc>
        <w:tc>
          <w:tcPr>
            <w:tcW w:w="1050" w:type="dxa"/>
          </w:tcPr>
          <w:p w14:paraId="194663F4" w14:textId="77777777" w:rsidR="00B80E9F" w:rsidRDefault="00B80E9F" w:rsidP="00B80E9F">
            <w:pPr>
              <w:rPr>
                <w:rFonts w:cs="Arial"/>
                <w:lang w:val="en-US" w:eastAsia="ko-KR"/>
              </w:rPr>
            </w:pPr>
          </w:p>
        </w:tc>
        <w:tc>
          <w:tcPr>
            <w:tcW w:w="1050" w:type="dxa"/>
            <w:shd w:val="clear" w:color="auto" w:fill="auto"/>
          </w:tcPr>
          <w:p w14:paraId="3C755471" w14:textId="77777777" w:rsidR="00B80E9F" w:rsidRDefault="00B80E9F" w:rsidP="00B80E9F">
            <w:pPr>
              <w:rPr>
                <w:rFonts w:cs="Arial"/>
                <w:lang w:val="en-US" w:eastAsia="ko-KR"/>
              </w:rPr>
            </w:pPr>
          </w:p>
        </w:tc>
        <w:tc>
          <w:tcPr>
            <w:tcW w:w="6292" w:type="dxa"/>
            <w:shd w:val="clear" w:color="auto" w:fill="auto"/>
          </w:tcPr>
          <w:p w14:paraId="7C3553DB" w14:textId="77777777" w:rsidR="00B80E9F" w:rsidRDefault="00B80E9F" w:rsidP="00B80E9F">
            <w:pPr>
              <w:rPr>
                <w:rFonts w:cs="Arial"/>
                <w:lang w:val="en-US" w:eastAsia="ko-KR"/>
              </w:rPr>
            </w:pP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w:t>
            </w:r>
            <w:r>
              <w:lastRenderedPageBreak/>
              <w:t xml:space="preserve">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lastRenderedPageBreak/>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w:t>
            </w:r>
            <w:proofErr w:type="gramStart"/>
            <w:r w:rsidRPr="00C4326C">
              <w:rPr>
                <w:rFonts w:cs="Arial"/>
                <w:lang w:val="en-US" w:eastAsia="ko-KR"/>
              </w:rPr>
              <w:t>non active</w:t>
            </w:r>
            <w:proofErr w:type="gramEnd"/>
            <w:r w:rsidRPr="00C4326C">
              <w:rPr>
                <w:rFonts w:cs="Arial"/>
                <w:lang w:val="en-US" w:eastAsia="ko-KR"/>
              </w:rPr>
              <w:t xml:space="preser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B80E9F" w:rsidRPr="00C47924" w14:paraId="708BCA70" w14:textId="77777777" w:rsidTr="00DC328F">
        <w:tc>
          <w:tcPr>
            <w:tcW w:w="1719" w:type="dxa"/>
            <w:shd w:val="clear" w:color="auto" w:fill="auto"/>
          </w:tcPr>
          <w:p w14:paraId="4AD9E73F" w14:textId="77777777" w:rsidR="00B80E9F" w:rsidRDefault="00B80E9F" w:rsidP="00B80E9F">
            <w:pPr>
              <w:rPr>
                <w:rFonts w:cs="Arial"/>
                <w:lang w:val="en-US" w:eastAsia="ko-KR"/>
              </w:rPr>
            </w:pPr>
          </w:p>
        </w:tc>
        <w:tc>
          <w:tcPr>
            <w:tcW w:w="1106" w:type="dxa"/>
            <w:shd w:val="clear" w:color="auto" w:fill="auto"/>
          </w:tcPr>
          <w:p w14:paraId="24892FE2" w14:textId="77777777" w:rsidR="00B80E9F" w:rsidRDefault="00B80E9F" w:rsidP="00B80E9F">
            <w:pPr>
              <w:rPr>
                <w:rFonts w:cs="Arial"/>
                <w:lang w:val="en-US" w:eastAsia="ko-KR"/>
              </w:rPr>
            </w:pPr>
          </w:p>
        </w:tc>
        <w:tc>
          <w:tcPr>
            <w:tcW w:w="7066" w:type="dxa"/>
            <w:shd w:val="clear" w:color="auto" w:fill="auto"/>
          </w:tcPr>
          <w:p w14:paraId="3DFEBC54" w14:textId="77777777" w:rsidR="00B80E9F" w:rsidRDefault="00B80E9F" w:rsidP="00B80E9F">
            <w:pPr>
              <w:rPr>
                <w:rFonts w:cs="Arial"/>
                <w:lang w:val="en-US" w:eastAsia="ko-KR"/>
              </w:rPr>
            </w:pP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lastRenderedPageBreak/>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lastRenderedPageBreak/>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B80E9F" w:rsidRPr="00C47924" w14:paraId="33E53F7E" w14:textId="77777777" w:rsidTr="00DC328F">
        <w:tc>
          <w:tcPr>
            <w:tcW w:w="1719" w:type="dxa"/>
            <w:shd w:val="clear" w:color="auto" w:fill="auto"/>
          </w:tcPr>
          <w:p w14:paraId="04895849" w14:textId="77777777" w:rsidR="00B80E9F" w:rsidRDefault="00B80E9F" w:rsidP="00B80E9F">
            <w:pPr>
              <w:rPr>
                <w:rFonts w:cs="Arial"/>
                <w:lang w:val="en-US" w:eastAsia="ko-KR"/>
              </w:rPr>
            </w:pPr>
          </w:p>
        </w:tc>
        <w:tc>
          <w:tcPr>
            <w:tcW w:w="1106" w:type="dxa"/>
            <w:shd w:val="clear" w:color="auto" w:fill="auto"/>
          </w:tcPr>
          <w:p w14:paraId="240C90C2" w14:textId="77777777" w:rsidR="00B80E9F" w:rsidRDefault="00B80E9F" w:rsidP="00B80E9F">
            <w:pPr>
              <w:rPr>
                <w:rFonts w:cs="Arial"/>
                <w:lang w:val="en-US" w:eastAsia="ko-KR"/>
              </w:rPr>
            </w:pPr>
          </w:p>
        </w:tc>
        <w:tc>
          <w:tcPr>
            <w:tcW w:w="7066" w:type="dxa"/>
            <w:shd w:val="clear" w:color="auto" w:fill="auto"/>
          </w:tcPr>
          <w:p w14:paraId="111A2AB6" w14:textId="77777777" w:rsidR="00B80E9F" w:rsidRDefault="00B80E9F" w:rsidP="00B80E9F">
            <w:pPr>
              <w:rPr>
                <w:rFonts w:cs="Arial"/>
                <w:lang w:val="en-US" w:eastAsia="ko-KR"/>
              </w:rPr>
            </w:pP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A377F9"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lastRenderedPageBreak/>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153C" w14:textId="77777777" w:rsidR="00944096" w:rsidRDefault="00944096">
      <w:pPr>
        <w:spacing w:after="0"/>
      </w:pPr>
      <w:r>
        <w:separator/>
      </w:r>
    </w:p>
  </w:endnote>
  <w:endnote w:type="continuationSeparator" w:id="0">
    <w:p w14:paraId="30FB66FB" w14:textId="77777777" w:rsidR="00944096" w:rsidRDefault="00944096">
      <w:pPr>
        <w:spacing w:after="0"/>
      </w:pPr>
      <w:r>
        <w:continuationSeparator/>
      </w:r>
    </w:p>
  </w:endnote>
  <w:endnote w:type="continuationNotice" w:id="1">
    <w:p w14:paraId="227377BA" w14:textId="77777777" w:rsidR="00944096" w:rsidRDefault="00944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115" w14:textId="0D08EC67" w:rsidR="00A377F9" w:rsidRDefault="00A377F9" w:rsidP="00DC328F">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A377F9" w:rsidRPr="008D6DAD" w:rsidRDefault="00A377F9"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E4D7" w14:textId="77777777" w:rsidR="00944096" w:rsidRDefault="00944096">
      <w:pPr>
        <w:spacing w:after="0"/>
      </w:pPr>
      <w:r>
        <w:separator/>
      </w:r>
    </w:p>
  </w:footnote>
  <w:footnote w:type="continuationSeparator" w:id="0">
    <w:p w14:paraId="17835811" w14:textId="77777777" w:rsidR="00944096" w:rsidRDefault="00944096">
      <w:pPr>
        <w:spacing w:after="0"/>
      </w:pPr>
      <w:r>
        <w:continuationSeparator/>
      </w:r>
    </w:p>
  </w:footnote>
  <w:footnote w:type="continuationNotice" w:id="1">
    <w:p w14:paraId="4AA5E1E1" w14:textId="77777777" w:rsidR="00944096" w:rsidRDefault="009440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1"/>
  </w:num>
  <w:num w:numId="8">
    <w:abstractNumId w:val="11"/>
  </w:num>
  <w:num w:numId="9">
    <w:abstractNumId w:val="17"/>
  </w:num>
  <w:num w:numId="10">
    <w:abstractNumId w:val="31"/>
  </w:num>
  <w:num w:numId="11">
    <w:abstractNumId w:val="19"/>
  </w:num>
  <w:num w:numId="12">
    <w:abstractNumId w:val="27"/>
  </w:num>
  <w:num w:numId="13">
    <w:abstractNumId w:val="12"/>
  </w:num>
  <w:num w:numId="14">
    <w:abstractNumId w:val="24"/>
  </w:num>
  <w:num w:numId="15">
    <w:abstractNumId w:val="23"/>
  </w:num>
  <w:num w:numId="16">
    <w:abstractNumId w:val="8"/>
  </w:num>
  <w:num w:numId="17">
    <w:abstractNumId w:val="9"/>
  </w:num>
  <w:num w:numId="18">
    <w:abstractNumId w:val="28"/>
  </w:num>
  <w:num w:numId="19">
    <w:abstractNumId w:val="30"/>
  </w:num>
  <w:num w:numId="20">
    <w:abstractNumId w:val="6"/>
  </w:num>
  <w:num w:numId="21">
    <w:abstractNumId w:val="7"/>
  </w:num>
  <w:num w:numId="22">
    <w:abstractNumId w:val="14"/>
  </w:num>
  <w:num w:numId="23">
    <w:abstractNumId w:val="18"/>
  </w:num>
  <w:num w:numId="24">
    <w:abstractNumId w:val="4"/>
  </w:num>
  <w:num w:numId="25">
    <w:abstractNumId w:val="26"/>
  </w:num>
  <w:num w:numId="26">
    <w:abstractNumId w:val="2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0"/>
  </w:num>
  <w:num w:numId="37">
    <w:abstractNumId w:val="22"/>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59ED"/>
    <w:rsid w:val="00046F29"/>
    <w:rsid w:val="00051D96"/>
    <w:rsid w:val="00052F1B"/>
    <w:rsid w:val="00053102"/>
    <w:rsid w:val="00060A45"/>
    <w:rsid w:val="00063CF0"/>
    <w:rsid w:val="00065828"/>
    <w:rsid w:val="0006605A"/>
    <w:rsid w:val="00070D5A"/>
    <w:rsid w:val="0007247A"/>
    <w:rsid w:val="000878C2"/>
    <w:rsid w:val="0009234D"/>
    <w:rsid w:val="000937AA"/>
    <w:rsid w:val="0009470A"/>
    <w:rsid w:val="00095DA0"/>
    <w:rsid w:val="000A143C"/>
    <w:rsid w:val="000A1F2F"/>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73E8D"/>
    <w:rsid w:val="00175A54"/>
    <w:rsid w:val="00180958"/>
    <w:rsid w:val="001837DE"/>
    <w:rsid w:val="001906E3"/>
    <w:rsid w:val="001A1D5A"/>
    <w:rsid w:val="001A3054"/>
    <w:rsid w:val="001A4528"/>
    <w:rsid w:val="001A5E6A"/>
    <w:rsid w:val="001A5EE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36D46"/>
    <w:rsid w:val="00240A2F"/>
    <w:rsid w:val="00252D7E"/>
    <w:rsid w:val="00253744"/>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3BE2"/>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7318"/>
    <w:rsid w:val="00570984"/>
    <w:rsid w:val="00593F0F"/>
    <w:rsid w:val="005A18A4"/>
    <w:rsid w:val="005A1C31"/>
    <w:rsid w:val="005A23D0"/>
    <w:rsid w:val="005A39AD"/>
    <w:rsid w:val="005A4093"/>
    <w:rsid w:val="005A498F"/>
    <w:rsid w:val="005A56B8"/>
    <w:rsid w:val="005B032E"/>
    <w:rsid w:val="005C0629"/>
    <w:rsid w:val="005C1A95"/>
    <w:rsid w:val="005C1E6F"/>
    <w:rsid w:val="005C36DC"/>
    <w:rsid w:val="005C416A"/>
    <w:rsid w:val="005C67B3"/>
    <w:rsid w:val="005D1947"/>
    <w:rsid w:val="005D2596"/>
    <w:rsid w:val="005D26ED"/>
    <w:rsid w:val="005D4506"/>
    <w:rsid w:val="005E32C7"/>
    <w:rsid w:val="005F1E40"/>
    <w:rsid w:val="005F4CB8"/>
    <w:rsid w:val="005F6D78"/>
    <w:rsid w:val="006035AB"/>
    <w:rsid w:val="00606323"/>
    <w:rsid w:val="00607EE2"/>
    <w:rsid w:val="00610DDB"/>
    <w:rsid w:val="0062291F"/>
    <w:rsid w:val="00622BEA"/>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7F0C"/>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0D9"/>
    <w:rsid w:val="007A44A2"/>
    <w:rsid w:val="007A535D"/>
    <w:rsid w:val="007B385E"/>
    <w:rsid w:val="007B56C5"/>
    <w:rsid w:val="007B68EF"/>
    <w:rsid w:val="007C19FE"/>
    <w:rsid w:val="007C52AC"/>
    <w:rsid w:val="007D1D15"/>
    <w:rsid w:val="007D611F"/>
    <w:rsid w:val="007D7923"/>
    <w:rsid w:val="007E2D23"/>
    <w:rsid w:val="007E6C54"/>
    <w:rsid w:val="007F1813"/>
    <w:rsid w:val="007F42BD"/>
    <w:rsid w:val="00800FD0"/>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D6DAD"/>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1CE5"/>
    <w:rsid w:val="00942040"/>
    <w:rsid w:val="00943572"/>
    <w:rsid w:val="00943F7E"/>
    <w:rsid w:val="00944096"/>
    <w:rsid w:val="0094784F"/>
    <w:rsid w:val="0095205B"/>
    <w:rsid w:val="00966E1E"/>
    <w:rsid w:val="00970720"/>
    <w:rsid w:val="0097190B"/>
    <w:rsid w:val="009738CE"/>
    <w:rsid w:val="00973FC2"/>
    <w:rsid w:val="00977EC0"/>
    <w:rsid w:val="00983255"/>
    <w:rsid w:val="00984CDF"/>
    <w:rsid w:val="00985588"/>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0E9F"/>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57EFA"/>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38E9"/>
    <w:rsid w:val="00D9442E"/>
    <w:rsid w:val="00DA22FD"/>
    <w:rsid w:val="00DA3DDE"/>
    <w:rsid w:val="00DA52DE"/>
    <w:rsid w:val="00DB0BBD"/>
    <w:rsid w:val="00DB27C8"/>
    <w:rsid w:val="00DB5D0C"/>
    <w:rsid w:val="00DC328F"/>
    <w:rsid w:val="00DC4E03"/>
    <w:rsid w:val="00DC5993"/>
    <w:rsid w:val="00DC71B4"/>
    <w:rsid w:val="00DD1821"/>
    <w:rsid w:val="00DD2674"/>
    <w:rsid w:val="00DD5407"/>
    <w:rsid w:val="00DD7C50"/>
    <w:rsid w:val="00DE0C0B"/>
    <w:rsid w:val="00DE66A6"/>
    <w:rsid w:val="00DE6D5F"/>
    <w:rsid w:val="00DF0C60"/>
    <w:rsid w:val="00DF35D8"/>
    <w:rsid w:val="00DF63A5"/>
    <w:rsid w:val="00E00930"/>
    <w:rsid w:val="00E03543"/>
    <w:rsid w:val="00E036EB"/>
    <w:rsid w:val="00E04F00"/>
    <w:rsid w:val="00E11A0A"/>
    <w:rsid w:val="00E13312"/>
    <w:rsid w:val="00E2142F"/>
    <w:rsid w:val="00E21666"/>
    <w:rsid w:val="00E2197B"/>
    <w:rsid w:val="00E2221B"/>
    <w:rsid w:val="00E22B8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D1E"/>
    <w:rsid w:val="00E72F66"/>
    <w:rsid w:val="00E751B1"/>
    <w:rsid w:val="00E80B9D"/>
    <w:rsid w:val="00E83CF0"/>
    <w:rsid w:val="00E849B5"/>
    <w:rsid w:val="00E86567"/>
    <w:rsid w:val="00E90BFA"/>
    <w:rsid w:val="00E91D30"/>
    <w:rsid w:val="00E97D68"/>
    <w:rsid w:val="00EA4041"/>
    <w:rsid w:val="00EB218B"/>
    <w:rsid w:val="00EB4444"/>
    <w:rsid w:val="00EB6378"/>
    <w:rsid w:val="00EC0262"/>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361E3"/>
    <w:rsid w:val="00F424EF"/>
    <w:rsid w:val="00F44AA4"/>
    <w:rsid w:val="00F47E23"/>
    <w:rsid w:val="00F51EB2"/>
    <w:rsid w:val="00F53CCE"/>
    <w:rsid w:val="00F55905"/>
    <w:rsid w:val="00F56F3D"/>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4347"/>
    <w:rsid w:val="00F947B6"/>
    <w:rsid w:val="00FA01D4"/>
    <w:rsid w:val="00FA7091"/>
    <w:rsid w:val="00FA7FC4"/>
    <w:rsid w:val="00FB234D"/>
    <w:rsid w:val="00FB3A1A"/>
    <w:rsid w:val="00FB5AA0"/>
    <w:rsid w:val="00FB7083"/>
    <w:rsid w:val="00FC031D"/>
    <w:rsid w:val="00FC1783"/>
    <w:rsid w:val="00FC1A9D"/>
    <w:rsid w:val="00FC27CC"/>
    <w:rsid w:val="00FC4D05"/>
    <w:rsid w:val="00FC5157"/>
    <w:rsid w:val="00FD385D"/>
    <w:rsid w:val="00FD5658"/>
    <w:rsid w:val="00FE5133"/>
    <w:rsid w:val="00FF68A3"/>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AA03EAD-55BF-4B83-B392-B146E5E0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6653</Words>
  <Characters>37923</Characters>
  <Application>Microsoft Office Word</Application>
  <DocSecurity>0</DocSecurity>
  <Lines>316</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44488</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Huawei (Marcin)</cp:lastModifiedBy>
  <cp:revision>30</cp:revision>
  <cp:lastPrinted>2023-03-17T06:55:00Z</cp:lastPrinted>
  <dcterms:created xsi:type="dcterms:W3CDTF">2023-03-23T17:23:00Z</dcterms:created>
  <dcterms:modified xsi:type="dcterms:W3CDTF">2023-03-24T09:38:00Z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ies>
</file>