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pPr>
        <w:tabs>
          <w:tab w:val="left" w:pos="1985"/>
        </w:tabs>
        <w:spacing w:line="240" w:lineRule="auto"/>
        <w:jc w:val="left"/>
        <w:rPr>
          <w:rFonts w:ascii="Arial" w:hAnsi="Arial" w:eastAsia="MS Mincho" w:cs="Arial"/>
          <w:b/>
          <w:bCs/>
          <w:szCs w:val="18"/>
        </w:rPr>
      </w:pPr>
      <w:r>
        <w:rPr>
          <w:rFonts w:ascii="Arial" w:hAnsi="Arial" w:eastAsia="MS Mincho" w:cs="Arial"/>
          <w:b/>
          <w:bCs/>
          <w:szCs w:val="18"/>
        </w:rPr>
        <w:t>Agenda item:</w:t>
      </w:r>
      <w:r>
        <w:rPr>
          <w:rFonts w:ascii="Arial" w:hAnsi="Arial" w:eastAsia="MS Mincho" w:cs="Arial"/>
          <w:b/>
          <w:bCs/>
          <w:szCs w:val="18"/>
        </w:rPr>
        <w:tab/>
      </w:r>
      <w:r>
        <w:rPr>
          <w:rFonts w:ascii="Arial" w:hAnsi="Arial" w:eastAsia="MS Mincho" w:cs="Arial"/>
          <w:b/>
          <w:bCs/>
          <w:szCs w:val="18"/>
        </w:rPr>
        <w:t>8.17.2</w:t>
      </w:r>
    </w:p>
    <w:p>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r>
      <w:r>
        <w:rPr>
          <w:rFonts w:ascii="Arial" w:hAnsi="Arial" w:cs="Arial"/>
          <w:b/>
          <w:bCs/>
          <w:szCs w:val="18"/>
          <w:lang w:val="en-US" w:eastAsia="en-US"/>
        </w:rPr>
        <w:t>Qualcomm Incorporated</w:t>
      </w:r>
    </w:p>
    <w:p>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r>
      <w:r>
        <w:rPr>
          <w:rFonts w:ascii="Arial" w:hAnsi="Arial" w:cs="Arial"/>
          <w:b/>
          <w:bCs/>
          <w:szCs w:val="18"/>
          <w:lang w:val="en-US" w:eastAsia="en-US"/>
        </w:rPr>
        <w:t>[</w:t>
      </w:r>
      <w:r>
        <w:rPr>
          <w:rFonts w:ascii="Arial" w:hAnsi="Arial" w:cs="Arial"/>
          <w:b/>
          <w:bCs/>
        </w:rPr>
        <w:t>Post119bis-e][212][MUSIM] Rel-18 MUSIM solutions (Qualcomm/vivo</w:t>
      </w:r>
      <w:r>
        <w:rPr>
          <w:rFonts w:ascii="Arial" w:hAnsi="Arial" w:cs="Arial"/>
          <w:b/>
          <w:bCs/>
          <w:szCs w:val="18"/>
          <w:lang w:eastAsia="en-US"/>
        </w:rPr>
        <w:t>)</w:t>
      </w:r>
    </w:p>
    <w:p>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r>
      <w:r>
        <w:rPr>
          <w:rFonts w:ascii="Arial" w:hAnsi="Arial" w:cs="Arial"/>
          <w:b/>
          <w:bCs/>
          <w:szCs w:val="18"/>
          <w:lang w:val="en-US" w:eastAsia="en-US"/>
        </w:rPr>
        <w:t xml:space="preserve">Discussion and </w:t>
      </w:r>
      <w:r>
        <w:rPr>
          <w:rFonts w:ascii="Arial" w:hAnsi="Arial" w:cs="Arial"/>
          <w:b/>
          <w:bCs/>
          <w:szCs w:val="18"/>
          <w:lang w:val="en-US"/>
        </w:rPr>
        <w:t>d</w:t>
      </w:r>
      <w:r>
        <w:rPr>
          <w:rFonts w:ascii="Arial" w:hAnsi="Arial" w:cs="Arial"/>
          <w:b/>
          <w:bCs/>
          <w:szCs w:val="18"/>
          <w:lang w:val="en-US" w:eastAsia="en-US"/>
        </w:rPr>
        <w:t>ecision</w:t>
      </w:r>
    </w:p>
    <w:p>
      <w:pPr>
        <w:pStyle w:val="2"/>
        <w:numPr>
          <w:ilvl w:val="0"/>
          <w:numId w:val="3"/>
        </w:numPr>
        <w:tabs>
          <w:tab w:val="left" w:pos="720"/>
        </w:tabs>
        <w:jc w:val="left"/>
        <w:rPr>
          <w:rFonts w:ascii="Times New Roman" w:hAnsi="Times New Roman"/>
        </w:rPr>
      </w:pPr>
      <w:bookmarkStart w:id="0" w:name="_Ref165266342"/>
      <w:r>
        <w:rPr>
          <w:rFonts w:ascii="Times New Roman" w:hAnsi="Times New Roman"/>
        </w:rPr>
        <w:t>Introduction</w:t>
      </w:r>
      <w:bookmarkEnd w:id="0"/>
    </w:p>
    <w:p>
      <w:pPr>
        <w:spacing w:before="120" w:beforeLines="50" w:line="240" w:lineRule="auto"/>
        <w:jc w:val="left"/>
        <w:rPr>
          <w:sz w:val="20"/>
          <w:szCs w:val="18"/>
        </w:rPr>
      </w:pPr>
      <w:r>
        <w:rPr>
          <w:sz w:val="20"/>
          <w:szCs w:val="18"/>
        </w:rPr>
        <w:t>This document will report the outcome of the following offline discussion:</w:t>
      </w:r>
    </w:p>
    <w:p>
      <w:pPr>
        <w:pStyle w:val="93"/>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pPr>
        <w:pStyle w:val="91"/>
        <w:numPr>
          <w:ilvl w:val="0"/>
          <w:numId w:val="4"/>
        </w:numPr>
        <w:tabs>
          <w:tab w:val="clear" w:pos="720"/>
        </w:tabs>
      </w:pPr>
      <w:r>
        <w:t>[Post119bis-e][212][MUSIM] Rel-18 MUSIM solutions (Qualcomm/vivo)</w:t>
      </w:r>
    </w:p>
    <w:p>
      <w:pPr>
        <w:pStyle w:val="93"/>
      </w:pPr>
      <w:r>
        <w:tab/>
      </w:r>
      <w:r>
        <w:t>Scope: Discuss MUSIM solutions for Rel-18 (QC), including RAN3/RAN4 impact analysis (vivo). Should try to understand the pros and cons, can consider Stage-2 details.</w:t>
      </w:r>
    </w:p>
    <w:p>
      <w:pPr>
        <w:pStyle w:val="93"/>
      </w:pPr>
      <w:r>
        <w:tab/>
      </w:r>
      <w:r>
        <w:t>Intended outcome: Report</w:t>
      </w:r>
    </w:p>
    <w:p>
      <w:pPr>
        <w:pStyle w:val="93"/>
      </w:pPr>
      <w:r>
        <w:tab/>
      </w:r>
      <w:r>
        <w:t>Deadline:  Long (starts only after RAN2#120)</w:t>
      </w:r>
    </w:p>
    <w:p>
      <w:pPr>
        <w:pStyle w:val="93"/>
        <w:ind w:left="0" w:firstLine="0"/>
        <w:rPr>
          <w:rFonts w:ascii="Times New Roman" w:hAnsi="Times New Roman"/>
        </w:rPr>
      </w:pPr>
    </w:p>
    <w:p>
      <w:pPr>
        <w:pStyle w:val="53"/>
        <w:ind w:left="0" w:firstLine="0"/>
        <w:rPr>
          <w:rFonts w:ascii="Times New Roman" w:hAnsi="Times New Roman"/>
        </w:rPr>
      </w:pPr>
    </w:p>
    <w:p>
      <w:pPr>
        <w:pStyle w:val="53"/>
        <w:ind w:left="0" w:firstLine="0"/>
        <w:rPr>
          <w:rFonts w:ascii="Times New Roman" w:hAnsi="Times New Roman"/>
        </w:rPr>
      </w:pPr>
      <w:r>
        <w:rPr>
          <w:rFonts w:ascii="Times New Roman" w:hAnsi="Times New Roman"/>
        </w:rPr>
        <w:t>Please provide your contact information in the table below.</w:t>
      </w:r>
    </w:p>
    <w:p>
      <w:pPr>
        <w:pStyle w:val="53"/>
        <w:ind w:left="0" w:firstLine="0"/>
        <w:rPr>
          <w:rFonts w:ascii="Times New Roman" w:hAnsi="Times New Roma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16"/>
              <w:jc w:val="left"/>
              <w:rPr>
                <w:rFonts w:ascii="Times New Roman" w:hAnsi="Times New Roman"/>
                <w:b/>
                <w:bCs/>
                <w:lang w:val="de-DE"/>
              </w:rPr>
            </w:pPr>
            <w:r>
              <w:rPr>
                <w:rFonts w:ascii="Times New Roman" w:hAnsi="Times New Roman"/>
                <w:b/>
                <w:bCs/>
                <w:lang w:val="de-DE"/>
              </w:rPr>
              <w:t>Company</w:t>
            </w:r>
          </w:p>
        </w:tc>
        <w:tc>
          <w:tcPr>
            <w:tcW w:w="6373" w:type="dxa"/>
          </w:tcPr>
          <w:p>
            <w:pPr>
              <w:pStyle w:val="16"/>
              <w:jc w:val="left"/>
              <w:rPr>
                <w:rFonts w:ascii="Times New Roman" w:hAnsi="Times New Roman"/>
                <w:b/>
                <w:bCs/>
                <w:lang w:val="de-DE"/>
              </w:rPr>
            </w:pPr>
            <w:r>
              <w:rPr>
                <w:rFonts w:ascii="Times New Roman" w:hAnsi="Times New Roman"/>
                <w:b/>
                <w:bCs/>
                <w:lang w:val="de-DE"/>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left"/>
              <w:rPr>
                <w:sz w:val="20"/>
                <w:lang w:val="de-DE"/>
              </w:rPr>
            </w:pPr>
            <w:r>
              <w:rPr>
                <w:sz w:val="20"/>
                <w:lang w:val="de-DE"/>
              </w:rPr>
              <w:t>Qualcomm</w:t>
            </w:r>
          </w:p>
        </w:tc>
        <w:tc>
          <w:tcPr>
            <w:tcW w:w="6373" w:type="dxa"/>
          </w:tcPr>
          <w:p>
            <w:pPr>
              <w:jc w:val="left"/>
              <w:rPr>
                <w:sz w:val="20"/>
                <w:lang w:val="de-DE"/>
              </w:rPr>
            </w:pPr>
            <w:r>
              <w:rPr>
                <w:sz w:val="20"/>
                <w:lang w:val="de-DE"/>
              </w:rPr>
              <w:t>Ozcan Ozturk, oozturk@qti.qualcomm.com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left"/>
              <w:rPr>
                <w:lang w:val="en-US"/>
              </w:rPr>
            </w:pPr>
            <w:r>
              <w:rPr>
                <w:lang w:val="en-US"/>
              </w:rPr>
              <w:t>Xiaomi</w:t>
            </w:r>
          </w:p>
        </w:tc>
        <w:tc>
          <w:tcPr>
            <w:tcW w:w="6373" w:type="dxa"/>
          </w:tcPr>
          <w:p>
            <w:pPr>
              <w:jc w:val="left"/>
              <w:rPr>
                <w:lang w:val="en-US"/>
              </w:rPr>
            </w:pPr>
            <w:r>
              <w:rPr>
                <w:lang w:val="en-US"/>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373" w:type="dxa"/>
          </w:tcPr>
          <w:p>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left"/>
              <w:rPr>
                <w:sz w:val="20"/>
                <w:lang w:val="en-US"/>
              </w:rPr>
            </w:pPr>
            <w:r>
              <w:rPr>
                <w:sz w:val="20"/>
                <w:lang w:val="en-US"/>
              </w:rPr>
              <w:t>Huawei/HiSilicon</w:t>
            </w:r>
          </w:p>
        </w:tc>
        <w:tc>
          <w:tcPr>
            <w:tcW w:w="6373" w:type="dxa"/>
          </w:tcPr>
          <w:p>
            <w:pPr>
              <w:jc w:val="left"/>
              <w:rPr>
                <w:sz w:val="20"/>
                <w:lang w:val="en-US"/>
              </w:rPr>
            </w:pPr>
            <w:r>
              <w:rPr>
                <w:sz w:val="20"/>
                <w:lang w:val="en-US"/>
              </w:rPr>
              <w:t>Rama Kumar Mopidevi, rama.kumar@huawei.com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left"/>
              <w:rPr>
                <w:rFonts w:hint="default" w:ascii="Yu Mincho" w:hAnsi="Yu Mincho" w:eastAsia="宋体"/>
                <w:lang w:val="en-US" w:eastAsia="zh-CN"/>
              </w:rPr>
            </w:pPr>
            <w:r>
              <w:rPr>
                <w:rFonts w:hint="eastAsia" w:ascii="Yu Mincho" w:hAnsi="Yu Mincho"/>
                <w:lang w:val="en-US" w:eastAsia="zh-CN"/>
              </w:rPr>
              <w:t>ZTE</w:t>
            </w:r>
          </w:p>
        </w:tc>
        <w:tc>
          <w:tcPr>
            <w:tcW w:w="6373" w:type="dxa"/>
          </w:tcPr>
          <w:p>
            <w:pPr>
              <w:jc w:val="left"/>
              <w:rPr>
                <w:rFonts w:hint="default" w:eastAsia="宋体"/>
                <w:lang w:val="en-US" w:eastAsia="zh-CN"/>
              </w:rPr>
            </w:pPr>
            <w:r>
              <w:rPr>
                <w:rFonts w:hint="eastAsia"/>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left"/>
              <w:rPr>
                <w:lang w:val="en-US"/>
              </w:rPr>
            </w:pPr>
          </w:p>
        </w:tc>
        <w:tc>
          <w:tcPr>
            <w:tcW w:w="6373" w:type="dxa"/>
          </w:tcPr>
          <w:p>
            <w:pPr>
              <w:jc w:val="left"/>
              <w:rPr>
                <w:lang w:val="en-US"/>
              </w:rPr>
            </w:pPr>
          </w:p>
        </w:tc>
      </w:tr>
    </w:tbl>
    <w:p>
      <w:pPr>
        <w:pStyle w:val="53"/>
        <w:ind w:left="0" w:firstLine="0"/>
        <w:rPr>
          <w:rFonts w:ascii="Times New Roman" w:hAnsi="Times New Roman"/>
          <w:lang w:val="de-DE"/>
        </w:rPr>
      </w:pPr>
    </w:p>
    <w:p>
      <w:pPr>
        <w:spacing w:before="120" w:beforeLines="50" w:line="240" w:lineRule="auto"/>
        <w:jc w:val="left"/>
        <w:rPr>
          <w:sz w:val="20"/>
          <w:szCs w:val="18"/>
          <w:lang w:val="en-US"/>
        </w:rPr>
      </w:pPr>
    </w:p>
    <w:p>
      <w:pPr>
        <w:pStyle w:val="2"/>
        <w:numPr>
          <w:ilvl w:val="0"/>
          <w:numId w:val="3"/>
        </w:numPr>
        <w:tabs>
          <w:tab w:val="left" w:pos="720"/>
        </w:tabs>
        <w:jc w:val="left"/>
        <w:rPr>
          <w:rFonts w:ascii="Times New Roman" w:hAnsi="Times New Roman"/>
        </w:rPr>
      </w:pPr>
      <w:r>
        <w:rPr>
          <w:rFonts w:ascii="Times New Roman" w:hAnsi="Times New Roman"/>
        </w:rPr>
        <w:t>Discussion</w:t>
      </w:r>
    </w:p>
    <w:p>
      <w:pPr>
        <w:pStyle w:val="3"/>
        <w:numPr>
          <w:ilvl w:val="0"/>
          <w:numId w:val="5"/>
        </w:numPr>
        <w:jc w:val="left"/>
        <w:rPr>
          <w:lang w:val="en-US"/>
        </w:rPr>
      </w:pPr>
      <w:r>
        <w:rPr>
          <w:lang w:val="en-US"/>
        </w:rPr>
        <w:t>Solutions for UE capability update</w:t>
      </w:r>
    </w:p>
    <w:p>
      <w:pPr>
        <w:jc w:val="left"/>
        <w:rPr>
          <w:sz w:val="20"/>
          <w:szCs w:val="18"/>
        </w:rPr>
      </w:pPr>
      <w:r>
        <w:rPr>
          <w:sz w:val="20"/>
          <w:szCs w:val="18"/>
        </w:rPr>
        <w:t>In RAN2#119bis-e, several options for the signaling of temporary UE capability changes (restrictions and their removal) were discussed. Even though there was no decision for a single solution, the following was agreed:</w:t>
      </w:r>
    </w:p>
    <w:p>
      <w:pPr>
        <w:pStyle w:val="66"/>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pPr>
        <w:jc w:val="left"/>
        <w:rPr>
          <w:sz w:val="20"/>
          <w:szCs w:val="18"/>
        </w:rPr>
      </w:pPr>
    </w:p>
    <w:p>
      <w:pPr>
        <w:jc w:val="left"/>
        <w:rPr>
          <w:sz w:val="20"/>
          <w:szCs w:val="18"/>
        </w:rPr>
      </w:pPr>
      <w:r>
        <w:rPr>
          <w:sz w:val="20"/>
          <w:szCs w:val="18"/>
        </w:rPr>
        <w:t xml:space="preserve">Most of the contributions in RAN2#119bis-e either proposed UAI or were fine with this option as the signaling solution. Therefore, this can be a baseline to build upon. Note that this does not exclude introducing other signaling (e.g. MAC CE) in addition to UAI. </w:t>
      </w:r>
    </w:p>
    <w:p>
      <w:pPr>
        <w:jc w:val="left"/>
        <w:rPr>
          <w:sz w:val="20"/>
          <w:szCs w:val="18"/>
        </w:rPr>
      </w:pPr>
    </w:p>
    <w:p>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3"/>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3"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35"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3"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35"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3"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see comments</w:t>
            </w:r>
          </w:p>
        </w:tc>
        <w:tc>
          <w:tcPr>
            <w:tcW w:w="6435"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For the “UE capability” we understand there are two groups as discussed in Q6/Q7 and Q8. One group is related to SCell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Yes</w:t>
            </w:r>
          </w:p>
        </w:tc>
        <w:tc>
          <w:tcPr>
            <w:tcW w:w="6435"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jc w:val="left"/>
      </w:pPr>
    </w:p>
    <w:p>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pPr>
        <w:pStyle w:val="66"/>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pPr>
        <w:jc w:val="left"/>
        <w:rPr>
          <w:sz w:val="20"/>
          <w:szCs w:val="18"/>
        </w:rPr>
      </w:pPr>
    </w:p>
    <w:p>
      <w:pPr>
        <w:jc w:val="left"/>
        <w:rPr>
          <w:sz w:val="20"/>
          <w:szCs w:val="18"/>
        </w:rPr>
      </w:pPr>
      <w:r>
        <w:rPr>
          <w:sz w:val="20"/>
          <w:szCs w:val="18"/>
        </w:rPr>
        <w:t xml:space="preserve">One difference between legacy UAI and dual-active MUSIM is that the conditions for the signaling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pPr>
        <w:jc w:val="left"/>
        <w:rPr>
          <w:sz w:val="20"/>
          <w:szCs w:val="18"/>
        </w:rPr>
      </w:pPr>
      <w:r>
        <w:rPr>
          <w:sz w:val="20"/>
          <w:szCs w:val="18"/>
        </w:rPr>
        <w:t>In Rel-17 MUSIM, it was agreed that it is up to the UE implementation which NW to select for signaling of paging collision avoidance and the following was captured in 38.300:</w:t>
      </w:r>
    </w:p>
    <w:p>
      <w:pPr>
        <w:pStyle w:val="71"/>
        <w:rPr>
          <w:lang w:eastAsia="zh-CN"/>
        </w:rPr>
      </w:pPr>
      <w:r>
        <w:rPr>
          <w:lang w:eastAsia="zh-CN"/>
        </w:rPr>
        <w:t>NOTE:</w:t>
      </w:r>
      <w:r>
        <w:rPr>
          <w:lang w:eastAsia="zh-CN"/>
        </w:rPr>
        <w:tab/>
      </w:r>
      <w:r>
        <w:t>It is left to UE implementation as to how it selects one of the two RATs/networks for paging collision avoidance.</w:t>
      </w:r>
    </w:p>
    <w:p>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pPr>
        <w:jc w:val="left"/>
        <w:rPr>
          <w:b/>
          <w:bCs/>
          <w:sz w:val="20"/>
          <w:szCs w:val="18"/>
          <w:lang w:val="en-US"/>
        </w:rPr>
      </w:pPr>
      <w:r>
        <w:rPr>
          <w:b/>
          <w:bCs/>
          <w:sz w:val="20"/>
          <w:szCs w:val="18"/>
        </w:rPr>
        <w:t>Question A2: Similar to Rel-17 MUSIM outcome, can we agree that it is up to the UE implementation which network(s) to select for the signaling of UE capability changes for dual-active MUSIM?</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color w:val="FF0000"/>
                <w:sz w:val="20"/>
                <w:szCs w:val="18"/>
              </w:rPr>
              <w:t xml:space="preserve"> </w:t>
            </w:r>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r>
              <w:rPr>
                <w:rFonts w:hint="eastAsia"/>
                <w:sz w:val="20"/>
                <w:szCs w:val="18"/>
              </w:rPr>
              <w:t>featureset</w:t>
            </w:r>
            <w:r>
              <w:rPr>
                <w:sz w:val="20"/>
                <w:szCs w:val="18"/>
              </w:rPr>
              <w:t xml:space="preserve"> with respect to different carriers and bandcombinations</w:t>
            </w:r>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Partially 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We understand the intention, but would like to make it more clear as below if it’s to capture as an agreement:</w:t>
            </w:r>
          </w:p>
          <w:p>
            <w:pPr>
              <w:pStyle w:val="101"/>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pPr>
              <w:pStyle w:val="101"/>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pStyle w:val="101"/>
              <w:numPr>
                <w:numId w:val="0"/>
              </w:numPr>
              <w:spacing w:after="180"/>
              <w:jc w:val="left"/>
              <w:rPr>
                <w:rFonts w:hint="default" w:eastAsia="宋体"/>
                <w:sz w:val="20"/>
                <w:szCs w:val="18"/>
                <w:lang w:val="en-US" w:eastAsia="zh-CN"/>
              </w:rPr>
            </w:pPr>
            <w:r>
              <w:rPr>
                <w:rFonts w:hint="eastAsia"/>
                <w:sz w:val="20"/>
                <w:szCs w:val="18"/>
                <w:lang w:val="en-US" w:eastAsia="zh-CN"/>
              </w:rPr>
              <w:t>Agree with Rapporteurs</w:t>
            </w:r>
            <w:r>
              <w:rPr>
                <w:rFonts w:hint="default"/>
                <w:sz w:val="20"/>
                <w:szCs w:val="18"/>
                <w:lang w:val="en-US" w:eastAsia="zh-CN"/>
              </w:rPr>
              <w:t>’</w:t>
            </w:r>
            <w:r>
              <w:rPr>
                <w:rFonts w:hint="eastAsia"/>
                <w:sz w:val="20"/>
                <w:szCs w:val="18"/>
                <w:lang w:val="en-US" w:eastAsia="zh-CN"/>
              </w:rPr>
              <w:t xml:space="preserve"> view  </w:t>
            </w: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jc w:val="left"/>
        <w:rPr>
          <w:sz w:val="20"/>
          <w:szCs w:val="18"/>
        </w:rPr>
      </w:pPr>
    </w:p>
    <w:p>
      <w:pPr>
        <w:jc w:val="left"/>
        <w:rPr>
          <w:sz w:val="20"/>
          <w:szCs w:val="18"/>
        </w:rPr>
      </w:pPr>
      <w:r>
        <w:rPr>
          <w:sz w:val="20"/>
          <w:szCs w:val="18"/>
        </w:rPr>
        <w:t xml:space="preserve">RAN2 has agreed that the UE can initiate the signaling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behavior on NW A. </w:t>
      </w:r>
    </w:p>
    <w:p>
      <w:pPr>
        <w:jc w:val="left"/>
        <w:rPr>
          <w:sz w:val="20"/>
          <w:szCs w:val="18"/>
        </w:rPr>
      </w:pPr>
      <w:r>
        <w:rPr>
          <w:sz w:val="20"/>
          <w:szCs w:val="18"/>
        </w:rPr>
        <w:t>As a first step, we can establish that “NW allows it” will be done via RRC signaling. Whether only dedicated signaling (as in legacy UAI) is sufficient or not can be discussed later.</w:t>
      </w:r>
    </w:p>
    <w:p>
      <w:pPr>
        <w:jc w:val="left"/>
        <w:rPr>
          <w:b/>
          <w:bCs/>
          <w:sz w:val="20"/>
          <w:szCs w:val="18"/>
          <w:lang w:val="en-US"/>
        </w:rPr>
      </w:pPr>
      <w:r>
        <w:rPr>
          <w:b/>
          <w:bCs/>
          <w:sz w:val="20"/>
          <w:szCs w:val="18"/>
        </w:rPr>
        <w:t>Question A3: Can we confirm that the UE will be informed via RRC signaling whether the “NW allows” the reporting of UE capability change for dual-active MUSIM ?</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w:t>
            </w:r>
            <w:r>
              <w:rPr>
                <w:rFonts w:hint="eastAsia"/>
                <w:sz w:val="20"/>
                <w:szCs w:val="18"/>
              </w:rPr>
              <w:t>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NW can configure the UE with RRC Reconfiguration message if the UE is allowed to update its capabilities temporarily.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jc w:val="left"/>
        <w:rPr>
          <w:sz w:val="20"/>
          <w:szCs w:val="18"/>
        </w:rPr>
      </w:pPr>
    </w:p>
    <w:p>
      <w:pPr>
        <w:jc w:val="left"/>
        <w:rPr>
          <w:sz w:val="20"/>
          <w:szCs w:val="18"/>
        </w:rPr>
      </w:pPr>
      <w:r>
        <w:rPr>
          <w:sz w:val="20"/>
          <w:szCs w:val="18"/>
        </w:rPr>
        <w:t>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pPr>
        <w:jc w:val="left"/>
        <w:rPr>
          <w:b/>
          <w:bCs/>
          <w:sz w:val="20"/>
          <w:szCs w:val="18"/>
          <w:lang w:val="en-US"/>
        </w:rPr>
      </w:pPr>
      <w:r>
        <w:rPr>
          <w:b/>
          <w:bCs/>
          <w:sz w:val="20"/>
          <w:szCs w:val="18"/>
        </w:rPr>
        <w:t>Question A4: Should there be a prohibit timer for the signaling of UE capability changes? If there is, should the value “0” be allowed?</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No strong view</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We think that the UE will not report the capability change frequently, and it is very difficult for the gNB to configure a proper value without impacting the UE performance (e.g. a longer prohibit timer could impact the UE capability change procedure and cause more packet loss).</w:t>
            </w:r>
          </w:p>
          <w:p>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w:t>
            </w:r>
            <w:r>
              <w:rPr>
                <w:rFonts w:hint="eastAsia"/>
                <w:sz w:val="20"/>
                <w:szCs w:val="18"/>
              </w:rPr>
              <w:t>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R</w:t>
            </w:r>
            <w:r>
              <w:rPr>
                <w:rFonts w:hint="eastAsia"/>
                <w:sz w:val="20"/>
                <w:szCs w:val="18"/>
              </w:rPr>
              <w:t>el</w:t>
            </w:r>
            <w:r>
              <w:rPr>
                <w:sz w:val="20"/>
                <w:szCs w:val="18"/>
              </w:rPr>
              <w:t xml:space="preserve">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 xml:space="preserve">No </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Agree with rapporteur’s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We prefer to follow the Principal of Rel 17. Without the prohibit timer, the UE may send the UAI repeatedly especially for the no response case.</w:t>
            </w: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jc w:val="left"/>
        <w:rPr>
          <w:sz w:val="20"/>
          <w:szCs w:val="18"/>
        </w:rPr>
      </w:pPr>
    </w:p>
    <w:p>
      <w:pPr>
        <w:pStyle w:val="68"/>
        <w:ind w:left="0" w:firstLine="0"/>
        <w:rPr>
          <w:rFonts w:eastAsia="宋体"/>
          <w:szCs w:val="24"/>
          <w:lang w:val="en-US" w:eastAsia="en-GB"/>
        </w:rPr>
      </w:pPr>
      <w:r>
        <w:rPr>
          <w:rFonts w:eastAsia="宋体"/>
          <w:szCs w:val="24"/>
          <w:lang w:val="en-US" w:eastAsia="en-GB"/>
        </w:rPr>
        <w:t>In RAN2#119bis-e, what can be reported in the UE capability change was discussed. However, there was no agreement on the actual parameters but only the following:</w:t>
      </w:r>
    </w:p>
    <w:p>
      <w:pPr>
        <w:pStyle w:val="66"/>
        <w:numPr>
          <w:ilvl w:val="0"/>
          <w:numId w:val="6"/>
        </w:numPr>
      </w:pPr>
      <w:r>
        <w:t>RAN2 needs to discuss which UE capabilities can be impacted by sharing of resources between the MUSIM links.</w:t>
      </w:r>
    </w:p>
    <w:p>
      <w:pPr>
        <w:pStyle w:val="66"/>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r>
        <w:rPr>
          <w:i/>
        </w:rPr>
        <w:t xml:space="preserve">srs-TxSwitch, </w:t>
      </w:r>
      <w:r>
        <w:rPr>
          <w:iCs/>
        </w:rPr>
        <w:t xml:space="preserve">UL tx power, Power Class. </w:t>
      </w:r>
    </w:p>
    <w:p>
      <w:pPr>
        <w:pStyle w:val="53"/>
      </w:pPr>
    </w:p>
    <w:p>
      <w:pPr>
        <w:pStyle w:val="68"/>
        <w:ind w:left="0" w:firstLine="0"/>
        <w:rPr>
          <w:rFonts w:eastAsia="宋体"/>
          <w:szCs w:val="24"/>
          <w:lang w:val="en-US" w:eastAsia="en-GB"/>
        </w:rPr>
      </w:pPr>
      <w:r>
        <w:rPr>
          <w:rFonts w:eastAsia="宋体"/>
          <w:szCs w:val="24"/>
          <w:lang w:val="en-US" w:eastAsia="en-GB"/>
        </w:rPr>
        <w:t>Before discussing invidiual parameters, a baseline can be established on the nature of the parameters. Since the expected response to the UE capability update is RRC re-configuration or L1/L2 signaling, it is natural that the UE should only send changes or requests which can be configured by the gNB. In other words, a change in UE capability due to MUSIM operation should only incur a new configuration at the UE.</w:t>
      </w:r>
    </w:p>
    <w:p>
      <w:pPr>
        <w:jc w:val="left"/>
        <w:rPr>
          <w:b/>
          <w:bCs/>
          <w:sz w:val="20"/>
          <w:szCs w:val="18"/>
          <w:lang w:val="en-US"/>
        </w:rPr>
      </w:pPr>
      <w:r>
        <w:rPr>
          <w:b/>
          <w:bCs/>
          <w:sz w:val="20"/>
          <w:szCs w:val="18"/>
        </w:rPr>
        <w:t>Question A5: Can we agree that the UE reporting should only include capabilities or parameters which can be controlled by L1/L2 or RRC signaling</w:t>
      </w:r>
      <w:r>
        <w:rPr>
          <w:b/>
          <w:bCs/>
          <w:sz w:val="20"/>
          <w:szCs w:val="18"/>
          <w:lang w:val="en-US"/>
        </w:rPr>
        <w:t>?</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w:t>
            </w:r>
            <w:r>
              <w:rPr>
                <w:rFonts w:hint="eastAsia"/>
                <w:sz w:val="20"/>
                <w:szCs w:val="18"/>
              </w:rPr>
              <w:t>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rFonts w:hint="eastAsia"/>
                <w:sz w:val="20"/>
                <w:szCs w:val="18"/>
              </w:rPr>
              <w:t>Y</w:t>
            </w:r>
            <w:r>
              <w:rPr>
                <w:sz w:val="20"/>
                <w:szCs w:val="18"/>
              </w:rPr>
              <w:t>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jc w:val="left"/>
        <w:rPr>
          <w:b/>
          <w:bCs/>
          <w:sz w:val="20"/>
          <w:szCs w:val="18"/>
        </w:rPr>
      </w:pPr>
    </w:p>
    <w:p>
      <w:pPr>
        <w:pStyle w:val="68"/>
        <w:ind w:left="0" w:firstLine="0"/>
        <w:rPr>
          <w:bCs/>
          <w:lang w:val="en-US"/>
        </w:rPr>
      </w:pPr>
      <w:r>
        <w:rPr>
          <w:rFonts w:eastAsia="宋体"/>
          <w:szCs w:val="24"/>
          <w:lang w:val="en-US" w:eastAsia="en-GB"/>
        </w:rPr>
        <w:t xml:space="preserve">The WID already points out to some examples for the UE capability change as “e.g. </w:t>
      </w:r>
      <w:r>
        <w:rPr>
          <w:bCs/>
          <w:lang w:val="en-US"/>
        </w:rPr>
        <w:t>release of cells, (de)activation of configured resources”.</w:t>
      </w:r>
    </w:p>
    <w:p>
      <w:pPr>
        <w:pStyle w:val="68"/>
        <w:ind w:left="0" w:firstLine="0"/>
        <w:rPr>
          <w:rFonts w:eastAsia="宋体"/>
          <w:szCs w:val="24"/>
          <w:lang w:val="en-US" w:eastAsia="en-GB"/>
        </w:rPr>
      </w:pPr>
      <w:r>
        <w:rPr>
          <w:bCs/>
          <w:lang w:val="en-US"/>
        </w:rPr>
        <w:t>In RAN2#119bis-e, there was wide support to include release and/or de-activiation of SCells as well as SCG This seems quite basic and we can make another attempt to agree.</w:t>
      </w:r>
    </w:p>
    <w:p>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SCells and SCG?</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We think that this could be useful since releasing SCell or SCG in SIM-A could provide extra RF chain for SIM-B, which SIM-B requires extra RF chain for data transmission/reception.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temperory</w:t>
            </w:r>
            <w:r>
              <w:rPr>
                <w:sz w:val="20"/>
                <w:szCs w:val="18"/>
              </w:rPr>
              <w:t xml:space="preserve"> </w:t>
            </w:r>
            <w:r>
              <w:rPr>
                <w:rFonts w:hint="eastAsia"/>
                <w:sz w:val="20"/>
                <w:szCs w:val="18"/>
              </w:rPr>
              <w:t>restricted</w:t>
            </w:r>
            <w:r>
              <w:rPr>
                <w:sz w:val="20"/>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No</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We prefer “deactivation of SCells/SCG” to “release of SCells/SCG” as explained below.</w:t>
            </w:r>
          </w:p>
          <w:p>
            <w:pPr>
              <w:pStyle w:val="15"/>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pPr>
              <w:pStyle w:val="15"/>
              <w:rPr>
                <w:sz w:val="20"/>
              </w:rPr>
            </w:pPr>
            <w:r>
              <w:rPr>
                <w:sz w:val="20"/>
              </w:rPr>
              <w:t>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requrest to release another SCell for example in band B. This will increase not only the signalling overhead but also the workload of both the UE and the NW.</w:t>
            </w:r>
          </w:p>
          <w:p>
            <w:pPr>
              <w:pStyle w:val="15"/>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SCell release request/release interaction would happen if “SCell release” is used. So we think the UE initiated request on a specific SCell should based on the configured CA combination being unchanged i.e., the UE-initiated request should be for a SCell deactivation instead of SCell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Yes(Same view as China Telecom)</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pStyle w:val="15"/>
              <w:rPr>
                <w:rFonts w:hint="default"/>
                <w:sz w:val="20"/>
                <w:szCs w:val="18"/>
                <w:lang w:val="en-US" w:eastAsia="zh-CN"/>
              </w:rPr>
            </w:pPr>
            <w:r>
              <w:rPr>
                <w:rFonts w:hint="eastAsia"/>
                <w:sz w:val="20"/>
                <w:lang w:val="en-US" w:eastAsia="zh-CN"/>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eastAsia="zh-CN"/>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lang w:eastAsia="zh-CN"/>
              </w:rPr>
              <w:t>temporary</w:t>
            </w:r>
            <w:r>
              <w:rPr>
                <w:sz w:val="20"/>
                <w:szCs w:val="18"/>
              </w:rPr>
              <w:t xml:space="preserve"> </w:t>
            </w:r>
            <w:r>
              <w:rPr>
                <w:rFonts w:hint="eastAsia"/>
                <w:sz w:val="20"/>
                <w:szCs w:val="18"/>
              </w:rPr>
              <w:t>restricted</w:t>
            </w:r>
            <w:r>
              <w:rPr>
                <w:sz w:val="20"/>
                <w:szCs w:val="18"/>
              </w:rPr>
              <w:t xml:space="preserve">. </w:t>
            </w: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p>
    <w:p>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SCells and SCG?</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No</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The deactivation request for SCell seems not very useful, because the UE in most cases would be still required to perform measurements (e.g. CSI) on the deactivated SCell, which will not free the occupied UE capability in a SCell in SIM-A.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r>
              <w:rPr>
                <w:rFonts w:hint="eastAsia"/>
                <w:sz w:val="20"/>
                <w:szCs w:val="18"/>
              </w:rPr>
              <w:t>wheter</w:t>
            </w:r>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r>
              <w:rPr>
                <w:rFonts w:hint="eastAsia"/>
                <w:sz w:val="20"/>
                <w:szCs w:val="18"/>
              </w:rPr>
              <w:t>can</w:t>
            </w:r>
            <w:r>
              <w:rPr>
                <w:sz w:val="20"/>
                <w:szCs w:val="18"/>
              </w:rPr>
              <w:t xml:space="preserve"> </w:t>
            </w:r>
            <w:r>
              <w:rPr>
                <w:rFonts w:hint="eastAsia"/>
                <w:sz w:val="20"/>
                <w:szCs w:val="18"/>
              </w:rPr>
              <w:t>not</w:t>
            </w:r>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Please see our detailed explanation in previous comment.</w:t>
            </w:r>
          </w:p>
          <w:p>
            <w:pPr>
              <w:spacing w:after="180"/>
              <w:jc w:val="left"/>
              <w:rPr>
                <w:sz w:val="20"/>
                <w:szCs w:val="18"/>
              </w:rPr>
            </w:pPr>
            <w:r>
              <w:rPr>
                <w:sz w:val="20"/>
                <w:szCs w:val="18"/>
              </w:rPr>
              <w:t>To Xiaomi’s comment “the UE in most cases would be still required to perform measurements (e.g. CSI) on the deactivated SCell”: It’s not a problem that UE cannot perform measurement in some cases on the deactivated SCell when the bottleneck is the RF resources. In MUSIM Scenario, the NW is not expected to activate the SCell depending on the measurement report before the capability restriction on SCell is removed and the UE itself decides whether the SCell can be re-activated depending on the activity in NW B. Besides, we understand this has no RAN4 spec impact as there is no need of new RRM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No</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eastAsia"/>
                <w:sz w:val="20"/>
                <w:szCs w:val="18"/>
                <w:lang w:val="en-US" w:eastAsia="zh-CN"/>
              </w:rPr>
            </w:pPr>
            <w:r>
              <w:rPr>
                <w:rFonts w:hint="eastAsia"/>
                <w:sz w:val="20"/>
                <w:szCs w:val="18"/>
                <w:lang w:val="en-US" w:eastAsia="zh-CN"/>
              </w:rPr>
              <w:t>We think Scell/ SCG release is enough.</w:t>
            </w:r>
          </w:p>
          <w:p>
            <w:pPr>
              <w:spacing w:after="180"/>
              <w:jc w:val="left"/>
              <w:rPr>
                <w:rFonts w:hint="eastAsia"/>
                <w:sz w:val="20"/>
                <w:szCs w:val="18"/>
                <w:lang w:val="en-US" w:eastAsia="zh-CN"/>
              </w:rPr>
            </w:pPr>
            <w:r>
              <w:rPr>
                <w:rFonts w:hint="eastAsia"/>
                <w:sz w:val="20"/>
                <w:szCs w:val="18"/>
                <w:lang w:val="en-US" w:eastAsia="zh-CN"/>
              </w:rPr>
              <w:t xml:space="preserve">According to our understanding, most of the UE capabilities are defined (and also clarified in several meetings) from the </w:t>
            </w:r>
            <w:r>
              <w:rPr>
                <w:rFonts w:hint="default"/>
                <w:sz w:val="20"/>
                <w:szCs w:val="18"/>
                <w:lang w:val="en-US" w:eastAsia="zh-CN"/>
              </w:rPr>
              <w:t>“</w:t>
            </w:r>
            <w:r>
              <w:rPr>
                <w:rFonts w:hint="eastAsia"/>
                <w:sz w:val="20"/>
                <w:szCs w:val="18"/>
                <w:lang w:val="en-US" w:eastAsia="zh-CN"/>
              </w:rPr>
              <w:t>configuration</w:t>
            </w:r>
            <w:r>
              <w:rPr>
                <w:rFonts w:hint="default"/>
                <w:sz w:val="20"/>
                <w:szCs w:val="18"/>
                <w:lang w:val="en-US" w:eastAsia="zh-CN"/>
              </w:rPr>
              <w:t>”</w:t>
            </w:r>
            <w:r>
              <w:rPr>
                <w:rFonts w:hint="eastAsia"/>
                <w:sz w:val="20"/>
                <w:szCs w:val="18"/>
                <w:lang w:val="en-US" w:eastAsia="zh-CN"/>
              </w:rPr>
              <w:t xml:space="preserve"> perspective instead of the </w:t>
            </w:r>
            <w:r>
              <w:rPr>
                <w:rFonts w:hint="default"/>
                <w:sz w:val="20"/>
                <w:szCs w:val="18"/>
                <w:lang w:val="en-US" w:eastAsia="zh-CN"/>
              </w:rPr>
              <w:t>“</w:t>
            </w:r>
            <w:r>
              <w:rPr>
                <w:rFonts w:hint="eastAsia"/>
                <w:sz w:val="20"/>
                <w:szCs w:val="18"/>
                <w:lang w:val="en-US" w:eastAsia="zh-CN"/>
              </w:rPr>
              <w:t>active</w:t>
            </w:r>
            <w:r>
              <w:rPr>
                <w:rFonts w:hint="default"/>
                <w:sz w:val="20"/>
                <w:szCs w:val="18"/>
                <w:lang w:val="en-US" w:eastAsia="zh-CN"/>
              </w:rPr>
              <w:t>”</w:t>
            </w:r>
            <w:r>
              <w:rPr>
                <w:rFonts w:hint="eastAsia"/>
                <w:sz w:val="20"/>
                <w:szCs w:val="18"/>
                <w:lang w:val="en-US" w:eastAsia="zh-CN"/>
              </w:rPr>
              <w:t xml:space="preserve"> aspect. So we doubt that the </w:t>
            </w:r>
            <w:r>
              <w:rPr>
                <w:rFonts w:hint="default"/>
                <w:sz w:val="20"/>
                <w:szCs w:val="18"/>
                <w:lang w:val="en-US" w:eastAsia="zh-CN"/>
              </w:rPr>
              <w:t>“</w:t>
            </w:r>
            <w:r>
              <w:rPr>
                <w:rFonts w:hint="eastAsia"/>
                <w:sz w:val="20"/>
                <w:szCs w:val="18"/>
                <w:lang w:val="en-US" w:eastAsia="zh-CN"/>
              </w:rPr>
              <w:t>deactivate scell/SCG</w:t>
            </w:r>
            <w:r>
              <w:rPr>
                <w:rFonts w:hint="default"/>
                <w:sz w:val="20"/>
                <w:szCs w:val="18"/>
                <w:lang w:val="en-US" w:eastAsia="zh-CN"/>
              </w:rPr>
              <w:t>”</w:t>
            </w:r>
            <w:r>
              <w:rPr>
                <w:rFonts w:hint="eastAsia"/>
                <w:sz w:val="20"/>
                <w:szCs w:val="18"/>
                <w:lang w:val="en-US" w:eastAsia="zh-CN"/>
              </w:rPr>
              <w:t xml:space="preserve"> can really work.</w:t>
            </w:r>
          </w:p>
          <w:p>
            <w:pPr>
              <w:spacing w:after="180"/>
              <w:jc w:val="left"/>
              <w:rPr>
                <w:rFonts w:hint="default"/>
                <w:sz w:val="20"/>
                <w:szCs w:val="18"/>
                <w:lang w:val="en-US" w:eastAsia="zh-CN"/>
              </w:rPr>
            </w:pPr>
            <w:r>
              <w:rPr>
                <w:rFonts w:hint="eastAsia"/>
                <w:sz w:val="20"/>
                <w:szCs w:val="18"/>
                <w:lang w:val="en-US" w:eastAsia="zh-CN"/>
              </w:rPr>
              <w:t>Furthermore, we think some cases may need release/Deactive SCG, meanwhile reduce the capability at MN side, thus there would be some combinations of temporary capability restriction on the MN and SCG/Scell release/Deactivate at the SN, which would complicate the discussion of this WID.</w:t>
            </w:r>
          </w:p>
          <w:p>
            <w:pPr>
              <w:spacing w:after="180"/>
              <w:jc w:val="left"/>
              <w:rPr>
                <w:rFonts w:hint="default"/>
                <w:sz w:val="20"/>
                <w:szCs w:val="18"/>
                <w:lang w:val="en-US" w:eastAsia="zh-CN"/>
              </w:rPr>
            </w:pPr>
            <w:r>
              <w:rPr>
                <w:rFonts w:hint="eastAsia"/>
                <w:sz w:val="20"/>
                <w:szCs w:val="18"/>
                <w:lang w:val="en-US" w:eastAsia="zh-CN"/>
              </w:rPr>
              <w:t>To simplify the discussion, we tend to only support Scell/ SCG release (and better in the implicit way).</w:t>
            </w: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pPr>
        <w:pStyle w:val="101"/>
        <w:numPr>
          <w:ilvl w:val="0"/>
          <w:numId w:val="8"/>
        </w:numPr>
        <w:overflowPunct/>
        <w:autoSpaceDE/>
        <w:autoSpaceDN/>
        <w:adjustRightInd/>
        <w:spacing w:after="0" w:line="240" w:lineRule="auto"/>
        <w:jc w:val="left"/>
        <w:textAlignment w:val="auto"/>
        <w:rPr>
          <w:bCs/>
          <w:sz w:val="20"/>
          <w:szCs w:val="18"/>
        </w:rPr>
      </w:pPr>
      <w:r>
        <w:rPr>
          <w:bCs/>
          <w:sz w:val="20"/>
          <w:szCs w:val="18"/>
        </w:rPr>
        <w:t>Transmission and reception capabilties (e.g. MIMO layers)</w:t>
      </w:r>
    </w:p>
    <w:p>
      <w:pPr>
        <w:pStyle w:val="101"/>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pPr>
        <w:pStyle w:val="101"/>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pPr>
        <w:pStyle w:val="101"/>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pPr>
        <w:overflowPunct/>
        <w:autoSpaceDE/>
        <w:autoSpaceDN/>
        <w:adjustRightInd/>
        <w:spacing w:after="0" w:line="240" w:lineRule="auto"/>
        <w:jc w:val="left"/>
        <w:textAlignment w:val="auto"/>
        <w:rPr>
          <w:b/>
          <w:sz w:val="20"/>
          <w:szCs w:val="18"/>
        </w:rPr>
      </w:pPr>
    </w:p>
    <w:p>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p>
        </w:tc>
        <w:tc>
          <w:tcPr>
            <w:tcW w:w="642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p>
          <w:p>
            <w:pPr>
              <w:pStyle w:val="101"/>
              <w:numPr>
                <w:ilvl w:val="0"/>
                <w:numId w:val="9"/>
              </w:numPr>
              <w:overflowPunct/>
              <w:autoSpaceDE/>
              <w:autoSpaceDN/>
              <w:adjustRightInd/>
              <w:spacing w:after="0" w:line="240" w:lineRule="auto"/>
              <w:jc w:val="left"/>
              <w:textAlignment w:val="auto"/>
              <w:rPr>
                <w:bCs/>
                <w:sz w:val="20"/>
                <w:szCs w:val="18"/>
              </w:rPr>
            </w:pPr>
            <w:r>
              <w:rPr>
                <w:bCs/>
                <w:sz w:val="20"/>
                <w:szCs w:val="18"/>
              </w:rPr>
              <w:t>Transmission and reception capabilties (e.g. MIMO layers)</w:t>
            </w:r>
          </w:p>
          <w:p>
            <w:pPr>
              <w:pStyle w:val="101"/>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pPr>
              <w:pStyle w:val="101"/>
              <w:numPr>
                <w:ilvl w:val="0"/>
                <w:numId w:val="9"/>
              </w:numPr>
              <w:overflowPunct/>
              <w:autoSpaceDE/>
              <w:autoSpaceDN/>
              <w:adjustRightInd/>
              <w:spacing w:after="0" w:line="240" w:lineRule="auto"/>
              <w:jc w:val="left"/>
              <w:textAlignment w:val="auto"/>
              <w:rPr>
                <w:bCs/>
                <w:sz w:val="20"/>
                <w:szCs w:val="18"/>
              </w:rPr>
            </w:pPr>
            <w:r>
              <w:rPr>
                <w:bCs/>
                <w:sz w:val="20"/>
                <w:szCs w:val="18"/>
              </w:rPr>
              <w:t>T</w:t>
            </w:r>
            <w:r>
              <w:rPr>
                <w:rFonts w:hint="eastAsia"/>
                <w:bCs/>
                <w:sz w:val="20"/>
                <w:szCs w:val="18"/>
              </w:rPr>
              <w:t>emperory</w:t>
            </w:r>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pPr>
              <w:pStyle w:val="101"/>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pPr>
              <w:overflowPunct/>
              <w:autoSpaceDE/>
              <w:autoSpaceDN/>
              <w:adjustRightInd/>
              <w:spacing w:after="0" w:line="240" w:lineRule="auto"/>
              <w:jc w:val="left"/>
              <w:textAlignment w:val="auto"/>
              <w:rPr>
                <w:bCs/>
                <w:sz w:val="20"/>
                <w:szCs w:val="18"/>
              </w:rPr>
            </w:pPr>
          </w:p>
          <w:p>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Partially 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18"/>
                <w:szCs w:val="18"/>
              </w:rPr>
            </w:pPr>
            <w:r>
              <w:rPr>
                <w:sz w:val="18"/>
                <w:szCs w:val="18"/>
              </w:rPr>
              <w:t xml:space="preserve">We agree with MIMO layers </w:t>
            </w:r>
          </w:p>
          <w:p>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tiated SCell deactivation/activation method is the most efficient way forward as explained in A6. The UE should not be required to update all of the band combinations in NW A dynamically according to the configuration of NW B as this brings high complexity for the UE.</w:t>
            </w:r>
          </w:p>
          <w:p>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line="240" w:lineRule="auto"/>
              <w:jc w:val="left"/>
              <w:textAlignment w:val="auto"/>
              <w:rPr>
                <w:rFonts w:hint="default" w:eastAsia="宋体"/>
                <w:sz w:val="18"/>
                <w:lang w:val="en-US" w:eastAsia="zh-CN"/>
              </w:rPr>
            </w:pPr>
            <w:bookmarkStart w:id="1" w:name="_GoBack"/>
            <w:bookmarkEnd w:id="1"/>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sz w:val="20"/>
          <w:szCs w:val="16"/>
          <w:lang w:val="en-US"/>
        </w:rPr>
      </w:pPr>
      <w:r>
        <w:rPr>
          <w:b/>
          <w:sz w:val="20"/>
          <w:szCs w:val="18"/>
        </w:rPr>
        <w:t>Proposal:</w:t>
      </w:r>
    </w:p>
    <w:p>
      <w:pPr>
        <w:pBdr>
          <w:bottom w:val="single" w:color="auto" w:sz="6" w:space="1"/>
        </w:pBdr>
        <w:jc w:val="left"/>
        <w:rPr>
          <w:b/>
        </w:rPr>
      </w:pPr>
    </w:p>
    <w:p>
      <w:pPr>
        <w:pBdr>
          <w:bottom w:val="single" w:color="auto" w:sz="6" w:space="1"/>
        </w:pBdr>
        <w:jc w:val="left"/>
        <w:rPr>
          <w:b/>
        </w:rPr>
      </w:pPr>
    </w:p>
    <w:p>
      <w:pPr>
        <w:pStyle w:val="3"/>
        <w:jc w:val="left"/>
        <w:rPr>
          <w:rFonts w:ascii="Times New Roman" w:hAnsi="Times New Roman"/>
          <w:sz w:val="20"/>
          <w:szCs w:val="20"/>
        </w:rPr>
      </w:pPr>
      <w:r>
        <w:rPr>
          <w:lang w:val="en-US"/>
        </w:rPr>
        <w:t>B – RAN3 impact</w:t>
      </w:r>
    </w:p>
    <w:p>
      <w:pPr>
        <w:jc w:val="left"/>
        <w:rPr>
          <w:sz w:val="20"/>
        </w:rPr>
      </w:pPr>
      <w:r>
        <w:rPr>
          <w:sz w:val="20"/>
        </w:rPr>
        <w:t>In RAN2#119bis meeting, the below agreements were made: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pPr>
              <w:pStyle w:val="66"/>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pPr>
              <w:pStyle w:val="66"/>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CX: RAN2 to continue evaluation of any Xn-AP, F1-AP or RAN4 impact due to dual-active MUSIM operation.</w:t>
            </w:r>
          </w:p>
        </w:tc>
      </w:tr>
    </w:tbl>
    <w:p>
      <w:pPr>
        <w:jc w:val="left"/>
        <w:rPr>
          <w:sz w:val="20"/>
        </w:rPr>
      </w:pPr>
      <w:r>
        <w:rPr>
          <w:sz w:val="20"/>
        </w:rPr>
        <w:t xml:space="preserve">Therefore, there is no NG-AP impact, and RAN2 can continue studying the potential Xn-AP, F1-AP and RAN4 impact for Rel-18 dual-active MUSIM operation. </w:t>
      </w:r>
    </w:p>
    <w:p>
      <w:pPr>
        <w:jc w:val="left"/>
        <w:rPr>
          <w:b/>
          <w:bCs/>
          <w:sz w:val="20"/>
          <w:szCs w:val="18"/>
          <w:lang w:val="en-US"/>
        </w:rPr>
      </w:pPr>
      <w:r>
        <w:rPr>
          <w:b/>
          <w:bCs/>
          <w:sz w:val="20"/>
          <w:szCs w:val="18"/>
        </w:rPr>
        <w:t>Question B1: Do you agree that there is no NG-AP impact due to changes in UE capability for dual-active MUSIM operation?</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w:t>
            </w:r>
            <w:r>
              <w:rPr>
                <w:rFonts w:hint="eastAsia"/>
                <w:sz w:val="20"/>
                <w:szCs w:val="18"/>
              </w:rPr>
              <w:t>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line="240" w:lineRule="auto"/>
              <w:jc w:val="left"/>
              <w:textAlignment w:val="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jc w:val="left"/>
        <w:rPr>
          <w:sz w:val="20"/>
        </w:rPr>
      </w:pPr>
    </w:p>
    <w:p>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pPr>
              <w:pStyle w:val="66"/>
              <w:numPr>
                <w:ilvl w:val="0"/>
                <w:numId w:val="6"/>
              </w:numPr>
              <w:tabs>
                <w:tab w:val="clear" w:pos="720"/>
              </w:tabs>
              <w:rPr>
                <w:rFonts w:ascii="Times New Roman" w:hAnsi="Times New Roman" w:cs="Times New Roman"/>
              </w:rPr>
            </w:pPr>
            <w:r>
              <w:rPr>
                <w:rFonts w:ascii="Times New Roman" w:hAnsi="Times New Roman" w:cs="Times New Roman"/>
              </w:rPr>
              <w:t>For B1-B3, B5, the solution details need more discussion. May prioritize B1, B2 and B5. FFS on signalling details. Other solutions are not precluded (requires company input with details) and none of B1-B5 are agreed as solutions for this WI.</w:t>
            </w:r>
          </w:p>
          <w:p>
            <w:pPr>
              <w:pStyle w:val="66"/>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pPr>
              <w:pStyle w:val="66"/>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pPr>
              <w:pStyle w:val="66"/>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pPr>
              <w:pStyle w:val="66"/>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pPr>
              <w:pStyle w:val="66"/>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pPr>
              <w:pStyle w:val="66"/>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pPr>
              <w:pStyle w:val="66"/>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pPr>
              <w:pStyle w:val="66"/>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pPr>
              <w:pStyle w:val="66"/>
              <w:numPr>
                <w:ilvl w:val="0"/>
                <w:numId w:val="0"/>
              </w:numPr>
              <w:ind w:left="1619"/>
              <w:rPr>
                <w:rFonts w:ascii="Times New Roman" w:hAnsi="Times New Roman" w:cs="Times New Roman"/>
                <w:bCs w:val="0"/>
                <w:iCs/>
              </w:rPr>
            </w:pPr>
          </w:p>
          <w:p>
            <w:pPr>
              <w:pStyle w:val="66"/>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pPr>
              <w:pStyle w:val="66"/>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pPr>
              <w:pStyle w:val="66"/>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pPr>
              <w:pStyle w:val="66"/>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pPr>
              <w:pStyle w:val="66"/>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pPr>
              <w:pStyle w:val="66"/>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pPr>
              <w:pStyle w:val="66"/>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pPr>
              <w:pStyle w:val="66"/>
              <w:numPr>
                <w:ilvl w:val="0"/>
                <w:numId w:val="0"/>
              </w:numPr>
              <w:ind w:left="1619" w:hanging="360"/>
              <w:rPr>
                <w:rFonts w:ascii="Times New Roman" w:hAnsi="Times New Roman" w:cs="Times New Roman"/>
                <w:bCs w:val="0"/>
                <w:iCs/>
              </w:rPr>
            </w:pPr>
          </w:p>
          <w:p>
            <w:pPr>
              <w:pStyle w:val="66"/>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pPr>
              <w:pStyle w:val="66"/>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pPr>
              <w:pStyle w:val="66"/>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pPr>
              <w:pStyle w:val="66"/>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pPr>
              <w:pStyle w:val="66"/>
              <w:numPr>
                <w:ilvl w:val="0"/>
                <w:numId w:val="0"/>
              </w:numPr>
              <w:ind w:left="1619"/>
              <w:rPr>
                <w:rFonts w:ascii="Times New Roman" w:hAnsi="Times New Roman" w:cs="Times New Roman"/>
                <w:iCs/>
              </w:rPr>
            </w:pPr>
            <w:r>
              <w:rPr>
                <w:rFonts w:ascii="Times New Roman" w:hAnsi="Times New Roman" w:cs="Times New Roman"/>
                <w:iCs/>
              </w:rPr>
              <w:t>The UE requests a UE capabilty update request.</w:t>
            </w:r>
          </w:p>
          <w:p>
            <w:pPr>
              <w:pStyle w:val="66"/>
              <w:numPr>
                <w:ilvl w:val="0"/>
                <w:numId w:val="0"/>
              </w:numPr>
              <w:ind w:left="1619"/>
              <w:rPr>
                <w:rFonts w:ascii="Times New Roman" w:hAnsi="Times New Roman" w:cs="Times New Roman"/>
                <w:iCs/>
              </w:rPr>
            </w:pPr>
            <w:r>
              <w:rPr>
                <w:rFonts w:ascii="Times New Roman" w:hAnsi="Times New Roman" w:cs="Times New Roman"/>
                <w:iCs/>
              </w:rPr>
              <w:t xml:space="preserve">NW A sends </w:t>
            </w:r>
            <w:r>
              <w:rPr>
                <w:rFonts w:ascii="Times New Roman" w:hAnsi="Times New Roman" w:cs="Times New Roman"/>
                <w:i/>
              </w:rPr>
              <w:t>UECapabilityEnquiry</w:t>
            </w:r>
            <w:r>
              <w:rPr>
                <w:rFonts w:ascii="Times New Roman" w:hAnsi="Times New Roman" w:cs="Times New Roman"/>
                <w:iCs/>
              </w:rPr>
              <w:t xml:space="preserve"> to the UE</w:t>
            </w:r>
          </w:p>
          <w:p>
            <w:pPr>
              <w:pStyle w:val="66"/>
              <w:numPr>
                <w:ilvl w:val="0"/>
                <w:numId w:val="0"/>
              </w:numPr>
              <w:ind w:left="1619"/>
              <w:rPr>
                <w:rFonts w:ascii="Times New Roman" w:hAnsi="Times New Roman" w:cs="Times New Roman"/>
                <w:iCs/>
              </w:rPr>
            </w:pPr>
            <w:r>
              <w:rPr>
                <w:rFonts w:ascii="Times New Roman" w:hAnsi="Times New Roman" w:cs="Times New Roman"/>
                <w:iCs/>
              </w:rPr>
              <w:t xml:space="preserve">UE sends </w:t>
            </w:r>
            <w:r>
              <w:rPr>
                <w:rFonts w:ascii="Times New Roman" w:hAnsi="Times New Roman" w:cs="Times New Roman"/>
                <w:i/>
              </w:rPr>
              <w:t>UECapabilityInformation</w:t>
            </w:r>
            <w:r>
              <w:rPr>
                <w:rFonts w:ascii="Times New Roman" w:hAnsi="Times New Roman" w:cs="Times New Roman"/>
                <w:iCs/>
              </w:rPr>
              <w:t xml:space="preserve"> to the NW A gNB.</w:t>
            </w:r>
          </w:p>
          <w:p>
            <w:pPr>
              <w:pStyle w:val="66"/>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pPr>
              <w:pStyle w:val="66"/>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pPr>
              <w:pStyle w:val="66"/>
              <w:numPr>
                <w:ilvl w:val="0"/>
                <w:numId w:val="0"/>
              </w:numPr>
              <w:ind w:left="1619"/>
              <w:rPr>
                <w:rFonts w:ascii="Times New Roman" w:hAnsi="Times New Roman" w:cs="Times New Roman"/>
                <w:bCs w:val="0"/>
                <w:iCs/>
              </w:rPr>
            </w:pPr>
          </w:p>
          <w:p>
            <w:pPr>
              <w:pStyle w:val="66"/>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pPr>
              <w:pStyle w:val="66"/>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pPr>
              <w:pStyle w:val="66"/>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pPr>
              <w:pStyle w:val="66"/>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pPr>
              <w:pStyle w:val="66"/>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pPr>
              <w:pStyle w:val="66"/>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pPr>
              <w:pStyle w:val="66"/>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pPr>
              <w:pStyle w:val="66"/>
              <w:numPr>
                <w:ilvl w:val="0"/>
                <w:numId w:val="0"/>
              </w:numPr>
              <w:ind w:left="1619"/>
              <w:rPr>
                <w:rFonts w:ascii="Times New Roman" w:hAnsi="Times New Roman" w:cs="Times New Roman"/>
              </w:rPr>
            </w:pPr>
          </w:p>
          <w:p>
            <w:pPr>
              <w:pStyle w:val="66"/>
              <w:numPr>
                <w:ilvl w:val="0"/>
                <w:numId w:val="0"/>
              </w:numPr>
              <w:ind w:left="1619"/>
              <w:rPr>
                <w:rFonts w:ascii="Times New Roman" w:hAnsi="Times New Roman" w:cs="Times New Roman"/>
              </w:rPr>
            </w:pPr>
            <w:r>
              <w:rPr>
                <w:rFonts w:ascii="Times New Roman" w:hAnsi="Times New Roman" w:cs="Times New Roman"/>
              </w:rPr>
              <w:t>B5 (11/15): A baseline procedure for MAC-CE based SCell (de)-activation can be considered as follows:</w:t>
            </w:r>
          </w:p>
          <w:p>
            <w:pPr>
              <w:pStyle w:val="66"/>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pPr>
              <w:pStyle w:val="66"/>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SCell (de)-activation operation. </w:t>
            </w:r>
          </w:p>
          <w:p>
            <w:pPr>
              <w:pStyle w:val="66"/>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pPr>
              <w:pStyle w:val="66"/>
              <w:numPr>
                <w:ilvl w:val="0"/>
                <w:numId w:val="0"/>
              </w:numPr>
              <w:ind w:left="1619"/>
              <w:rPr>
                <w:rFonts w:ascii="Times New Roman" w:hAnsi="Times New Roman" w:cs="Times New Roman"/>
                <w:iCs/>
              </w:rPr>
            </w:pPr>
            <w:r>
              <w:rPr>
                <w:rFonts w:ascii="Times New Roman" w:hAnsi="Times New Roman" w:cs="Times New Roman"/>
                <w:iCs/>
              </w:rPr>
              <w:t>The UE sends a request to deactivate SCells via MAC-CE.</w:t>
            </w:r>
          </w:p>
          <w:p>
            <w:pPr>
              <w:pStyle w:val="66"/>
              <w:numPr>
                <w:ilvl w:val="0"/>
                <w:numId w:val="0"/>
              </w:numPr>
              <w:ind w:left="1619"/>
              <w:rPr>
                <w:rFonts w:ascii="Times New Roman" w:hAnsi="Times New Roman" w:cs="Times New Roman"/>
                <w:iCs/>
              </w:rPr>
            </w:pPr>
            <w:r>
              <w:rPr>
                <w:rFonts w:ascii="Times New Roman" w:hAnsi="Times New Roman" w:cs="Times New Roman"/>
                <w:iCs/>
              </w:rPr>
              <w:t>NW A deactivates, if needed, the requested SCells (FFS if NW response is mandatory).</w:t>
            </w:r>
          </w:p>
          <w:p>
            <w:pPr>
              <w:pStyle w:val="66"/>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pPr>
        <w:jc w:val="left"/>
        <w:rPr>
          <w:sz w:val="20"/>
        </w:rPr>
      </w:pPr>
    </w:p>
    <w:p>
      <w:pPr>
        <w:jc w:val="left"/>
        <w:rPr>
          <w:sz w:val="20"/>
        </w:rPr>
      </w:pPr>
      <w:r>
        <w:rPr>
          <w:sz w:val="20"/>
        </w:rPr>
        <w:t>Solutions B1, B2, B3</w:t>
      </w:r>
    </w:p>
    <w:p>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pPr>
        <w:jc w:val="left"/>
        <w:rPr>
          <w:sz w:val="20"/>
        </w:rPr>
      </w:pPr>
    </w:p>
    <w:p>
      <w:pPr>
        <w:jc w:val="left"/>
        <w:rPr>
          <w:b/>
          <w:bCs/>
          <w:sz w:val="20"/>
          <w:u w:val="single"/>
        </w:rPr>
      </w:pPr>
      <w:r>
        <w:rPr>
          <w:b/>
          <w:bCs/>
          <w:sz w:val="20"/>
          <w:u w:val="single"/>
        </w:rPr>
        <w:t xml:space="preserve">Handover/RRC Resume/RRC Re-establishment: </w:t>
      </w:r>
    </w:p>
    <w:p>
      <w:pPr>
        <w:jc w:val="left"/>
        <w:rPr>
          <w:b/>
          <w:sz w:val="20"/>
        </w:rPr>
      </w:pPr>
      <w:r>
        <w:rPr>
          <w:sz w:val="20"/>
        </w:rPr>
        <w:t xml:space="preserve">Currently, HandoverPreparationInformation inter-node message supports transferring UE </w:t>
      </w:r>
      <w:r>
        <w:rPr>
          <w:rFonts w:eastAsia="Times New Roman"/>
          <w:sz w:val="20"/>
          <w:lang w:eastAsia="ja-JP"/>
        </w:rPr>
        <w:t xml:space="preserve">capability information </w:t>
      </w:r>
      <w:r>
        <w:rPr>
          <w:sz w:val="20"/>
        </w:rPr>
        <w:t xml:space="preserve">(via ue-CapabilityRAT-List) and the last UAI reported by the UE (via ueAssistanceInformation) from source gNB to target gNB during HO, resume or re-establishment, and also from CU to DU. And if a new UL RRC message is introduced for delta UE capability reporting, this can be also included in HandoverPreparationInformation message. </w:t>
      </w:r>
      <w:r>
        <w:rPr>
          <w:b/>
          <w:sz w:val="20"/>
        </w:rPr>
        <w:t xml:space="preserve">So, there is no XnAP and F1AP impact for transferring temporary capability restriction information during handover, RRC resume, and RRC re-establishment. </w:t>
      </w:r>
    </w:p>
    <w:p>
      <w:pPr>
        <w:tabs>
          <w:tab w:val="left" w:pos="1152"/>
        </w:tabs>
        <w:jc w:val="left"/>
        <w:rPr>
          <w:b/>
          <w:sz w:val="20"/>
        </w:rPr>
      </w:pPr>
    </w:p>
    <w:p>
      <w:pPr>
        <w:jc w:val="left"/>
        <w:rPr>
          <w:b/>
          <w:bCs/>
          <w:sz w:val="20"/>
          <w:szCs w:val="18"/>
          <w:lang w:val="en-US"/>
        </w:rPr>
      </w:pPr>
      <w:r>
        <w:rPr>
          <w:b/>
          <w:bCs/>
          <w:sz w:val="20"/>
          <w:szCs w:val="18"/>
        </w:rPr>
        <w:t>Question B2: Do you agree that there is no Xn-AP and F1-AP impact for the above B1, B2, B3 options?</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w:t>
            </w:r>
            <w:r>
              <w:rPr>
                <w:rFonts w:hint="eastAsia"/>
                <w:sz w:val="20"/>
                <w:szCs w:val="18"/>
              </w:rPr>
              <w:t>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line="240" w:lineRule="auto"/>
              <w:jc w:val="left"/>
              <w:textAlignment w:val="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tabs>
          <w:tab w:val="left" w:pos="1152"/>
        </w:tabs>
        <w:jc w:val="left"/>
        <w:rPr>
          <w:b/>
          <w:sz w:val="20"/>
        </w:rPr>
      </w:pPr>
    </w:p>
    <w:p>
      <w:pPr>
        <w:tabs>
          <w:tab w:val="left" w:pos="1152"/>
        </w:tabs>
        <w:jc w:val="left"/>
        <w:rPr>
          <w:b/>
          <w:sz w:val="20"/>
        </w:rPr>
      </w:pPr>
    </w:p>
    <w:p>
      <w:pPr>
        <w:jc w:val="left"/>
        <w:rPr>
          <w:b/>
          <w:bCs/>
          <w:sz w:val="20"/>
          <w:u w:val="single"/>
        </w:rPr>
      </w:pPr>
      <w:r>
        <w:rPr>
          <w:b/>
          <w:bCs/>
          <w:sz w:val="20"/>
          <w:u w:val="single"/>
        </w:rPr>
        <w:t>MN-SN coordination:</w:t>
      </w:r>
    </w:p>
    <w:p>
      <w:pPr>
        <w:jc w:val="left"/>
        <w:rPr>
          <w:sz w:val="20"/>
        </w:rPr>
      </w:pPr>
      <w:r>
        <w:rPr>
          <w:sz w:val="20"/>
        </w:rPr>
        <w:t>For NR-DC, RAN2 has made the below agreements：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0456" w:type="dxa"/>
          </w:tcPr>
          <w:p>
            <w:pPr>
              <w:pStyle w:val="66"/>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pPr>
        <w:tabs>
          <w:tab w:val="left" w:pos="1152"/>
        </w:tabs>
        <w:jc w:val="left"/>
        <w:rPr>
          <w:sz w:val="20"/>
        </w:rPr>
      </w:pPr>
    </w:p>
    <w:p>
      <w:pPr>
        <w:tabs>
          <w:tab w:val="left" w:pos="1152"/>
        </w:tabs>
        <w:jc w:val="left"/>
        <w:rPr>
          <w:sz w:val="20"/>
        </w:rPr>
      </w:pPr>
      <w:r>
        <w:rPr>
          <w:sz w:val="20"/>
        </w:rPr>
        <w:t>And the below options were discussed in RAN2#119bis AT meeting email discussion for DC capability restriction:</w:t>
      </w:r>
    </w:p>
    <w:p>
      <w:pPr>
        <w:pStyle w:val="101"/>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pPr>
        <w:pStyle w:val="101"/>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pPr>
        <w:pStyle w:val="101"/>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pPr>
        <w:tabs>
          <w:tab w:val="left" w:pos="1152"/>
        </w:tabs>
        <w:jc w:val="left"/>
        <w:rPr>
          <w:sz w:val="20"/>
        </w:rPr>
      </w:pPr>
    </w:p>
    <w:p>
      <w:pPr>
        <w:tabs>
          <w:tab w:val="left" w:pos="1152"/>
        </w:tabs>
        <w:jc w:val="left"/>
        <w:rPr>
          <w:b/>
          <w:bCs/>
          <w:sz w:val="20"/>
          <w:u w:val="single"/>
        </w:rPr>
      </w:pPr>
      <w:r>
        <w:rPr>
          <w:b/>
          <w:bCs/>
          <w:sz w:val="20"/>
          <w:u w:val="single"/>
        </w:rPr>
        <w:t>Option 1</w:t>
      </w:r>
    </w:p>
    <w:p>
      <w:pPr>
        <w:tabs>
          <w:tab w:val="left" w:pos="1152"/>
        </w:tabs>
        <w:jc w:val="left"/>
        <w:rPr>
          <w:sz w:val="20"/>
        </w:rPr>
      </w:pPr>
      <w:r>
        <w:rPr>
          <w:sz w:val="20"/>
        </w:rPr>
        <w:t xml:space="preserve">For option 1, when receiving the DC capability restriction information from the UE, the MN can notify it to the SN via the ue-CapabilityInfo field in CG-ConfigInfo inter-node message. Then the SN can decide to deactivate or release the SCG based on its local strategy. And the SN, if supports CU-DU split, the CG-ConfigInfo including the DC capability restriction information can be further transferred from the CU to the DU. </w:t>
      </w:r>
      <w:r>
        <w:rPr>
          <w:b/>
          <w:sz w:val="20"/>
        </w:rPr>
        <w:t xml:space="preserve">So, there is no XnAP and F1AP impact for transferring DC capability restriction information neither between MN and SN nor CU and DU.  </w:t>
      </w:r>
    </w:p>
    <w:p>
      <w:pPr>
        <w:tabs>
          <w:tab w:val="left" w:pos="1152"/>
        </w:tabs>
        <w:jc w:val="left"/>
        <w:rPr>
          <w:sz w:val="20"/>
        </w:rPr>
      </w:pPr>
    </w:p>
    <w:p>
      <w:pPr>
        <w:jc w:val="left"/>
        <w:rPr>
          <w:b/>
          <w:bCs/>
          <w:sz w:val="20"/>
          <w:szCs w:val="18"/>
          <w:lang w:val="en-US"/>
        </w:rPr>
      </w:pPr>
      <w:r>
        <w:rPr>
          <w:b/>
          <w:bCs/>
          <w:sz w:val="20"/>
          <w:szCs w:val="18"/>
        </w:rPr>
        <w:t>Question B3: Do you agree that there is no Xn-AP and F1-AP impact if DC operation is disabled via UE capability update?</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w:t>
            </w:r>
            <w:r>
              <w:rPr>
                <w:rFonts w:hint="eastAsia"/>
                <w:sz w:val="20"/>
                <w:szCs w:val="18"/>
              </w:rPr>
              <w:t>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line="240" w:lineRule="auto"/>
              <w:jc w:val="left"/>
              <w:textAlignment w:val="auto"/>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tabs>
          <w:tab w:val="left" w:pos="1152"/>
        </w:tabs>
        <w:jc w:val="left"/>
        <w:rPr>
          <w:sz w:val="20"/>
        </w:rPr>
      </w:pPr>
    </w:p>
    <w:p>
      <w:pPr>
        <w:tabs>
          <w:tab w:val="left" w:pos="1152"/>
        </w:tabs>
        <w:jc w:val="left"/>
        <w:rPr>
          <w:b/>
          <w:bCs/>
          <w:sz w:val="20"/>
          <w:u w:val="single"/>
        </w:rPr>
      </w:pPr>
      <w:r>
        <w:rPr>
          <w:b/>
          <w:bCs/>
          <w:sz w:val="20"/>
          <w:u w:val="single"/>
        </w:rPr>
        <w:t>Option 2</w:t>
      </w:r>
    </w:p>
    <w:p>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jc w:val="left"/>
              <w:rPr>
                <w:sz w:val="20"/>
              </w:rPr>
            </w:pPr>
            <w:r>
              <w:rPr>
                <w:sz w:val="20"/>
              </w:rPr>
              <w:t xml:space="preserve">TS 37.340: </w:t>
            </w:r>
          </w:p>
          <w:p>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pPr>
        <w:tabs>
          <w:tab w:val="left" w:pos="1152"/>
        </w:tabs>
        <w:jc w:val="left"/>
        <w:rPr>
          <w:sz w:val="20"/>
        </w:rPr>
      </w:pPr>
    </w:p>
    <w:p>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Style w:val="27"/>
        <w:tblW w:w="8242" w:type="dxa"/>
        <w:tblInd w:w="42" w:type="dxa"/>
        <w:tblLayout w:type="fixed"/>
        <w:tblCellMar>
          <w:top w:w="0" w:type="dxa"/>
          <w:left w:w="42" w:type="dxa"/>
          <w:bottom w:w="0" w:type="dxa"/>
          <w:right w:w="42" w:type="dxa"/>
        </w:tblCellMar>
      </w:tblPr>
      <w:tblGrid>
        <w:gridCol w:w="2303"/>
        <w:gridCol w:w="5939"/>
      </w:tblGrid>
      <w:tr>
        <w:tblPrEx>
          <w:tblCellMar>
            <w:top w:w="0" w:type="dxa"/>
            <w:left w:w="42" w:type="dxa"/>
            <w:bottom w:w="0" w:type="dxa"/>
            <w:right w:w="42" w:type="dxa"/>
          </w:tblCellMar>
        </w:tblPrEx>
        <w:trPr>
          <w:trHeight w:val="4202" w:hRule="atLeast"/>
        </w:trPr>
        <w:tc>
          <w:tcPr>
            <w:tcW w:w="2303" w:type="dxa"/>
            <w:tcBorders>
              <w:top w:val="single" w:color="auto" w:sz="4" w:space="0"/>
              <w:left w:val="single" w:color="auto" w:sz="4" w:space="0"/>
            </w:tcBorders>
            <w:shd w:val="clear" w:color="auto" w:fill="auto"/>
          </w:tcPr>
          <w:p>
            <w:pPr>
              <w:pStyle w:val="87"/>
              <w:tabs>
                <w:tab w:val="right" w:pos="2184"/>
              </w:tabs>
              <w:spacing w:after="0"/>
              <w:ind w:left="882" w:hanging="442"/>
              <w:rPr>
                <w:rFonts w:ascii="Times New Roman" w:hAnsi="Times New Roman"/>
                <w:b/>
                <w:lang w:val="en-US" w:eastAsia="zh-CN"/>
              </w:rPr>
            </w:pPr>
            <w:r>
              <w:rPr>
                <w:rFonts w:ascii="Times New Roman" w:hAnsi="Times New Roman"/>
                <w:b/>
                <w:lang w:val="en-US" w:eastAsia="zh-CN"/>
              </w:rPr>
              <w:t>Reason for change:</w:t>
            </w:r>
          </w:p>
        </w:tc>
        <w:tc>
          <w:tcPr>
            <w:tcW w:w="5939" w:type="dxa"/>
            <w:tcBorders>
              <w:top w:val="single" w:color="auto" w:sz="4" w:space="0"/>
              <w:right w:val="single" w:color="auto" w:sz="4" w:space="0"/>
            </w:tcBorders>
            <w:shd w:val="pct30" w:color="FFFF00" w:fill="auto"/>
          </w:tcPr>
          <w:p>
            <w:pPr>
              <w:pStyle w:val="87"/>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pPr>
              <w:pStyle w:val="87"/>
              <w:spacing w:after="0"/>
              <w:ind w:left="880" w:hanging="440"/>
              <w:rPr>
                <w:rFonts w:ascii="Times New Roman" w:hAnsi="Times New Roman"/>
                <w:lang w:val="en-US" w:eastAsia="zh-CN"/>
              </w:rPr>
            </w:pPr>
            <w:r>
              <w:rPr>
                <w:rFonts w:ascii="Times New Roman" w:hAnsi="Times New Roman"/>
                <w:lang w:val="en-US" w:eastAsia="zh-CN"/>
              </w:rPr>
              <w:t>Since the power saving prodedure is triggered by UE, introducing UAI to RRC container as UE report IE achieving SN release procedure would be much reasonable. Furthermore, reusing the existing IE would have little impact on specifications.</w:t>
            </w:r>
          </w:p>
          <w:p>
            <w:pPr>
              <w:pStyle w:val="87"/>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pPr>
        <w:tabs>
          <w:tab w:val="left" w:pos="1152"/>
        </w:tabs>
        <w:jc w:val="left"/>
        <w:rPr>
          <w:sz w:val="20"/>
        </w:rPr>
      </w:pPr>
    </w:p>
    <w:p>
      <w:pPr>
        <w:jc w:val="left"/>
        <w:rPr>
          <w:b/>
          <w:bCs/>
          <w:sz w:val="20"/>
          <w:szCs w:val="18"/>
          <w:lang w:val="en-US"/>
        </w:rPr>
      </w:pPr>
      <w:r>
        <w:rPr>
          <w:b/>
          <w:bCs/>
          <w:sz w:val="20"/>
          <w:szCs w:val="18"/>
        </w:rPr>
        <w:t>Question B4: Do you agree that a new cause value on Xn-AP is useful when SN initiated SN release procedure is used upon UE sending SCG release request to the SN?</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No strong view</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This could be left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w:t>
            </w:r>
            <w:r>
              <w:rPr>
                <w:rFonts w:hint="eastAsia"/>
                <w:sz w:val="20"/>
                <w:szCs w:val="18"/>
              </w:rPr>
              <w:t>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See comments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For the option 2, we have two choices from the signalling point of view:</w:t>
            </w:r>
          </w:p>
          <w:p>
            <w:pPr>
              <w:pStyle w:val="101"/>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pPr>
              <w:pStyle w:val="101"/>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sz w:val="20"/>
                <w:szCs w:val="18"/>
                <w:lang w:val="en-US" w:eastAsia="zh-CN"/>
              </w:rPr>
            </w:pPr>
            <w:r>
              <w:rPr>
                <w:rFonts w:hint="eastAsia"/>
                <w:sz w:val="20"/>
                <w:szCs w:val="18"/>
                <w:lang w:val="en-US" w:eastAsia="zh-CN"/>
              </w:rPr>
              <w:t>See comments</w:t>
            </w:r>
          </w:p>
          <w:p>
            <w:pPr>
              <w:jc w:val="left"/>
              <w:rPr>
                <w:rFonts w:hint="default"/>
                <w:sz w:val="20"/>
                <w:szCs w:val="18"/>
                <w:lang w:val="en-US" w:eastAsia="zh-CN"/>
              </w:rPr>
            </w:pPr>
            <w:r>
              <w:rPr>
                <w:rFonts w:hint="eastAsia"/>
                <w:sz w:val="20"/>
                <w:szCs w:val="18"/>
                <w:lang w:val="en-US" w:eastAsia="zh-CN"/>
              </w:rPr>
              <w:t>(Similar view to Huawei)</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highlight w:val="yellow"/>
                <w:lang w:val="en-US" w:eastAsia="zh-CN"/>
              </w:rPr>
            </w:pPr>
            <w:r>
              <w:rPr>
                <w:rFonts w:hint="eastAsia"/>
                <w:sz w:val="20"/>
                <w:szCs w:val="18"/>
                <w:lang w:val="en-US" w:eastAsia="zh-CN"/>
              </w:rPr>
              <w:t xml:space="preserve">For the Power saving, the MN and SN can request the UE to report the UAI for the Power saving separately, the </w:t>
            </w:r>
            <w:r>
              <w:rPr>
                <w:sz w:val="20"/>
              </w:rPr>
              <w:t>UE transmits SCG specific UE assistance information for power s</w:t>
            </w:r>
            <w:r>
              <w:rPr>
                <w:rFonts w:hint="eastAsia" w:ascii="Times New Roman" w:hAnsi="Times New Roman" w:eastAsia="宋体" w:cs="Times New Roman"/>
                <w:sz w:val="20"/>
                <w:szCs w:val="18"/>
                <w:lang w:val="en-US" w:eastAsia="zh-CN"/>
              </w:rPr>
              <w:t>aving in a transparent container to the MN and thus the SN release was triggered by the MN</w:t>
            </w:r>
          </w:p>
          <w:p>
            <w:pPr>
              <w:spacing w:after="180"/>
              <w:jc w:val="left"/>
              <w:rPr>
                <w:rFonts w:hint="default" w:eastAsia="宋体"/>
                <w:sz w:val="20"/>
                <w:highlight w:val="yellow"/>
                <w:lang w:val="en-US" w:eastAsia="zh-CN"/>
              </w:rPr>
            </w:pPr>
            <w:r>
              <w:rPr>
                <w:rFonts w:hint="eastAsia" w:ascii="Times New Roman" w:hAnsi="Times New Roman" w:eastAsia="宋体" w:cs="Times New Roman"/>
                <w:sz w:val="20"/>
                <w:szCs w:val="18"/>
                <w:lang w:val="en-US" w:eastAsia="zh-CN"/>
              </w:rPr>
              <w:t>For the MUSIM, we think both the configuration and determination shall be determined by the MN and not sure whether the SN configured reporting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tabs>
          <w:tab w:val="left" w:pos="1152"/>
        </w:tabs>
        <w:jc w:val="left"/>
        <w:rPr>
          <w:sz w:val="20"/>
        </w:rPr>
      </w:pPr>
    </w:p>
    <w:p>
      <w:pPr>
        <w:tabs>
          <w:tab w:val="left" w:pos="1152"/>
        </w:tabs>
        <w:jc w:val="left"/>
        <w:rPr>
          <w:sz w:val="20"/>
        </w:rPr>
      </w:pPr>
    </w:p>
    <w:p>
      <w:pPr>
        <w:tabs>
          <w:tab w:val="left" w:pos="1152"/>
        </w:tabs>
        <w:jc w:val="left"/>
        <w:rPr>
          <w:b/>
          <w:bCs/>
          <w:sz w:val="20"/>
          <w:u w:val="single"/>
        </w:rPr>
      </w:pPr>
      <w:r>
        <w:rPr>
          <w:b/>
          <w:bCs/>
          <w:sz w:val="20"/>
          <w:u w:val="single"/>
        </w:rPr>
        <w:t>Option 3</w:t>
      </w:r>
    </w:p>
    <w:p>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XnAP. Similar IE was also introduced in F1AP specification. </w:t>
      </w:r>
    </w:p>
    <w:p>
      <w:pPr>
        <w:tabs>
          <w:tab w:val="left" w:pos="1152"/>
        </w:tabs>
        <w:jc w:val="left"/>
        <w:rPr>
          <w:sz w:val="20"/>
        </w:rPr>
      </w:pPr>
    </w:p>
    <w:p>
      <w:pPr>
        <w:jc w:val="left"/>
        <w:rPr>
          <w:b/>
          <w:sz w:val="20"/>
          <w:lang w:eastAsia="ja-JP"/>
        </w:rPr>
      </w:pPr>
      <w:r>
        <w:rPr>
          <w:b/>
          <w:sz w:val="20"/>
          <w:lang w:eastAsia="ja-JP"/>
        </w:rPr>
        <w:t>9.2.3.154</w:t>
      </w:r>
      <w:r>
        <w:rPr>
          <w:b/>
          <w:sz w:val="20"/>
          <w:lang w:eastAsia="ja-JP"/>
        </w:rPr>
        <w:tab/>
      </w:r>
      <w:r>
        <w:rPr>
          <w:b/>
          <w:sz w:val="20"/>
          <w:lang w:eastAsia="ja-JP"/>
        </w:rPr>
        <w:t>SCG Activation Request</w:t>
      </w:r>
    </w:p>
    <w:p>
      <w:pPr>
        <w:jc w:val="left"/>
        <w:rPr>
          <w:sz w:val="20"/>
        </w:rPr>
      </w:pPr>
      <w:r>
        <w:rPr>
          <w:sz w:val="20"/>
        </w:rPr>
        <w:t>This IE indicates whether the SCG resources are required to be activated or deactivated.</w:t>
      </w:r>
    </w:p>
    <w:tbl>
      <w:tblPr>
        <w:tblStyle w:val="27"/>
        <w:tblW w:w="80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951"/>
        <w:gridCol w:w="906"/>
        <w:gridCol w:w="2186"/>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902" w:type="dxa"/>
          </w:tcPr>
          <w:p>
            <w:pPr>
              <w:pStyle w:val="104"/>
              <w:jc w:val="left"/>
              <w:rPr>
                <w:rFonts w:ascii="Times New Roman" w:hAnsi="Times New Roman"/>
                <w:sz w:val="20"/>
              </w:rPr>
            </w:pPr>
            <w:r>
              <w:rPr>
                <w:rFonts w:ascii="Times New Roman" w:hAnsi="Times New Roman"/>
                <w:sz w:val="20"/>
              </w:rPr>
              <w:t>IE/Group Name</w:t>
            </w:r>
          </w:p>
        </w:tc>
        <w:tc>
          <w:tcPr>
            <w:tcW w:w="951" w:type="dxa"/>
          </w:tcPr>
          <w:p>
            <w:pPr>
              <w:pStyle w:val="104"/>
              <w:jc w:val="left"/>
              <w:rPr>
                <w:rFonts w:ascii="Times New Roman" w:hAnsi="Times New Roman"/>
                <w:sz w:val="20"/>
              </w:rPr>
            </w:pPr>
            <w:r>
              <w:rPr>
                <w:rFonts w:ascii="Times New Roman" w:hAnsi="Times New Roman"/>
                <w:sz w:val="20"/>
              </w:rPr>
              <w:t>Presence</w:t>
            </w:r>
          </w:p>
        </w:tc>
        <w:tc>
          <w:tcPr>
            <w:tcW w:w="906" w:type="dxa"/>
          </w:tcPr>
          <w:p>
            <w:pPr>
              <w:pStyle w:val="104"/>
              <w:jc w:val="left"/>
              <w:rPr>
                <w:rFonts w:ascii="Times New Roman" w:hAnsi="Times New Roman"/>
                <w:sz w:val="20"/>
              </w:rPr>
            </w:pPr>
            <w:r>
              <w:rPr>
                <w:rFonts w:ascii="Times New Roman" w:hAnsi="Times New Roman"/>
                <w:sz w:val="20"/>
              </w:rPr>
              <w:t>Range</w:t>
            </w:r>
          </w:p>
        </w:tc>
        <w:tc>
          <w:tcPr>
            <w:tcW w:w="2186" w:type="dxa"/>
          </w:tcPr>
          <w:p>
            <w:pPr>
              <w:pStyle w:val="104"/>
              <w:jc w:val="left"/>
              <w:rPr>
                <w:rFonts w:ascii="Times New Roman" w:hAnsi="Times New Roman"/>
                <w:sz w:val="20"/>
              </w:rPr>
            </w:pPr>
            <w:r>
              <w:rPr>
                <w:rFonts w:ascii="Times New Roman" w:hAnsi="Times New Roman"/>
                <w:sz w:val="20"/>
              </w:rPr>
              <w:t>IE type and reference</w:t>
            </w:r>
          </w:p>
        </w:tc>
        <w:tc>
          <w:tcPr>
            <w:tcW w:w="2140" w:type="dxa"/>
          </w:tcPr>
          <w:p>
            <w:pPr>
              <w:pStyle w:val="104"/>
              <w:jc w:val="left"/>
              <w:rPr>
                <w:rFonts w:ascii="Times New Roman" w:hAnsi="Times New Roman"/>
                <w:sz w:val="20"/>
              </w:rPr>
            </w:pPr>
            <w:r>
              <w:rPr>
                <w:rFonts w:ascii="Times New Roman" w:hAnsi="Times New Roman"/>
                <w:sz w:val="20"/>
              </w:rP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02" w:type="dxa"/>
          </w:tcPr>
          <w:p>
            <w:pPr>
              <w:pStyle w:val="59"/>
              <w:rPr>
                <w:rFonts w:ascii="Times New Roman" w:hAnsi="Times New Roman"/>
                <w:sz w:val="20"/>
              </w:rPr>
            </w:pPr>
            <w:r>
              <w:rPr>
                <w:rFonts w:ascii="Times New Roman" w:hAnsi="Times New Roman"/>
                <w:sz w:val="20"/>
              </w:rPr>
              <w:t>SCG Activation Request</w:t>
            </w:r>
          </w:p>
        </w:tc>
        <w:tc>
          <w:tcPr>
            <w:tcW w:w="951" w:type="dxa"/>
          </w:tcPr>
          <w:p>
            <w:pPr>
              <w:pStyle w:val="59"/>
              <w:rPr>
                <w:rFonts w:ascii="Times New Roman" w:hAnsi="Times New Roman"/>
                <w:sz w:val="20"/>
              </w:rPr>
            </w:pPr>
            <w:r>
              <w:rPr>
                <w:rFonts w:ascii="Times New Roman" w:hAnsi="Times New Roman"/>
                <w:sz w:val="20"/>
              </w:rPr>
              <w:t>M</w:t>
            </w:r>
          </w:p>
        </w:tc>
        <w:tc>
          <w:tcPr>
            <w:tcW w:w="906" w:type="dxa"/>
          </w:tcPr>
          <w:p>
            <w:pPr>
              <w:pStyle w:val="59"/>
              <w:rPr>
                <w:rFonts w:ascii="Times New Roman" w:hAnsi="Times New Roman"/>
                <w:sz w:val="20"/>
              </w:rPr>
            </w:pPr>
          </w:p>
        </w:tc>
        <w:tc>
          <w:tcPr>
            <w:tcW w:w="2186" w:type="dxa"/>
          </w:tcPr>
          <w:p>
            <w:pPr>
              <w:pStyle w:val="59"/>
              <w:rPr>
                <w:rFonts w:ascii="Times New Roman" w:hAnsi="Times New Roman"/>
                <w:sz w:val="20"/>
              </w:rPr>
            </w:pPr>
            <w:r>
              <w:rPr>
                <w:rFonts w:ascii="Times New Roman" w:hAnsi="Times New Roman"/>
                <w:sz w:val="20"/>
              </w:rPr>
              <w:t>ENUMERATED (Activate SCG, Deactivate SCG, …)</w:t>
            </w:r>
          </w:p>
        </w:tc>
        <w:tc>
          <w:tcPr>
            <w:tcW w:w="2140" w:type="dxa"/>
          </w:tcPr>
          <w:p>
            <w:pPr>
              <w:pStyle w:val="59"/>
              <w:rPr>
                <w:rFonts w:ascii="Times New Roman" w:hAnsi="Times New Roman"/>
                <w:sz w:val="20"/>
              </w:rPr>
            </w:pPr>
          </w:p>
        </w:tc>
      </w:tr>
    </w:tbl>
    <w:p>
      <w:pPr>
        <w:jc w:val="left"/>
        <w:rPr>
          <w:sz w:val="20"/>
        </w:rPr>
      </w:pPr>
    </w:p>
    <w:p>
      <w:pPr>
        <w:jc w:val="left"/>
        <w:rPr>
          <w:b/>
          <w:sz w:val="20"/>
        </w:rPr>
      </w:pPr>
      <w:r>
        <w:rPr>
          <w:b/>
          <w:sz w:val="20"/>
          <w:lang w:eastAsia="ja-JP"/>
        </w:rPr>
        <w:t>9.2.3.155</w:t>
      </w:r>
      <w:r>
        <w:rPr>
          <w:b/>
          <w:sz w:val="20"/>
          <w:lang w:eastAsia="ja-JP"/>
        </w:rPr>
        <w:tab/>
      </w:r>
      <w:r>
        <w:rPr>
          <w:b/>
          <w:sz w:val="20"/>
        </w:rPr>
        <w:t>SCG Activation Status</w:t>
      </w:r>
    </w:p>
    <w:p>
      <w:pPr>
        <w:jc w:val="left"/>
        <w:rPr>
          <w:sz w:val="20"/>
        </w:rPr>
      </w:pPr>
      <w:r>
        <w:rPr>
          <w:sz w:val="20"/>
        </w:rPr>
        <w:t>This IE indicates the status of the SCG resources.</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956"/>
        <w:gridCol w:w="956"/>
        <w:gridCol w:w="1652"/>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355" w:type="dxa"/>
            <w:tcBorders>
              <w:top w:val="single" w:color="auto" w:sz="4" w:space="0"/>
              <w:left w:val="single" w:color="auto" w:sz="4" w:space="0"/>
              <w:bottom w:val="single" w:color="auto" w:sz="4" w:space="0"/>
              <w:right w:val="single" w:color="auto" w:sz="4" w:space="0"/>
            </w:tcBorders>
          </w:tcPr>
          <w:p>
            <w:pPr>
              <w:pStyle w:val="104"/>
              <w:jc w:val="left"/>
              <w:rPr>
                <w:rFonts w:ascii="Times New Roman" w:hAnsi="Times New Roman"/>
                <w:sz w:val="20"/>
              </w:rPr>
            </w:pPr>
            <w:r>
              <w:rPr>
                <w:rFonts w:ascii="Times New Roman" w:hAnsi="Times New Roman"/>
                <w:sz w:val="20"/>
              </w:rPr>
              <w:t>IE/Group Name</w:t>
            </w:r>
          </w:p>
        </w:tc>
        <w:tc>
          <w:tcPr>
            <w:tcW w:w="956" w:type="dxa"/>
            <w:tcBorders>
              <w:top w:val="single" w:color="auto" w:sz="4" w:space="0"/>
              <w:left w:val="single" w:color="auto" w:sz="4" w:space="0"/>
              <w:bottom w:val="single" w:color="auto" w:sz="4" w:space="0"/>
              <w:right w:val="single" w:color="auto" w:sz="4" w:space="0"/>
            </w:tcBorders>
          </w:tcPr>
          <w:p>
            <w:pPr>
              <w:pStyle w:val="104"/>
              <w:jc w:val="left"/>
              <w:rPr>
                <w:rFonts w:ascii="Times New Roman" w:hAnsi="Times New Roman"/>
                <w:sz w:val="20"/>
              </w:rPr>
            </w:pPr>
            <w:r>
              <w:rPr>
                <w:rFonts w:ascii="Times New Roman" w:hAnsi="Times New Roman"/>
                <w:sz w:val="20"/>
              </w:rPr>
              <w:t>Presence</w:t>
            </w:r>
          </w:p>
        </w:tc>
        <w:tc>
          <w:tcPr>
            <w:tcW w:w="956" w:type="dxa"/>
            <w:tcBorders>
              <w:top w:val="single" w:color="auto" w:sz="4" w:space="0"/>
              <w:left w:val="single" w:color="auto" w:sz="4" w:space="0"/>
              <w:bottom w:val="single" w:color="auto" w:sz="4" w:space="0"/>
              <w:right w:val="single" w:color="auto" w:sz="4" w:space="0"/>
            </w:tcBorders>
          </w:tcPr>
          <w:p>
            <w:pPr>
              <w:pStyle w:val="104"/>
              <w:jc w:val="left"/>
              <w:rPr>
                <w:rFonts w:ascii="Times New Roman" w:hAnsi="Times New Roman"/>
                <w:sz w:val="20"/>
              </w:rPr>
            </w:pPr>
            <w:r>
              <w:rPr>
                <w:rFonts w:ascii="Times New Roman" w:hAnsi="Times New Roman"/>
                <w:sz w:val="20"/>
              </w:rPr>
              <w:t>Range</w:t>
            </w:r>
          </w:p>
        </w:tc>
        <w:tc>
          <w:tcPr>
            <w:tcW w:w="1652" w:type="dxa"/>
            <w:tcBorders>
              <w:top w:val="single" w:color="auto" w:sz="4" w:space="0"/>
              <w:left w:val="single" w:color="auto" w:sz="4" w:space="0"/>
              <w:bottom w:val="single" w:color="auto" w:sz="4" w:space="0"/>
              <w:right w:val="single" w:color="auto" w:sz="4" w:space="0"/>
            </w:tcBorders>
          </w:tcPr>
          <w:p>
            <w:pPr>
              <w:pStyle w:val="104"/>
              <w:jc w:val="left"/>
              <w:rPr>
                <w:rFonts w:ascii="Times New Roman" w:hAnsi="Times New Roman"/>
                <w:sz w:val="20"/>
              </w:rPr>
            </w:pPr>
            <w:r>
              <w:rPr>
                <w:rFonts w:ascii="Times New Roman" w:hAnsi="Times New Roman"/>
                <w:sz w:val="20"/>
              </w:rPr>
              <w:t>IE Type and Reference</w:t>
            </w:r>
          </w:p>
        </w:tc>
        <w:tc>
          <w:tcPr>
            <w:tcW w:w="2348" w:type="dxa"/>
            <w:tcBorders>
              <w:top w:val="single" w:color="auto" w:sz="4" w:space="0"/>
              <w:left w:val="single" w:color="auto" w:sz="4" w:space="0"/>
              <w:bottom w:val="single" w:color="auto" w:sz="4" w:space="0"/>
              <w:right w:val="single" w:color="auto" w:sz="4" w:space="0"/>
            </w:tcBorders>
          </w:tcPr>
          <w:p>
            <w:pPr>
              <w:pStyle w:val="104"/>
              <w:jc w:val="left"/>
              <w:rPr>
                <w:rFonts w:ascii="Times New Roman" w:hAnsi="Times New Roman"/>
                <w:sz w:val="20"/>
              </w:rPr>
            </w:pPr>
            <w:r>
              <w:rPr>
                <w:rFonts w:ascii="Times New Roman" w:hAnsi="Times New Roman"/>
                <w:sz w:val="20"/>
              </w:rP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355" w:type="dxa"/>
            <w:tcBorders>
              <w:top w:val="single" w:color="auto" w:sz="4" w:space="0"/>
              <w:left w:val="single" w:color="auto" w:sz="4" w:space="0"/>
              <w:bottom w:val="single" w:color="auto" w:sz="4" w:space="0"/>
              <w:right w:val="single" w:color="auto" w:sz="4" w:space="0"/>
            </w:tcBorders>
          </w:tcPr>
          <w:p>
            <w:pPr>
              <w:pStyle w:val="59"/>
              <w:rPr>
                <w:rFonts w:ascii="Times New Roman" w:hAnsi="Times New Roman"/>
                <w:sz w:val="20"/>
                <w:lang w:eastAsia="zh-CN"/>
              </w:rPr>
            </w:pPr>
            <w:r>
              <w:rPr>
                <w:rFonts w:ascii="Times New Roman" w:hAnsi="Times New Roman"/>
                <w:sz w:val="20"/>
              </w:rPr>
              <w:t>SCG Activation Status</w:t>
            </w:r>
          </w:p>
        </w:tc>
        <w:tc>
          <w:tcPr>
            <w:tcW w:w="956" w:type="dxa"/>
            <w:tcBorders>
              <w:top w:val="single" w:color="auto" w:sz="4" w:space="0"/>
              <w:left w:val="single" w:color="auto" w:sz="4" w:space="0"/>
              <w:bottom w:val="single" w:color="auto" w:sz="4" w:space="0"/>
              <w:right w:val="single" w:color="auto" w:sz="4" w:space="0"/>
            </w:tcBorders>
          </w:tcPr>
          <w:p>
            <w:pPr>
              <w:pStyle w:val="59"/>
              <w:rPr>
                <w:rFonts w:ascii="Times New Roman" w:hAnsi="Times New Roman"/>
                <w:sz w:val="20"/>
              </w:rPr>
            </w:pPr>
            <w:r>
              <w:rPr>
                <w:rFonts w:ascii="Times New Roman" w:hAnsi="Times New Roman"/>
                <w:sz w:val="20"/>
              </w:rPr>
              <w:t>M</w:t>
            </w:r>
          </w:p>
        </w:tc>
        <w:tc>
          <w:tcPr>
            <w:tcW w:w="956" w:type="dxa"/>
            <w:tcBorders>
              <w:top w:val="single" w:color="auto" w:sz="4" w:space="0"/>
              <w:left w:val="single" w:color="auto" w:sz="4" w:space="0"/>
              <w:bottom w:val="single" w:color="auto" w:sz="4" w:space="0"/>
              <w:right w:val="single" w:color="auto" w:sz="4" w:space="0"/>
            </w:tcBorders>
          </w:tcPr>
          <w:p>
            <w:pPr>
              <w:pStyle w:val="59"/>
              <w:rPr>
                <w:rFonts w:ascii="Times New Roman" w:hAnsi="Times New Roman"/>
                <w:sz w:val="20"/>
              </w:rPr>
            </w:pPr>
          </w:p>
        </w:tc>
        <w:tc>
          <w:tcPr>
            <w:tcW w:w="1652" w:type="dxa"/>
            <w:tcBorders>
              <w:top w:val="single" w:color="auto" w:sz="4" w:space="0"/>
              <w:left w:val="single" w:color="auto" w:sz="4" w:space="0"/>
              <w:bottom w:val="single" w:color="auto" w:sz="4" w:space="0"/>
              <w:right w:val="single" w:color="auto" w:sz="4" w:space="0"/>
            </w:tcBorders>
          </w:tcPr>
          <w:p>
            <w:pPr>
              <w:pStyle w:val="59"/>
              <w:rPr>
                <w:rFonts w:ascii="Times New Roman" w:hAnsi="Times New Roman"/>
                <w:sz w:val="20"/>
              </w:rPr>
            </w:pPr>
            <w:r>
              <w:rPr>
                <w:rFonts w:ascii="Times New Roman" w:hAnsi="Times New Roman"/>
                <w:sz w:val="20"/>
              </w:rPr>
              <w:t xml:space="preserve">ENUMERATED (SCG </w:t>
            </w:r>
          </w:p>
          <w:p>
            <w:pPr>
              <w:pStyle w:val="59"/>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color="auto" w:sz="4" w:space="0"/>
              <w:left w:val="single" w:color="auto" w:sz="4" w:space="0"/>
              <w:bottom w:val="single" w:color="auto" w:sz="4" w:space="0"/>
              <w:right w:val="single" w:color="auto" w:sz="4" w:space="0"/>
            </w:tcBorders>
          </w:tcPr>
          <w:p>
            <w:pPr>
              <w:pStyle w:val="59"/>
              <w:rPr>
                <w:rFonts w:ascii="Times New Roman" w:hAnsi="Times New Roman"/>
                <w:i/>
                <w:sz w:val="20"/>
                <w:lang w:eastAsia="zh-CN"/>
              </w:rPr>
            </w:pPr>
          </w:p>
        </w:tc>
      </w:tr>
    </w:tbl>
    <w:p>
      <w:pPr>
        <w:tabs>
          <w:tab w:val="left" w:pos="1152"/>
        </w:tabs>
        <w:jc w:val="left"/>
        <w:rPr>
          <w:sz w:val="20"/>
        </w:rPr>
      </w:pPr>
    </w:p>
    <w:p>
      <w:pPr>
        <w:tabs>
          <w:tab w:val="left" w:pos="1152"/>
        </w:tabs>
        <w:jc w:val="left"/>
        <w:rPr>
          <w:sz w:val="20"/>
        </w:rPr>
      </w:pPr>
      <w:r>
        <w:rPr>
          <w:sz w:val="20"/>
        </w:rPr>
        <w:t xml:space="preserve">And there are two cause value were introduced in RAN3. </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7" w:type="dxa"/>
            <w:tcBorders>
              <w:top w:val="single" w:color="auto" w:sz="4" w:space="0"/>
              <w:left w:val="single" w:color="auto" w:sz="4" w:space="0"/>
              <w:bottom w:val="single" w:color="auto" w:sz="4" w:space="0"/>
              <w:right w:val="single" w:color="auto" w:sz="4" w:space="0"/>
            </w:tcBorders>
          </w:tcPr>
          <w:p>
            <w:pPr>
              <w:pStyle w:val="59"/>
              <w:rPr>
                <w:rFonts w:ascii="Times New Roman" w:hAnsi="Times New Roman"/>
                <w:sz w:val="20"/>
              </w:rPr>
            </w:pPr>
            <w:r>
              <w:rPr>
                <w:rFonts w:ascii="Times New Roman" w:hAnsi="Times New Roman"/>
                <w:sz w:val="20"/>
              </w:rPr>
              <w:t>SCG activation deactivation failure</w:t>
            </w:r>
          </w:p>
        </w:tc>
        <w:tc>
          <w:tcPr>
            <w:tcW w:w="5245" w:type="dxa"/>
            <w:tcBorders>
              <w:top w:val="single" w:color="auto" w:sz="4" w:space="0"/>
              <w:left w:val="single" w:color="auto" w:sz="4" w:space="0"/>
              <w:bottom w:val="single" w:color="auto" w:sz="4" w:space="0"/>
              <w:right w:val="single" w:color="auto" w:sz="4" w:space="0"/>
            </w:tcBorders>
          </w:tcPr>
          <w:p>
            <w:pPr>
              <w:pStyle w:val="59"/>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Borders>
              <w:top w:val="single" w:color="auto" w:sz="4" w:space="0"/>
              <w:left w:val="single" w:color="auto" w:sz="4" w:space="0"/>
              <w:bottom w:val="single" w:color="auto" w:sz="4" w:space="0"/>
              <w:right w:val="single" w:color="auto" w:sz="4" w:space="0"/>
            </w:tcBorders>
          </w:tcPr>
          <w:p>
            <w:pPr>
              <w:pStyle w:val="59"/>
              <w:rPr>
                <w:rFonts w:ascii="Times New Roman" w:hAnsi="Times New Roman"/>
                <w:sz w:val="20"/>
              </w:rPr>
            </w:pPr>
            <w:r>
              <w:rPr>
                <w:rFonts w:ascii="Times New Roman" w:hAnsi="Times New Roman"/>
                <w:sz w:val="20"/>
              </w:rPr>
              <w:t>SCG deactivation failure due to data transmission</w:t>
            </w:r>
          </w:p>
        </w:tc>
        <w:tc>
          <w:tcPr>
            <w:tcW w:w="5245" w:type="dxa"/>
            <w:tcBorders>
              <w:top w:val="single" w:color="auto" w:sz="4" w:space="0"/>
              <w:left w:val="single" w:color="auto" w:sz="4" w:space="0"/>
              <w:bottom w:val="single" w:color="auto" w:sz="4" w:space="0"/>
              <w:right w:val="single" w:color="auto" w:sz="4" w:space="0"/>
            </w:tcBorders>
          </w:tcPr>
          <w:p>
            <w:pPr>
              <w:pStyle w:val="59"/>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pPr>
        <w:tabs>
          <w:tab w:val="left" w:pos="1152"/>
        </w:tabs>
        <w:jc w:val="left"/>
        <w:rPr>
          <w:sz w:val="20"/>
        </w:rPr>
      </w:pPr>
    </w:p>
    <w:p>
      <w:pPr>
        <w:tabs>
          <w:tab w:val="left" w:pos="1152"/>
        </w:tabs>
        <w:jc w:val="left"/>
        <w:rPr>
          <w:sz w:val="20"/>
        </w:rPr>
      </w:pPr>
      <w:r>
        <w:rPr>
          <w:sz w:val="20"/>
        </w:rPr>
        <w:t>And if we agree that the UE can request SCG release to the SN for MUSIM purpose, there are two reasons to</w:t>
      </w:r>
      <w:r>
        <w:rPr>
          <w:b/>
          <w:sz w:val="20"/>
        </w:rPr>
        <w:t xml:space="preserve"> introduce a new cause value in RAN3 (XnAP and F1AP):</w:t>
      </w:r>
    </w:p>
    <w:p>
      <w:pPr>
        <w:pStyle w:val="101"/>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pPr>
        <w:pStyle w:val="101"/>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pPr>
        <w:tabs>
          <w:tab w:val="left" w:pos="1152"/>
        </w:tabs>
        <w:jc w:val="left"/>
        <w:rPr>
          <w:sz w:val="20"/>
        </w:rPr>
      </w:pPr>
    </w:p>
    <w:p>
      <w:pPr>
        <w:tabs>
          <w:tab w:val="left" w:pos="1152"/>
        </w:tabs>
        <w:jc w:val="left"/>
        <w:rPr>
          <w:sz w:val="20"/>
        </w:rPr>
      </w:pPr>
    </w:p>
    <w:p>
      <w:pPr>
        <w:jc w:val="left"/>
        <w:rPr>
          <w:b/>
          <w:bCs/>
          <w:sz w:val="20"/>
          <w:szCs w:val="18"/>
          <w:lang w:val="en-US"/>
        </w:rPr>
      </w:pPr>
      <w:r>
        <w:rPr>
          <w:b/>
          <w:bCs/>
          <w:sz w:val="20"/>
          <w:szCs w:val="18"/>
        </w:rPr>
        <w:t xml:space="preserve">Question B5: Do you agree that there may be Xn-AP or F1-AP impact if the UE sends SCG </w:t>
      </w:r>
      <w:commentRangeStart w:id="0"/>
      <w:r>
        <w:rPr>
          <w:b/>
          <w:bCs/>
          <w:sz w:val="20"/>
          <w:szCs w:val="18"/>
        </w:rPr>
        <w:t>release</w:t>
      </w:r>
      <w:commentRangeEnd w:id="0"/>
      <w:r>
        <w:rPr>
          <w:rStyle w:val="36"/>
        </w:rPr>
        <w:commentReference w:id="0"/>
      </w:r>
      <w:r>
        <w:rPr>
          <w:b/>
          <w:bCs/>
          <w:sz w:val="20"/>
          <w:szCs w:val="18"/>
        </w:rPr>
        <w:t xml:space="preserve"> request to MN?</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No strong view</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This could be left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No</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We think the current cause value as given above is enough if the UE sends SCG deactivation request to MN and MN iniates the SN deactivation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See comments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eastAsia"/>
                <w:sz w:val="20"/>
                <w:szCs w:val="18"/>
                <w:lang w:val="en-US" w:eastAsia="zh-CN"/>
              </w:rPr>
            </w:pPr>
            <w:r>
              <w:rPr>
                <w:sz w:val="20"/>
                <w:szCs w:val="18"/>
              </w:rPr>
              <w:t>This could be left to RAN3.</w:t>
            </w:r>
            <w:r>
              <w:rPr>
                <w:rFonts w:hint="eastAsia"/>
                <w:sz w:val="20"/>
                <w:szCs w:val="18"/>
                <w:lang w:val="en-US" w:eastAsia="zh-CN"/>
              </w:rPr>
              <w:t xml:space="preserve"> Maybe we can determine whether SCG deactivate shall be supported for the MUSIM purpose first.</w:t>
            </w:r>
          </w:p>
          <w:p>
            <w:pPr>
              <w:spacing w:after="180"/>
              <w:jc w:val="left"/>
              <w:rPr>
                <w:rFonts w:hint="default"/>
                <w:sz w:val="20"/>
                <w:szCs w:val="18"/>
                <w:lang w:eastAsia="zh-CN"/>
              </w:rPr>
            </w:pPr>
            <w:r>
              <w:rPr>
                <w:rFonts w:hint="eastAsia"/>
                <w:sz w:val="20"/>
                <w:szCs w:val="18"/>
                <w:lang w:val="en-US" w:eastAsia="zh-CN"/>
              </w:rPr>
              <w:t xml:space="preserve">According to our understanding, most UE capabilities are defined from the </w:t>
            </w:r>
            <w:r>
              <w:rPr>
                <w:rFonts w:hint="default"/>
                <w:sz w:val="20"/>
                <w:szCs w:val="18"/>
                <w:lang w:val="en-US" w:eastAsia="zh-CN"/>
              </w:rPr>
              <w:t>“</w:t>
            </w:r>
            <w:r>
              <w:rPr>
                <w:rFonts w:hint="eastAsia"/>
                <w:sz w:val="20"/>
                <w:szCs w:val="18"/>
                <w:lang w:val="en-US" w:eastAsia="zh-CN"/>
              </w:rPr>
              <w:t xml:space="preserve">configuration </w:t>
            </w:r>
            <w:r>
              <w:rPr>
                <w:rFonts w:hint="default"/>
                <w:sz w:val="20"/>
                <w:szCs w:val="18"/>
                <w:lang w:val="en-US" w:eastAsia="zh-CN"/>
              </w:rPr>
              <w:t>”</w:t>
            </w:r>
            <w:r>
              <w:rPr>
                <w:rFonts w:hint="eastAsia"/>
                <w:sz w:val="20"/>
                <w:szCs w:val="18"/>
                <w:lang w:val="en-US" w:eastAsia="zh-CN"/>
              </w:rPr>
              <w:t xml:space="preserve"> aspect Instead of </w:t>
            </w:r>
            <w:r>
              <w:rPr>
                <w:rFonts w:hint="default"/>
                <w:sz w:val="20"/>
                <w:szCs w:val="18"/>
                <w:lang w:val="en-US" w:eastAsia="zh-CN"/>
              </w:rPr>
              <w:t>“</w:t>
            </w:r>
            <w:r>
              <w:rPr>
                <w:rFonts w:hint="eastAsia"/>
                <w:sz w:val="20"/>
                <w:szCs w:val="18"/>
                <w:lang w:val="en-US" w:eastAsia="zh-CN"/>
              </w:rPr>
              <w:t>active</w:t>
            </w:r>
            <w:r>
              <w:rPr>
                <w:rFonts w:hint="default"/>
                <w:sz w:val="20"/>
                <w:szCs w:val="18"/>
                <w:lang w:val="en-US" w:eastAsia="zh-CN"/>
              </w:rPr>
              <w:t>”</w:t>
            </w:r>
            <w:r>
              <w:rPr>
                <w:rFonts w:hint="eastAsia"/>
                <w:sz w:val="20"/>
                <w:szCs w:val="18"/>
                <w:lang w:val="en-US" w:eastAsia="zh-CN"/>
              </w:rPr>
              <w:t xml:space="preserve"> aspect, so we are doubt that whether deactivate the SCG can really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tabs>
          <w:tab w:val="left" w:pos="1152"/>
        </w:tabs>
        <w:jc w:val="left"/>
        <w:rPr>
          <w:sz w:val="20"/>
        </w:rPr>
      </w:pPr>
    </w:p>
    <w:p>
      <w:pPr>
        <w:jc w:val="left"/>
        <w:rPr>
          <w:b/>
          <w:sz w:val="20"/>
        </w:rPr>
      </w:pPr>
      <w:r>
        <w:rPr>
          <w:b/>
          <w:sz w:val="20"/>
        </w:rPr>
        <w:t>Solutions B5</w:t>
      </w:r>
    </w:p>
    <w:p>
      <w:pPr>
        <w:tabs>
          <w:tab w:val="left" w:pos="1152"/>
        </w:tabs>
        <w:jc w:val="left"/>
        <w:rPr>
          <w:sz w:val="20"/>
        </w:rPr>
      </w:pPr>
      <w:r>
        <w:rPr>
          <w:sz w:val="20"/>
        </w:rPr>
        <w:t xml:space="preserve">For this solution, gNB-CU is responsible to configure whether MAC CE based SCell de-activation request is allowed. And the potential F1AP impact could be, before or after configuring the function to the UE, gNB-CU may have some coordination with the gNB-DU to support this function, for example, a request or notification. </w:t>
      </w:r>
    </w:p>
    <w:p>
      <w:pPr>
        <w:tabs>
          <w:tab w:val="left" w:pos="1152"/>
        </w:tabs>
        <w:jc w:val="left"/>
        <w:rPr>
          <w:sz w:val="20"/>
        </w:rPr>
      </w:pPr>
    </w:p>
    <w:p>
      <w:pPr>
        <w:jc w:val="left"/>
        <w:rPr>
          <w:b/>
          <w:bCs/>
          <w:sz w:val="20"/>
          <w:szCs w:val="18"/>
        </w:rPr>
      </w:pPr>
    </w:p>
    <w:p>
      <w:pPr>
        <w:jc w:val="left"/>
        <w:rPr>
          <w:b/>
          <w:bCs/>
          <w:sz w:val="20"/>
          <w:szCs w:val="18"/>
          <w:lang w:val="en-US"/>
        </w:rPr>
      </w:pPr>
      <w:r>
        <w:rPr>
          <w:b/>
          <w:bCs/>
          <w:sz w:val="20"/>
          <w:szCs w:val="18"/>
        </w:rPr>
        <w:t>Question B6: Do you agree that CU-DU coordination may be needed for MAC-CE based SCell (de)-activation request for MUSIM?</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M</w:t>
            </w:r>
            <w:r>
              <w:rPr>
                <w:rFonts w:hint="eastAsia"/>
                <w:sz w:val="20"/>
                <w:szCs w:val="18"/>
              </w:rPr>
              <w:t>aybe</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No</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See comments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sz w:val="20"/>
                <w:szCs w:val="18"/>
                <w:lang w:val="en-US" w:eastAsia="zh-CN"/>
              </w:rPr>
            </w:pPr>
            <w:r>
              <w:rPr>
                <w:rFonts w:hint="eastAsia"/>
                <w:sz w:val="20"/>
                <w:szCs w:val="18"/>
                <w:lang w:val="en-US" w:eastAsia="zh-CN"/>
              </w:rPr>
              <w:t xml:space="preserve">We are not very clear about this question and not sure whether </w:t>
            </w:r>
            <w:r>
              <w:rPr>
                <w:rFonts w:hint="default"/>
                <w:sz w:val="20"/>
                <w:szCs w:val="18"/>
                <w:lang w:val="en-US" w:eastAsia="zh-CN"/>
              </w:rPr>
              <w:t>“</w:t>
            </w:r>
            <w:r>
              <w:rPr>
                <w:sz w:val="20"/>
              </w:rPr>
              <w:t xml:space="preserve"> a request or notification </w:t>
            </w:r>
            <w:r>
              <w:rPr>
                <w:rFonts w:hint="default"/>
                <w:sz w:val="20"/>
                <w:szCs w:val="18"/>
                <w:lang w:val="en-US" w:eastAsia="zh-CN"/>
              </w:rPr>
              <w:t>”</w:t>
            </w:r>
            <w:r>
              <w:rPr>
                <w:rFonts w:hint="eastAsia"/>
                <w:sz w:val="20"/>
                <w:szCs w:val="18"/>
                <w:lang w:val="en-US" w:eastAsia="zh-CN"/>
              </w:rPr>
              <w:t xml:space="preserve"> would be needed.</w:t>
            </w:r>
          </w:p>
          <w:p>
            <w:pPr>
              <w:spacing w:after="180"/>
              <w:jc w:val="left"/>
              <w:rPr>
                <w:rFonts w:hint="default" w:ascii="Times New Roman" w:hAnsi="Times New Roman" w:eastAsia="宋体" w:cs="Times New Roman"/>
                <w:sz w:val="20"/>
                <w:szCs w:val="18"/>
                <w:lang w:val="en-US" w:eastAsia="zh-CN"/>
              </w:rPr>
            </w:pPr>
            <w:r>
              <w:rPr>
                <w:rFonts w:hint="eastAsia"/>
                <w:sz w:val="20"/>
                <w:szCs w:val="18"/>
                <w:lang w:val="en-US" w:eastAsia="zh-CN"/>
              </w:rPr>
              <w:t xml:space="preserve">Maybe we can </w:t>
            </w:r>
            <w:r>
              <w:rPr>
                <w:rFonts w:hint="eastAsia" w:ascii="Times New Roman" w:hAnsi="Times New Roman" w:eastAsia="宋体" w:cs="Times New Roman"/>
                <w:sz w:val="20"/>
                <w:szCs w:val="18"/>
                <w:lang w:val="en-US" w:eastAsia="zh-CN"/>
              </w:rPr>
              <w:t>discuss whether MAC-CE based SCell (de)-activation request for MUSIM would be supported, then left to RAN3 to determine the CU-DU detail.</w:t>
            </w:r>
          </w:p>
          <w:p>
            <w:pPr>
              <w:spacing w:after="180"/>
              <w:jc w:val="left"/>
              <w:rPr>
                <w:rFonts w:hint="default" w:ascii="Times New Roman" w:hAnsi="Times New Roman" w:eastAsia="宋体" w:cs="Times New Roman"/>
                <w:sz w:val="20"/>
                <w:szCs w:val="18"/>
                <w:lang w:val="en-US" w:eastAsia="zh-CN"/>
              </w:rPr>
            </w:pP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pBdr>
          <w:bottom w:val="single" w:color="auto" w:sz="6" w:space="1"/>
        </w:pBdr>
        <w:jc w:val="left"/>
        <w:rPr>
          <w:b/>
        </w:rPr>
      </w:pPr>
    </w:p>
    <w:p>
      <w:pPr>
        <w:overflowPunct/>
        <w:autoSpaceDE/>
        <w:autoSpaceDN/>
        <w:adjustRightInd/>
        <w:spacing w:after="0" w:line="240" w:lineRule="auto"/>
        <w:jc w:val="left"/>
        <w:textAlignment w:val="auto"/>
        <w:rPr>
          <w:b/>
          <w:sz w:val="20"/>
          <w:szCs w:val="18"/>
        </w:rPr>
      </w:pPr>
    </w:p>
    <w:p>
      <w:pPr>
        <w:pStyle w:val="3"/>
        <w:jc w:val="left"/>
        <w:rPr>
          <w:rFonts w:ascii="Times New Roman" w:hAnsi="Times New Roman"/>
          <w:sz w:val="20"/>
          <w:szCs w:val="20"/>
        </w:rPr>
      </w:pPr>
      <w:r>
        <w:rPr>
          <w:lang w:val="en-US"/>
        </w:rPr>
        <w:t>C – RAN4 impact</w:t>
      </w:r>
    </w:p>
    <w:p>
      <w:pPr>
        <w:rPr>
          <w:sz w:val="20"/>
        </w:rPr>
      </w:pPr>
      <w:r>
        <w:rPr>
          <w:sz w:val="20"/>
        </w:rPr>
        <w:t>For capability restriction case, the following agreements were made: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Borders>
              <w:top w:val="single" w:color="auto" w:sz="4" w:space="0"/>
              <w:left w:val="single" w:color="auto" w:sz="4" w:space="0"/>
              <w:bottom w:val="single" w:color="auto" w:sz="4" w:space="0"/>
              <w:right w:val="single" w:color="auto" w:sz="4" w:space="0"/>
            </w:tcBorders>
          </w:tcPr>
          <w:p>
            <w:pPr>
              <w:pStyle w:val="66"/>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r>
              <w:rPr>
                <w:rFonts w:ascii="Times New Roman" w:hAnsi="Times New Roman" w:cs="Times New Roman"/>
                <w:i/>
                <w:kern w:val="2"/>
                <w:highlight w:val="green"/>
              </w:rPr>
              <w:t xml:space="preserve">srs-TxSwitch, </w:t>
            </w:r>
            <w:r>
              <w:rPr>
                <w:rFonts w:ascii="Times New Roman" w:hAnsi="Times New Roman" w:cs="Times New Roman"/>
                <w:iCs/>
                <w:kern w:val="2"/>
                <w:highlight w:val="green"/>
              </w:rPr>
              <w:t xml:space="preserve">UL tx power, Power Class. </w:t>
            </w:r>
          </w:p>
        </w:tc>
      </w:tr>
    </w:tbl>
    <w:p>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Scell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pPr>
        <w:jc w:val="left"/>
        <w:rPr>
          <w:b/>
          <w:bCs/>
          <w:sz w:val="20"/>
          <w:szCs w:val="18"/>
        </w:rPr>
      </w:pPr>
    </w:p>
    <w:p>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SCell deactivation and release? If so, should RAN2 send an LS to RAN4 to confirm?</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No</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Since we will not introduce new RRC configuration, there is no need to introduce new RRM requirements.</w:t>
            </w:r>
          </w:p>
          <w:p>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w:t>
            </w:r>
            <w:r>
              <w:rPr>
                <w:rFonts w:hint="eastAsia"/>
                <w:sz w:val="20"/>
                <w:szCs w:val="18"/>
              </w:rPr>
              <w:t>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No</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No</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Similar view to Xiaomi and Huawei</w:t>
            </w: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tabs>
          <w:tab w:val="left" w:pos="1152"/>
        </w:tabs>
        <w:jc w:val="left"/>
        <w:rPr>
          <w:sz w:val="20"/>
        </w:rPr>
      </w:pPr>
    </w:p>
    <w:p>
      <w:pPr>
        <w:rPr>
          <w:sz w:val="20"/>
          <w:u w:val="single"/>
        </w:rPr>
      </w:pPr>
    </w:p>
    <w:p>
      <w:pPr>
        <w:rPr>
          <w:sz w:val="20"/>
          <w:u w:val="single"/>
        </w:rPr>
      </w:pPr>
    </w:p>
    <w:p>
      <w:pPr>
        <w:rPr>
          <w:sz w:val="20"/>
        </w:rPr>
      </w:pPr>
      <w:r>
        <w:rPr>
          <w:sz w:val="20"/>
        </w:rPr>
        <w:t>There is one contribution submitted in RAN4 (</w:t>
      </w:r>
      <w:r>
        <w:fldChar w:fldCharType="begin"/>
      </w:r>
      <w:r>
        <w:instrText xml:space="preserve"> HYPERLINK "https://www.3gpp.org/ftp/TSG_RAN/WG4_Radio/TSGR4_104-e/Docs/R4-2212343.zip" </w:instrText>
      </w:r>
      <w:r>
        <w:fldChar w:fldCharType="separate"/>
      </w:r>
      <w:r>
        <w:rPr>
          <w:sz w:val="20"/>
        </w:rPr>
        <w:t>R4-2212343</w:t>
      </w:r>
      <w:r>
        <w:rPr>
          <w:sz w:val="20"/>
        </w:rPr>
        <w:fldChar w:fldCharType="end"/>
      </w:r>
      <w:r>
        <w:rPr>
          <w:sz w:val="20"/>
        </w:rPr>
        <w:t xml:space="preserve">) which mentioned the below power back-off issues cause by MUSIM operation. </w:t>
      </w:r>
    </w:p>
    <w:p>
      <w:pPr>
        <w:pStyle w:val="68"/>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pPr>
        <w:pStyle w:val="68"/>
        <w:ind w:left="361" w:leftChars="35"/>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pPr>
        <w:jc w:val="left"/>
        <w:rPr>
          <w:b/>
          <w:bCs/>
          <w:sz w:val="20"/>
          <w:szCs w:val="18"/>
        </w:rPr>
      </w:pPr>
    </w:p>
    <w:p>
      <w:pPr>
        <w:jc w:val="left"/>
        <w:rPr>
          <w:b/>
          <w:bCs/>
          <w:sz w:val="20"/>
          <w:szCs w:val="18"/>
          <w:lang w:val="en-US"/>
        </w:rPr>
      </w:pPr>
      <w:r>
        <w:rPr>
          <w:b/>
          <w:bCs/>
          <w:sz w:val="20"/>
          <w:szCs w:val="18"/>
        </w:rPr>
        <w:t>Question C2: Do you agree that handling of uplink tx power can be left to the UE implementation for dual-active MUSIM and thus will not require RAN4 work?</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N</w:t>
            </w:r>
            <w:r>
              <w:rPr>
                <w:rFonts w:hint="eastAsia"/>
                <w:sz w:val="20"/>
                <w:szCs w:val="18"/>
              </w:rPr>
              <w:t>o</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I</w:t>
            </w:r>
            <w:r>
              <w:rPr>
                <w:rFonts w:hint="eastAsia"/>
                <w:sz w:val="20"/>
                <w:szCs w:val="18"/>
              </w:rPr>
              <w:t>f</w:t>
            </w:r>
            <w:r>
              <w:rPr>
                <w:sz w:val="20"/>
                <w:szCs w:val="18"/>
              </w:rPr>
              <w:t xml:space="preserve"> </w:t>
            </w:r>
            <w:r>
              <w:rPr>
                <w:rFonts w:hint="eastAsia"/>
                <w:sz w:val="20"/>
                <w:szCs w:val="18"/>
              </w:rPr>
              <w:t>maximu</w:t>
            </w:r>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Agree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Agree with the rapporteur</w:t>
            </w: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tabs>
          <w:tab w:val="left" w:pos="1152"/>
        </w:tabs>
        <w:rPr>
          <w:b/>
          <w:sz w:val="20"/>
        </w:rPr>
      </w:pPr>
    </w:p>
    <w:p>
      <w:pPr>
        <w:tabs>
          <w:tab w:val="left" w:pos="1152"/>
        </w:tabs>
        <w:rPr>
          <w:b/>
          <w:sz w:val="20"/>
        </w:rPr>
      </w:pPr>
    </w:p>
    <w:p>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pPr>
        <w:pStyle w:val="66"/>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pPr>
        <w:tabs>
          <w:tab w:val="left" w:pos="1152"/>
        </w:tabs>
        <w:rPr>
          <w:b/>
          <w:sz w:val="20"/>
        </w:rPr>
      </w:pPr>
    </w:p>
    <w:p>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r>
        <w:fldChar w:fldCharType="begin"/>
      </w:r>
      <w:r>
        <w:instrText xml:space="preserve"> HYPERLINK "https://www.3gpp.org/ftp/TSG_RAN/WG2_RL2/TSGR2_119bis-e/Docs/R2-2210485.zip" </w:instrText>
      </w:r>
      <w:r>
        <w:fldChar w:fldCharType="separate"/>
      </w:r>
      <w:r>
        <w:rPr>
          <w:rStyle w:val="35"/>
          <w:b/>
          <w:bCs/>
          <w:sz w:val="20"/>
          <w:szCs w:val="18"/>
        </w:rPr>
        <w:t>R2-2210485</w:t>
      </w:r>
      <w:r>
        <w:rPr>
          <w:rStyle w:val="35"/>
          <w:b/>
          <w:bCs/>
          <w:sz w:val="20"/>
          <w:szCs w:val="18"/>
        </w:rPr>
        <w:fldChar w:fldCharType="end"/>
      </w:r>
      <w:r>
        <w:rPr>
          <w:b/>
          <w:bCs/>
          <w:sz w:val="20"/>
          <w:szCs w:val="18"/>
        </w:rPr>
        <w:t>?</w:t>
      </w:r>
    </w:p>
    <w:p>
      <w:pPr>
        <w:jc w:val="left"/>
        <w:rPr>
          <w:b/>
          <w:bCs/>
          <w:sz w:val="20"/>
          <w:szCs w:val="1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2"/>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Response</w:t>
            </w:r>
          </w:p>
        </w:tc>
        <w:tc>
          <w:tcPr>
            <w:tcW w:w="6428" w:type="dxa"/>
            <w:tcBorders>
              <w:top w:val="single" w:color="auto" w:sz="4" w:space="0"/>
              <w:left w:val="single" w:color="auto" w:sz="4" w:space="0"/>
              <w:bottom w:val="single" w:color="auto" w:sz="4" w:space="0"/>
              <w:right w:val="single" w:color="auto" w:sz="4" w:space="0"/>
            </w:tcBorders>
            <w:shd w:val="clear" w:color="auto" w:fill="FABF8F"/>
          </w:tcPr>
          <w:p>
            <w:pPr>
              <w:spacing w:after="180"/>
              <w:jc w:val="left"/>
              <w:rPr>
                <w:b/>
                <w:sz w:val="20"/>
                <w:szCs w:val="18"/>
              </w:rPr>
            </w:pPr>
            <w:r>
              <w:rPr>
                <w:b/>
                <w:sz w:val="20"/>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Xiaomi</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w:t>
            </w:r>
            <w:r>
              <w:rPr>
                <w:rFonts w:hint="eastAsia"/>
                <w:sz w:val="20"/>
                <w:szCs w:val="18"/>
              </w:rPr>
              <w:t>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r>
              <w:rPr>
                <w:sz w:val="20"/>
                <w:szCs w:val="18"/>
              </w:rPr>
              <w:t>Huawei/HiSilicon</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sz w:val="20"/>
                <w:szCs w:val="18"/>
              </w:rPr>
            </w:pPr>
            <w:r>
              <w:rPr>
                <w:sz w:val="20"/>
                <w:szCs w:val="18"/>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rFonts w:hint="default" w:eastAsia="宋体"/>
                <w:sz w:val="20"/>
                <w:szCs w:val="18"/>
                <w:lang w:val="en-US" w:eastAsia="zh-CN"/>
              </w:rPr>
            </w:pPr>
            <w:r>
              <w:rPr>
                <w:rFonts w:hint="eastAsia"/>
                <w:sz w:val="20"/>
                <w:szCs w:val="18"/>
                <w:lang w:val="en-US" w:eastAsia="zh-CN"/>
              </w:rPr>
              <w:t>ZTE</w:t>
            </w:r>
          </w:p>
        </w:tc>
        <w:tc>
          <w:tcPr>
            <w:tcW w:w="15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0"/>
                <w:szCs w:val="18"/>
                <w:lang w:val="en-US" w:eastAsia="zh-CN"/>
              </w:rPr>
            </w:pPr>
            <w:r>
              <w:rPr>
                <w:rFonts w:hint="eastAsia"/>
                <w:sz w:val="20"/>
                <w:szCs w:val="18"/>
                <w:lang w:val="en-US" w:eastAsia="zh-CN"/>
              </w:rPr>
              <w:t>Yes</w:t>
            </w:r>
          </w:p>
        </w:tc>
        <w:tc>
          <w:tcPr>
            <w:tcW w:w="6428" w:type="dxa"/>
            <w:tcBorders>
              <w:top w:val="single" w:color="auto" w:sz="4" w:space="0"/>
              <w:left w:val="single" w:color="auto" w:sz="4" w:space="0"/>
              <w:bottom w:val="single" w:color="auto" w:sz="4" w:space="0"/>
              <w:right w:val="single" w:color="auto" w:sz="4" w:space="0"/>
            </w:tcBorders>
            <w:shd w:val="clear" w:color="auto" w:fill="auto"/>
          </w:tcPr>
          <w:p>
            <w:pPr>
              <w:spacing w:after="180"/>
              <w:jc w:val="left"/>
              <w:rPr>
                <w:sz w:val="20"/>
                <w:szCs w:val="18"/>
              </w:rPr>
            </w:pPr>
          </w:p>
        </w:tc>
      </w:tr>
    </w:tbl>
    <w:p>
      <w:pPr>
        <w:jc w:val="left"/>
        <w:rPr>
          <w:sz w:val="20"/>
          <w:szCs w:val="18"/>
        </w:rPr>
      </w:pPr>
    </w:p>
    <w:p>
      <w:pPr>
        <w:overflowPunct/>
        <w:autoSpaceDE/>
        <w:autoSpaceDN/>
        <w:adjustRightInd/>
        <w:spacing w:after="0" w:line="240" w:lineRule="auto"/>
        <w:jc w:val="left"/>
        <w:textAlignment w:val="auto"/>
        <w:rPr>
          <w:b/>
          <w:sz w:val="20"/>
          <w:szCs w:val="18"/>
        </w:rPr>
      </w:pPr>
      <w:r>
        <w:rPr>
          <w:b/>
          <w:sz w:val="20"/>
          <w:szCs w:val="18"/>
        </w:rPr>
        <w:t>Summary:</w:t>
      </w:r>
    </w:p>
    <w:p>
      <w:pPr>
        <w:overflowPunct/>
        <w:autoSpaceDE/>
        <w:autoSpaceDN/>
        <w:adjustRightInd/>
        <w:spacing w:after="0" w:line="240" w:lineRule="auto"/>
        <w:jc w:val="left"/>
        <w:textAlignment w:val="auto"/>
        <w:rPr>
          <w:b/>
          <w:sz w:val="20"/>
          <w:szCs w:val="18"/>
        </w:rPr>
      </w:pPr>
    </w:p>
    <w:p>
      <w:pPr>
        <w:overflowPunct/>
        <w:autoSpaceDE/>
        <w:autoSpaceDN/>
        <w:adjustRightInd/>
        <w:spacing w:after="0" w:line="240" w:lineRule="auto"/>
        <w:jc w:val="left"/>
        <w:textAlignment w:val="auto"/>
        <w:rPr>
          <w:b/>
          <w:sz w:val="20"/>
          <w:szCs w:val="18"/>
        </w:rPr>
      </w:pPr>
      <w:r>
        <w:rPr>
          <w:b/>
          <w:sz w:val="20"/>
          <w:szCs w:val="18"/>
        </w:rPr>
        <w:t>Proposal:</w:t>
      </w:r>
    </w:p>
    <w:p>
      <w:pPr>
        <w:tabs>
          <w:tab w:val="left" w:pos="1152"/>
        </w:tabs>
        <w:rPr>
          <w:b/>
          <w:sz w:val="20"/>
        </w:rPr>
      </w:pPr>
    </w:p>
    <w:p>
      <w:pPr>
        <w:tabs>
          <w:tab w:val="left" w:pos="1152"/>
        </w:tabs>
        <w:jc w:val="left"/>
        <w:rPr>
          <w:sz w:val="20"/>
        </w:rPr>
      </w:pPr>
    </w:p>
    <w:p>
      <w:pPr>
        <w:pStyle w:val="2"/>
        <w:numPr>
          <w:ilvl w:val="0"/>
          <w:numId w:val="3"/>
        </w:numPr>
        <w:tabs>
          <w:tab w:val="left" w:pos="720"/>
        </w:tabs>
        <w:jc w:val="left"/>
        <w:rPr>
          <w:rFonts w:ascii="Times New Roman" w:hAnsi="Times New Roman"/>
        </w:rPr>
      </w:pPr>
      <w:r>
        <w:rPr>
          <w:rFonts w:ascii="Times New Roman" w:hAnsi="Times New Roman"/>
        </w:rPr>
        <w:t>Conclusion</w:t>
      </w:r>
    </w:p>
    <w:p>
      <w:pPr>
        <w:jc w:val="left"/>
        <w:rPr>
          <w:sz w:val="20"/>
          <w:lang w:val="en-US"/>
        </w:rPr>
      </w:pPr>
      <w:r>
        <w:rPr>
          <w:sz w:val="20"/>
          <w:lang w:val="en-US"/>
        </w:rPr>
        <w:t>Based on the discussion and the feedback from companies above, the following are proposed for dual-active MUSIM operation:</w:t>
      </w:r>
    </w:p>
    <w:p>
      <w:pPr>
        <w:jc w:val="left"/>
        <w:rPr>
          <w:b/>
          <w:sz w:val="20"/>
        </w:rPr>
      </w:pPr>
    </w:p>
    <w:p>
      <w:pPr>
        <w:jc w:val="left"/>
        <w:rPr>
          <w:b/>
          <w:sz w:val="20"/>
        </w:rPr>
      </w:pPr>
    </w:p>
    <w:sectPr>
      <w:footerReference r:id="rId7" w:type="default"/>
      <w:footnotePr>
        <w:numRestart w:val="eachSect"/>
      </w:footnotePr>
      <w:pgSz w:w="11907" w:h="16840"/>
      <w:pgMar w:top="1138" w:right="1138" w:bottom="1411" w:left="1138" w:header="677" w:footer="562"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W" w:date="2023-02-02T11:28:00Z" w:initials=" ">
    <w:p w14:paraId="5ED95F4F">
      <w:pPr>
        <w:pStyle w:val="15"/>
      </w:pPr>
      <w:r>
        <w:t>“deactivation”?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D95F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Lucida Grande">
    <w:altName w:val="Segoe UI"/>
    <w:panose1 w:val="00000000000000000000"/>
    <w:charset w:val="00"/>
    <w:family w:val="swiss"/>
    <w:pitch w:val="default"/>
    <w:sig w:usb0="00000000" w:usb1="00000000" w:usb2="00000000" w:usb3="00000000" w:csb0="000001BF" w:csb1="00000000"/>
  </w:font>
  <w:font w:name="Courier New">
    <w:panose1 w:val="02070309020205020404"/>
    <w:charset w:val="00"/>
    <w:family w:val="modern"/>
    <w:pitch w:val="default"/>
    <w:sig w:usb0="E0002EFF" w:usb1="C0007843" w:usb2="00000009" w:usb3="00000000" w:csb0="400001FF" w:csb1="FFFF0000"/>
  </w:font>
  <w:font w:name="MS Mincho">
    <w:altName w:val="Yu Gothic"/>
    <w:panose1 w:val="02020609040205080304"/>
    <w:charset w:val="80"/>
    <w:family w:val="modern"/>
    <w:pitch w:val="default"/>
    <w:sig w:usb0="00000000" w:usb1="00000000" w:usb2="08000012" w:usb3="00000000" w:csb0="0002009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13</w:t>
    </w:r>
    <w:r>
      <w:rPr>
        <w:sz w:val="20"/>
        <w:szCs w:val="20"/>
      </w:rPr>
      <w:fldChar w:fldCharType="end"/>
    </w:r>
    <w:r>
      <w:rPr>
        <w:rStyle w:val="3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66448"/>
    <w:multiLevelType w:val="multilevel"/>
    <w:tmpl w:val="1E666448"/>
    <w:lvl w:ilvl="0" w:tentative="0">
      <w:start w:val="23"/>
      <w:numFmt w:val="bullet"/>
      <w:lvlText w:val="-"/>
      <w:lvlJc w:val="left"/>
      <w:pPr>
        <w:ind w:left="720" w:hanging="360"/>
      </w:pPr>
      <w:rPr>
        <w:rFonts w:hint="default" w:ascii="Times New Roman" w:hAnsi="Times New Roman" w:eastAsia="宋体" w:cs="Times New Roman"/>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0396CDA"/>
    <w:multiLevelType w:val="multilevel"/>
    <w:tmpl w:val="20396CDA"/>
    <w:lvl w:ilvl="0" w:tentative="0">
      <w:start w:val="1"/>
      <w:numFmt w:val="bullet"/>
      <w:pStyle w:val="18"/>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3E5161E5"/>
    <w:multiLevelType w:val="multilevel"/>
    <w:tmpl w:val="3E5161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9423666"/>
    <w:multiLevelType w:val="multilevel"/>
    <w:tmpl w:val="49423666"/>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3E22E24"/>
    <w:multiLevelType w:val="multilevel"/>
    <w:tmpl w:val="63E22E24"/>
    <w:lvl w:ilvl="0" w:tentative="0">
      <w:start w:val="1"/>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B37634B"/>
    <w:multiLevelType w:val="multilevel"/>
    <w:tmpl w:val="6B3763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CA34D2"/>
    <w:multiLevelType w:val="multilevel"/>
    <w:tmpl w:val="7BCA34D2"/>
    <w:lvl w:ilvl="0" w:tentative="0">
      <w:start w:val="1"/>
      <w:numFmt w:val="decimal"/>
      <w:pStyle w:val="6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7"/>
  </w:num>
  <w:num w:numId="7">
    <w:abstractNumId w:val="0"/>
  </w:num>
  <w:num w:numId="8">
    <w:abstractNumId w:val="2"/>
  </w:num>
  <w:num w:numId="9">
    <w:abstractNumId w:val="6"/>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doNotTrackFormatting/>
  <w:documentProtection w:enforcement="0"/>
  <w:defaultTabStop w:val="420"/>
  <w:hyphenationZone w:val="425"/>
  <w:drawingGridVerticalSpacing w:val="200"/>
  <w:displayHorizontalDrawingGridEvery w:val="0"/>
  <w:displayVerticalDrawingGridEvery w:val="2"/>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918"/>
    <w:rsid w:val="00003CDA"/>
    <w:rsid w:val="00003DE1"/>
    <w:rsid w:val="000044EF"/>
    <w:rsid w:val="00004B8A"/>
    <w:rsid w:val="000055C3"/>
    <w:rsid w:val="00005A29"/>
    <w:rsid w:val="00005BF5"/>
    <w:rsid w:val="00005DF3"/>
    <w:rsid w:val="00005E6A"/>
    <w:rsid w:val="00006A87"/>
    <w:rsid w:val="00006F24"/>
    <w:rsid w:val="000073F2"/>
    <w:rsid w:val="00010052"/>
    <w:rsid w:val="0001015D"/>
    <w:rsid w:val="0001017E"/>
    <w:rsid w:val="000103B4"/>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642B"/>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F04"/>
    <w:rsid w:val="00064948"/>
    <w:rsid w:val="00064984"/>
    <w:rsid w:val="00064A57"/>
    <w:rsid w:val="00064B50"/>
    <w:rsid w:val="00064CF1"/>
    <w:rsid w:val="00065513"/>
    <w:rsid w:val="00065827"/>
    <w:rsid w:val="00065F32"/>
    <w:rsid w:val="00066662"/>
    <w:rsid w:val="00066915"/>
    <w:rsid w:val="000670E6"/>
    <w:rsid w:val="0006754B"/>
    <w:rsid w:val="00067FE6"/>
    <w:rsid w:val="00070914"/>
    <w:rsid w:val="00071390"/>
    <w:rsid w:val="00071DE3"/>
    <w:rsid w:val="000723DF"/>
    <w:rsid w:val="000729BF"/>
    <w:rsid w:val="00072DF2"/>
    <w:rsid w:val="000741EE"/>
    <w:rsid w:val="00075300"/>
    <w:rsid w:val="00075AF8"/>
    <w:rsid w:val="000761EB"/>
    <w:rsid w:val="00076548"/>
    <w:rsid w:val="00077E79"/>
    <w:rsid w:val="0008232D"/>
    <w:rsid w:val="00083A7E"/>
    <w:rsid w:val="0008567F"/>
    <w:rsid w:val="00086771"/>
    <w:rsid w:val="00086B41"/>
    <w:rsid w:val="000874E0"/>
    <w:rsid w:val="00087566"/>
    <w:rsid w:val="0008790D"/>
    <w:rsid w:val="00087F0A"/>
    <w:rsid w:val="00090B26"/>
    <w:rsid w:val="0009163B"/>
    <w:rsid w:val="00091792"/>
    <w:rsid w:val="0009240D"/>
    <w:rsid w:val="00092461"/>
    <w:rsid w:val="000950A8"/>
    <w:rsid w:val="000958B7"/>
    <w:rsid w:val="00095F40"/>
    <w:rsid w:val="00096047"/>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E6A"/>
    <w:rsid w:val="000E141F"/>
    <w:rsid w:val="000E1986"/>
    <w:rsid w:val="000E1D0A"/>
    <w:rsid w:val="000E228E"/>
    <w:rsid w:val="000E2EBB"/>
    <w:rsid w:val="000E33C1"/>
    <w:rsid w:val="000E4483"/>
    <w:rsid w:val="000E4D3A"/>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358F"/>
    <w:rsid w:val="00103B77"/>
    <w:rsid w:val="00103F3C"/>
    <w:rsid w:val="001041B8"/>
    <w:rsid w:val="00104B12"/>
    <w:rsid w:val="00104E02"/>
    <w:rsid w:val="00104E92"/>
    <w:rsid w:val="00104F85"/>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41AD"/>
    <w:rsid w:val="00134262"/>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7DC"/>
    <w:rsid w:val="00161D5E"/>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70BC"/>
    <w:rsid w:val="00187EC8"/>
    <w:rsid w:val="00190A17"/>
    <w:rsid w:val="00192DEA"/>
    <w:rsid w:val="001936C5"/>
    <w:rsid w:val="001936D1"/>
    <w:rsid w:val="00195797"/>
    <w:rsid w:val="00195E21"/>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8E2"/>
    <w:rsid w:val="001A6E3E"/>
    <w:rsid w:val="001A77F0"/>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BD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4E4"/>
    <w:rsid w:val="00305866"/>
    <w:rsid w:val="00305905"/>
    <w:rsid w:val="00306037"/>
    <w:rsid w:val="0030618B"/>
    <w:rsid w:val="0030649B"/>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E8E"/>
    <w:rsid w:val="00315F9E"/>
    <w:rsid w:val="00316C94"/>
    <w:rsid w:val="003178B9"/>
    <w:rsid w:val="00317911"/>
    <w:rsid w:val="003204E8"/>
    <w:rsid w:val="00320E12"/>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F02"/>
    <w:rsid w:val="00330603"/>
    <w:rsid w:val="003306EB"/>
    <w:rsid w:val="00330CA1"/>
    <w:rsid w:val="00331108"/>
    <w:rsid w:val="00331C0D"/>
    <w:rsid w:val="00331F97"/>
    <w:rsid w:val="00332B1D"/>
    <w:rsid w:val="00332D76"/>
    <w:rsid w:val="00332D9C"/>
    <w:rsid w:val="00333126"/>
    <w:rsid w:val="00333127"/>
    <w:rsid w:val="00333B8D"/>
    <w:rsid w:val="00333D65"/>
    <w:rsid w:val="00333E88"/>
    <w:rsid w:val="003342AA"/>
    <w:rsid w:val="00334318"/>
    <w:rsid w:val="0033452F"/>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315B"/>
    <w:rsid w:val="003631B6"/>
    <w:rsid w:val="00363A9D"/>
    <w:rsid w:val="00364301"/>
    <w:rsid w:val="003648C3"/>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47D"/>
    <w:rsid w:val="003767A5"/>
    <w:rsid w:val="00376D40"/>
    <w:rsid w:val="00376E58"/>
    <w:rsid w:val="003774D7"/>
    <w:rsid w:val="0037771D"/>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E70"/>
    <w:rsid w:val="00426066"/>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2042"/>
    <w:rsid w:val="0044270A"/>
    <w:rsid w:val="0044289B"/>
    <w:rsid w:val="00443546"/>
    <w:rsid w:val="00443DA6"/>
    <w:rsid w:val="0044438E"/>
    <w:rsid w:val="004448F9"/>
    <w:rsid w:val="0044509F"/>
    <w:rsid w:val="00445AFD"/>
    <w:rsid w:val="00446349"/>
    <w:rsid w:val="004466DB"/>
    <w:rsid w:val="00446CF3"/>
    <w:rsid w:val="00446F29"/>
    <w:rsid w:val="00447092"/>
    <w:rsid w:val="00447DFD"/>
    <w:rsid w:val="00447FDD"/>
    <w:rsid w:val="00450186"/>
    <w:rsid w:val="004503E7"/>
    <w:rsid w:val="00450CA0"/>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E33"/>
    <w:rsid w:val="00480703"/>
    <w:rsid w:val="00480828"/>
    <w:rsid w:val="00481069"/>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6241"/>
    <w:rsid w:val="004B7125"/>
    <w:rsid w:val="004B72BB"/>
    <w:rsid w:val="004B72BE"/>
    <w:rsid w:val="004C0437"/>
    <w:rsid w:val="004C0B81"/>
    <w:rsid w:val="004C1240"/>
    <w:rsid w:val="004C1678"/>
    <w:rsid w:val="004C190E"/>
    <w:rsid w:val="004C23BC"/>
    <w:rsid w:val="004C28B5"/>
    <w:rsid w:val="004C2AF8"/>
    <w:rsid w:val="004C309E"/>
    <w:rsid w:val="004C3529"/>
    <w:rsid w:val="004C3F1B"/>
    <w:rsid w:val="004C4787"/>
    <w:rsid w:val="004C4B41"/>
    <w:rsid w:val="004C4CD0"/>
    <w:rsid w:val="004C5086"/>
    <w:rsid w:val="004C5B05"/>
    <w:rsid w:val="004C5DCE"/>
    <w:rsid w:val="004C625C"/>
    <w:rsid w:val="004C636C"/>
    <w:rsid w:val="004C63E1"/>
    <w:rsid w:val="004C68D7"/>
    <w:rsid w:val="004C6BCB"/>
    <w:rsid w:val="004C6FE6"/>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5411"/>
    <w:rsid w:val="004D5688"/>
    <w:rsid w:val="004D5F50"/>
    <w:rsid w:val="004D69CB"/>
    <w:rsid w:val="004D6D2D"/>
    <w:rsid w:val="004E0115"/>
    <w:rsid w:val="004E0148"/>
    <w:rsid w:val="004E06F1"/>
    <w:rsid w:val="004E0EDA"/>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4A2A"/>
    <w:rsid w:val="004F5519"/>
    <w:rsid w:val="004F5972"/>
    <w:rsid w:val="004F5CFB"/>
    <w:rsid w:val="004F5F04"/>
    <w:rsid w:val="004F61FF"/>
    <w:rsid w:val="004F664C"/>
    <w:rsid w:val="004F6FAE"/>
    <w:rsid w:val="004F72BD"/>
    <w:rsid w:val="004F7745"/>
    <w:rsid w:val="004F7DB0"/>
    <w:rsid w:val="00500034"/>
    <w:rsid w:val="00500815"/>
    <w:rsid w:val="005008B1"/>
    <w:rsid w:val="00500CE8"/>
    <w:rsid w:val="00500DB1"/>
    <w:rsid w:val="00500EF2"/>
    <w:rsid w:val="00501411"/>
    <w:rsid w:val="00501657"/>
    <w:rsid w:val="00501667"/>
    <w:rsid w:val="005017C1"/>
    <w:rsid w:val="00501A1E"/>
    <w:rsid w:val="00502652"/>
    <w:rsid w:val="0050302F"/>
    <w:rsid w:val="0050320D"/>
    <w:rsid w:val="005037C5"/>
    <w:rsid w:val="00503F8E"/>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FC9"/>
    <w:rsid w:val="00547176"/>
    <w:rsid w:val="0054718C"/>
    <w:rsid w:val="005472F1"/>
    <w:rsid w:val="005475E7"/>
    <w:rsid w:val="00547667"/>
    <w:rsid w:val="00550390"/>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6E21"/>
    <w:rsid w:val="00577095"/>
    <w:rsid w:val="00577699"/>
    <w:rsid w:val="00580038"/>
    <w:rsid w:val="00580112"/>
    <w:rsid w:val="00580198"/>
    <w:rsid w:val="00580928"/>
    <w:rsid w:val="00580BB8"/>
    <w:rsid w:val="00581237"/>
    <w:rsid w:val="00581555"/>
    <w:rsid w:val="00581628"/>
    <w:rsid w:val="005816D3"/>
    <w:rsid w:val="00582D24"/>
    <w:rsid w:val="00582E6C"/>
    <w:rsid w:val="005837D8"/>
    <w:rsid w:val="00583AEA"/>
    <w:rsid w:val="005846BD"/>
    <w:rsid w:val="00585219"/>
    <w:rsid w:val="00585828"/>
    <w:rsid w:val="00585D4C"/>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16"/>
    <w:rsid w:val="005C3B66"/>
    <w:rsid w:val="005C4569"/>
    <w:rsid w:val="005C470B"/>
    <w:rsid w:val="005C4E97"/>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3DA"/>
    <w:rsid w:val="006056F8"/>
    <w:rsid w:val="00605DE5"/>
    <w:rsid w:val="006063F7"/>
    <w:rsid w:val="0060686E"/>
    <w:rsid w:val="006069DD"/>
    <w:rsid w:val="006103DE"/>
    <w:rsid w:val="00610A07"/>
    <w:rsid w:val="006115E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CB5"/>
    <w:rsid w:val="00637417"/>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15C"/>
    <w:rsid w:val="00664CF3"/>
    <w:rsid w:val="006653B5"/>
    <w:rsid w:val="0066631E"/>
    <w:rsid w:val="0066696E"/>
    <w:rsid w:val="00666BD7"/>
    <w:rsid w:val="00667650"/>
    <w:rsid w:val="00667A34"/>
    <w:rsid w:val="00667FDB"/>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9AA"/>
    <w:rsid w:val="006E6F5A"/>
    <w:rsid w:val="006E6FD1"/>
    <w:rsid w:val="006E7A66"/>
    <w:rsid w:val="006F02F4"/>
    <w:rsid w:val="006F045F"/>
    <w:rsid w:val="006F0DD6"/>
    <w:rsid w:val="006F0F1C"/>
    <w:rsid w:val="006F20A2"/>
    <w:rsid w:val="006F2616"/>
    <w:rsid w:val="006F3608"/>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9EC"/>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9AC"/>
    <w:rsid w:val="00767C96"/>
    <w:rsid w:val="00767F0D"/>
    <w:rsid w:val="0077019B"/>
    <w:rsid w:val="007707D0"/>
    <w:rsid w:val="00770F38"/>
    <w:rsid w:val="0077143B"/>
    <w:rsid w:val="00772066"/>
    <w:rsid w:val="007723F0"/>
    <w:rsid w:val="00772BC1"/>
    <w:rsid w:val="0077332F"/>
    <w:rsid w:val="00773681"/>
    <w:rsid w:val="00773A8C"/>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579"/>
    <w:rsid w:val="007C7CA5"/>
    <w:rsid w:val="007D05F1"/>
    <w:rsid w:val="007D0739"/>
    <w:rsid w:val="007D0768"/>
    <w:rsid w:val="007D108D"/>
    <w:rsid w:val="007D12B0"/>
    <w:rsid w:val="007D21D0"/>
    <w:rsid w:val="007D34F1"/>
    <w:rsid w:val="007D4C8A"/>
    <w:rsid w:val="007D5207"/>
    <w:rsid w:val="007D5ECC"/>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84"/>
    <w:rsid w:val="007E5856"/>
    <w:rsid w:val="007E5936"/>
    <w:rsid w:val="007E65DC"/>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A86"/>
    <w:rsid w:val="00801C4F"/>
    <w:rsid w:val="00801CDA"/>
    <w:rsid w:val="00801EAF"/>
    <w:rsid w:val="008022F7"/>
    <w:rsid w:val="00802BE8"/>
    <w:rsid w:val="00802CB6"/>
    <w:rsid w:val="00802E61"/>
    <w:rsid w:val="00803118"/>
    <w:rsid w:val="008032AA"/>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C91"/>
    <w:rsid w:val="00891FDB"/>
    <w:rsid w:val="008921BD"/>
    <w:rsid w:val="00892522"/>
    <w:rsid w:val="00893217"/>
    <w:rsid w:val="00893D18"/>
    <w:rsid w:val="008941E4"/>
    <w:rsid w:val="0089420E"/>
    <w:rsid w:val="00894482"/>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B0149"/>
    <w:rsid w:val="008B09B5"/>
    <w:rsid w:val="008B0A62"/>
    <w:rsid w:val="008B11D6"/>
    <w:rsid w:val="008B170F"/>
    <w:rsid w:val="008B18CC"/>
    <w:rsid w:val="008B18D1"/>
    <w:rsid w:val="008B1ADA"/>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5ED"/>
    <w:rsid w:val="008D492F"/>
    <w:rsid w:val="008D4C9C"/>
    <w:rsid w:val="008D51C1"/>
    <w:rsid w:val="008D51F4"/>
    <w:rsid w:val="008D52B1"/>
    <w:rsid w:val="008D52DC"/>
    <w:rsid w:val="008D6030"/>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A72"/>
    <w:rsid w:val="00987DF5"/>
    <w:rsid w:val="00990990"/>
    <w:rsid w:val="00990D25"/>
    <w:rsid w:val="00990EC3"/>
    <w:rsid w:val="009910BE"/>
    <w:rsid w:val="00992342"/>
    <w:rsid w:val="0099286C"/>
    <w:rsid w:val="009930DA"/>
    <w:rsid w:val="009931AE"/>
    <w:rsid w:val="0099410C"/>
    <w:rsid w:val="00994418"/>
    <w:rsid w:val="0099482B"/>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643F"/>
    <w:rsid w:val="009F66FD"/>
    <w:rsid w:val="009F6CEC"/>
    <w:rsid w:val="009F720A"/>
    <w:rsid w:val="009F7CEA"/>
    <w:rsid w:val="00A0041A"/>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5E2"/>
    <w:rsid w:val="00A2080F"/>
    <w:rsid w:val="00A20B73"/>
    <w:rsid w:val="00A20CC6"/>
    <w:rsid w:val="00A21195"/>
    <w:rsid w:val="00A21842"/>
    <w:rsid w:val="00A219FB"/>
    <w:rsid w:val="00A21AA3"/>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3D5"/>
    <w:rsid w:val="00A32CB2"/>
    <w:rsid w:val="00A32D81"/>
    <w:rsid w:val="00A32F34"/>
    <w:rsid w:val="00A335C9"/>
    <w:rsid w:val="00A33A9A"/>
    <w:rsid w:val="00A33F89"/>
    <w:rsid w:val="00A34323"/>
    <w:rsid w:val="00A34C76"/>
    <w:rsid w:val="00A3546C"/>
    <w:rsid w:val="00A3550E"/>
    <w:rsid w:val="00A3564A"/>
    <w:rsid w:val="00A360E3"/>
    <w:rsid w:val="00A361AB"/>
    <w:rsid w:val="00A3675F"/>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705"/>
    <w:rsid w:val="00AF05EC"/>
    <w:rsid w:val="00AF0DC4"/>
    <w:rsid w:val="00AF172F"/>
    <w:rsid w:val="00AF1D18"/>
    <w:rsid w:val="00AF1F34"/>
    <w:rsid w:val="00AF21BD"/>
    <w:rsid w:val="00AF2FF2"/>
    <w:rsid w:val="00AF32E1"/>
    <w:rsid w:val="00AF3CE6"/>
    <w:rsid w:val="00AF43C2"/>
    <w:rsid w:val="00AF4753"/>
    <w:rsid w:val="00AF53DA"/>
    <w:rsid w:val="00AF5948"/>
    <w:rsid w:val="00AF59C8"/>
    <w:rsid w:val="00AF67B4"/>
    <w:rsid w:val="00AF67EE"/>
    <w:rsid w:val="00AF69B8"/>
    <w:rsid w:val="00AF69E1"/>
    <w:rsid w:val="00AF7ABF"/>
    <w:rsid w:val="00AF7EA5"/>
    <w:rsid w:val="00AF7FD7"/>
    <w:rsid w:val="00B00262"/>
    <w:rsid w:val="00B0174F"/>
    <w:rsid w:val="00B01F1F"/>
    <w:rsid w:val="00B0256D"/>
    <w:rsid w:val="00B03391"/>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F50"/>
    <w:rsid w:val="00B238DC"/>
    <w:rsid w:val="00B23EB6"/>
    <w:rsid w:val="00B245AA"/>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F7B"/>
    <w:rsid w:val="00B366D3"/>
    <w:rsid w:val="00B36874"/>
    <w:rsid w:val="00B36B39"/>
    <w:rsid w:val="00B36C4A"/>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3AFF"/>
    <w:rsid w:val="00B74CB1"/>
    <w:rsid w:val="00B7752C"/>
    <w:rsid w:val="00B779E5"/>
    <w:rsid w:val="00B77BD9"/>
    <w:rsid w:val="00B800A1"/>
    <w:rsid w:val="00B80297"/>
    <w:rsid w:val="00B80D77"/>
    <w:rsid w:val="00B81054"/>
    <w:rsid w:val="00B82087"/>
    <w:rsid w:val="00B8210C"/>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BDB"/>
    <w:rsid w:val="00B87C8E"/>
    <w:rsid w:val="00B9048A"/>
    <w:rsid w:val="00B907D7"/>
    <w:rsid w:val="00B90D7F"/>
    <w:rsid w:val="00B91973"/>
    <w:rsid w:val="00B9226F"/>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D7"/>
    <w:rsid w:val="00BE5996"/>
    <w:rsid w:val="00BE5B5F"/>
    <w:rsid w:val="00BE6468"/>
    <w:rsid w:val="00BE6BED"/>
    <w:rsid w:val="00BE6D9D"/>
    <w:rsid w:val="00BE7767"/>
    <w:rsid w:val="00BE7D7A"/>
    <w:rsid w:val="00BE7FB7"/>
    <w:rsid w:val="00BF020D"/>
    <w:rsid w:val="00BF0303"/>
    <w:rsid w:val="00BF1FEA"/>
    <w:rsid w:val="00BF2591"/>
    <w:rsid w:val="00BF2D6C"/>
    <w:rsid w:val="00BF33B1"/>
    <w:rsid w:val="00BF3894"/>
    <w:rsid w:val="00BF49D4"/>
    <w:rsid w:val="00BF4F32"/>
    <w:rsid w:val="00BF5C56"/>
    <w:rsid w:val="00BF6159"/>
    <w:rsid w:val="00BF6381"/>
    <w:rsid w:val="00BF6391"/>
    <w:rsid w:val="00BF63E0"/>
    <w:rsid w:val="00BF64C2"/>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8ED"/>
    <w:rsid w:val="00C10CDA"/>
    <w:rsid w:val="00C11540"/>
    <w:rsid w:val="00C119DE"/>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7810"/>
    <w:rsid w:val="00C27903"/>
    <w:rsid w:val="00C27C1A"/>
    <w:rsid w:val="00C27EA3"/>
    <w:rsid w:val="00C3045F"/>
    <w:rsid w:val="00C30C02"/>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4056"/>
    <w:rsid w:val="00C540C5"/>
    <w:rsid w:val="00C54699"/>
    <w:rsid w:val="00C54775"/>
    <w:rsid w:val="00C54A5C"/>
    <w:rsid w:val="00C55D52"/>
    <w:rsid w:val="00C563EA"/>
    <w:rsid w:val="00C5761E"/>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6424"/>
    <w:rsid w:val="00C676D2"/>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0F7"/>
    <w:rsid w:val="00C7360D"/>
    <w:rsid w:val="00C739FA"/>
    <w:rsid w:val="00C73C84"/>
    <w:rsid w:val="00C74452"/>
    <w:rsid w:val="00C75A6F"/>
    <w:rsid w:val="00C75E3C"/>
    <w:rsid w:val="00C76A28"/>
    <w:rsid w:val="00C77053"/>
    <w:rsid w:val="00C8017E"/>
    <w:rsid w:val="00C80335"/>
    <w:rsid w:val="00C80B3A"/>
    <w:rsid w:val="00C80D84"/>
    <w:rsid w:val="00C81671"/>
    <w:rsid w:val="00C81894"/>
    <w:rsid w:val="00C82715"/>
    <w:rsid w:val="00C8292C"/>
    <w:rsid w:val="00C82CE7"/>
    <w:rsid w:val="00C82D0B"/>
    <w:rsid w:val="00C8321D"/>
    <w:rsid w:val="00C83B10"/>
    <w:rsid w:val="00C847DE"/>
    <w:rsid w:val="00C8520A"/>
    <w:rsid w:val="00C85A09"/>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F4"/>
    <w:rsid w:val="00CA041B"/>
    <w:rsid w:val="00CA0BBE"/>
    <w:rsid w:val="00CA0F40"/>
    <w:rsid w:val="00CA10EF"/>
    <w:rsid w:val="00CA1AE8"/>
    <w:rsid w:val="00CA22C3"/>
    <w:rsid w:val="00CA238D"/>
    <w:rsid w:val="00CA2ABB"/>
    <w:rsid w:val="00CA2BA1"/>
    <w:rsid w:val="00CA32C1"/>
    <w:rsid w:val="00CA4A12"/>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407D"/>
    <w:rsid w:val="00CC5200"/>
    <w:rsid w:val="00CC580B"/>
    <w:rsid w:val="00CC63FF"/>
    <w:rsid w:val="00CC691D"/>
    <w:rsid w:val="00CC73BB"/>
    <w:rsid w:val="00CC75D1"/>
    <w:rsid w:val="00CC76A1"/>
    <w:rsid w:val="00CD030E"/>
    <w:rsid w:val="00CD0D78"/>
    <w:rsid w:val="00CD103C"/>
    <w:rsid w:val="00CD11B6"/>
    <w:rsid w:val="00CD26FC"/>
    <w:rsid w:val="00CD2E31"/>
    <w:rsid w:val="00CD2E58"/>
    <w:rsid w:val="00CD312C"/>
    <w:rsid w:val="00CD43CD"/>
    <w:rsid w:val="00CD458E"/>
    <w:rsid w:val="00CD4638"/>
    <w:rsid w:val="00CD572D"/>
    <w:rsid w:val="00CD5C0D"/>
    <w:rsid w:val="00CD5C2D"/>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1AC"/>
    <w:rsid w:val="00D464E5"/>
    <w:rsid w:val="00D465D9"/>
    <w:rsid w:val="00D465EC"/>
    <w:rsid w:val="00D46F32"/>
    <w:rsid w:val="00D477F0"/>
    <w:rsid w:val="00D47994"/>
    <w:rsid w:val="00D47CEA"/>
    <w:rsid w:val="00D500E5"/>
    <w:rsid w:val="00D50831"/>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7AA0"/>
    <w:rsid w:val="00D67FA4"/>
    <w:rsid w:val="00D67FB4"/>
    <w:rsid w:val="00D7014D"/>
    <w:rsid w:val="00D70550"/>
    <w:rsid w:val="00D709D7"/>
    <w:rsid w:val="00D70A8A"/>
    <w:rsid w:val="00D71001"/>
    <w:rsid w:val="00D71F94"/>
    <w:rsid w:val="00D7203A"/>
    <w:rsid w:val="00D723DD"/>
    <w:rsid w:val="00D72589"/>
    <w:rsid w:val="00D7274B"/>
    <w:rsid w:val="00D72D79"/>
    <w:rsid w:val="00D732BF"/>
    <w:rsid w:val="00D73606"/>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4596"/>
    <w:rsid w:val="00EF4854"/>
    <w:rsid w:val="00EF537B"/>
    <w:rsid w:val="00EF55AA"/>
    <w:rsid w:val="00EF5A7F"/>
    <w:rsid w:val="00EF5C02"/>
    <w:rsid w:val="00EF6173"/>
    <w:rsid w:val="00EF637B"/>
    <w:rsid w:val="00EF6573"/>
    <w:rsid w:val="00EF65F7"/>
    <w:rsid w:val="00EF7C97"/>
    <w:rsid w:val="00F00411"/>
    <w:rsid w:val="00F004A9"/>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7090"/>
    <w:rsid w:val="00F2713B"/>
    <w:rsid w:val="00F272A9"/>
    <w:rsid w:val="00F278EB"/>
    <w:rsid w:val="00F27EDE"/>
    <w:rsid w:val="00F301D9"/>
    <w:rsid w:val="00F30D72"/>
    <w:rsid w:val="00F3148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D0E"/>
    <w:rsid w:val="00F41D21"/>
    <w:rsid w:val="00F422C8"/>
    <w:rsid w:val="00F42382"/>
    <w:rsid w:val="00F424AE"/>
    <w:rsid w:val="00F42EAA"/>
    <w:rsid w:val="00F43156"/>
    <w:rsid w:val="00F4325C"/>
    <w:rsid w:val="00F4404E"/>
    <w:rsid w:val="00F445A1"/>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55D"/>
    <w:rsid w:val="00F64A59"/>
    <w:rsid w:val="00F64BA7"/>
    <w:rsid w:val="00F652F2"/>
    <w:rsid w:val="00F655E3"/>
    <w:rsid w:val="00F662BA"/>
    <w:rsid w:val="00F66A10"/>
    <w:rsid w:val="00F66A22"/>
    <w:rsid w:val="00F66CA7"/>
    <w:rsid w:val="00F67234"/>
    <w:rsid w:val="00F673A2"/>
    <w:rsid w:val="00F679E1"/>
    <w:rsid w:val="00F67CC4"/>
    <w:rsid w:val="00F708FD"/>
    <w:rsid w:val="00F71769"/>
    <w:rsid w:val="00F71EC3"/>
    <w:rsid w:val="00F72487"/>
    <w:rsid w:val="00F7320D"/>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BB9"/>
    <w:rsid w:val="00FA7F60"/>
    <w:rsid w:val="00FB00E0"/>
    <w:rsid w:val="00FB0726"/>
    <w:rsid w:val="00FB08C6"/>
    <w:rsid w:val="00FB0C36"/>
    <w:rsid w:val="00FB15BB"/>
    <w:rsid w:val="00FB1894"/>
    <w:rsid w:val="00FB310C"/>
    <w:rsid w:val="00FB365A"/>
    <w:rsid w:val="00FB3AF2"/>
    <w:rsid w:val="00FB45A6"/>
    <w:rsid w:val="00FB4739"/>
    <w:rsid w:val="00FB490A"/>
    <w:rsid w:val="00FB5326"/>
    <w:rsid w:val="00FB59EA"/>
    <w:rsid w:val="00FB5F97"/>
    <w:rsid w:val="00FB640F"/>
    <w:rsid w:val="00FB66A5"/>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5447"/>
    <w:rsid w:val="00FF6555"/>
    <w:rsid w:val="00FF6A24"/>
    <w:rsid w:val="00FF6EE4"/>
    <w:rsid w:val="00FF7049"/>
    <w:rsid w:val="00FF71A2"/>
    <w:rsid w:val="00FF7C5B"/>
    <w:rsid w:val="03FC1EAA"/>
    <w:rsid w:val="0B8D43DA"/>
    <w:rsid w:val="0C644045"/>
    <w:rsid w:val="12C03F62"/>
    <w:rsid w:val="19AA13DD"/>
    <w:rsid w:val="1A6D4B05"/>
    <w:rsid w:val="28CC537F"/>
    <w:rsid w:val="29C91D8E"/>
    <w:rsid w:val="2B404A06"/>
    <w:rsid w:val="2E1C41D7"/>
    <w:rsid w:val="2FFF26EC"/>
    <w:rsid w:val="32F07FC3"/>
    <w:rsid w:val="3F25559F"/>
    <w:rsid w:val="4908442D"/>
    <w:rsid w:val="53222494"/>
    <w:rsid w:val="562D2B61"/>
    <w:rsid w:val="58A0181C"/>
    <w:rsid w:val="64093E28"/>
    <w:rsid w:val="7D460A87"/>
    <w:rsid w:val="7F4E7BC4"/>
  </w:rsids>
  <m:mathPr>
    <m:mathFont m:val="Cambria Math"/>
    <m:brkBin m:val="before"/>
    <m:brkBinSub m:val="--"/>
    <m:smallFrac m:val="0"/>
    <m:dispDef/>
    <m:lMargin m:val="0"/>
    <m:rMargin m:val="0"/>
    <m:defJc m:val="centerGroup"/>
    <m:wrapIndent m:val="1440"/>
    <m:intLim m:val="subSup"/>
    <m:naryLim m:val="undOvr"/>
  </m:mathPr>
  <w:doNotAutoCompressPictures/>
  <w:themeFontLang w:val="sv-SE" w:eastAsia="ko-KR"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7"/>
    <w:qFormat/>
    <w:uiPriority w:val="9"/>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8"/>
    <w:qFormat/>
    <w:uiPriority w:val="0"/>
    <w:pPr>
      <w:pBdr>
        <w:top w:val="none" w:color="auto" w:sz="0" w:space="0"/>
      </w:pBdr>
      <w:spacing w:before="180"/>
      <w:outlineLvl w:val="1"/>
    </w:pPr>
    <w:rPr>
      <w:sz w:val="32"/>
      <w:szCs w:val="32"/>
    </w:rPr>
  </w:style>
  <w:style w:type="paragraph" w:styleId="4">
    <w:name w:val="heading 3"/>
    <w:basedOn w:val="3"/>
    <w:next w:val="1"/>
    <w:link w:val="39"/>
    <w:qFormat/>
    <w:uiPriority w:val="0"/>
    <w:pPr>
      <w:spacing w:before="120"/>
      <w:outlineLvl w:val="2"/>
    </w:pPr>
    <w:rPr>
      <w:sz w:val="28"/>
      <w:szCs w:val="28"/>
    </w:rPr>
  </w:style>
  <w:style w:type="paragraph" w:styleId="5">
    <w:name w:val="heading 4"/>
    <w:basedOn w:val="4"/>
    <w:next w:val="1"/>
    <w:link w:val="40"/>
    <w:qFormat/>
    <w:uiPriority w:val="9"/>
    <w:pPr>
      <w:outlineLvl w:val="3"/>
    </w:pPr>
    <w:rPr>
      <w:sz w:val="20"/>
      <w:szCs w:val="20"/>
    </w:rPr>
  </w:style>
  <w:style w:type="paragraph" w:styleId="6">
    <w:name w:val="heading 5"/>
    <w:basedOn w:val="5"/>
    <w:next w:val="1"/>
    <w:link w:val="41"/>
    <w:qFormat/>
    <w:uiPriority w:val="0"/>
    <w:pPr>
      <w:outlineLvl w:val="4"/>
    </w:pPr>
    <w:rPr>
      <w:sz w:val="22"/>
      <w:szCs w:val="22"/>
    </w:rPr>
  </w:style>
  <w:style w:type="paragraph" w:styleId="7">
    <w:name w:val="heading 6"/>
    <w:basedOn w:val="1"/>
    <w:next w:val="1"/>
    <w:link w:val="42"/>
    <w:qFormat/>
    <w:uiPriority w:val="0"/>
    <w:pPr>
      <w:keepNext/>
      <w:keepLines/>
      <w:spacing w:before="120"/>
      <w:outlineLvl w:val="5"/>
    </w:pPr>
    <w:rPr>
      <w:rFonts w:ascii="Arial" w:hAnsi="Arial"/>
    </w:rPr>
  </w:style>
  <w:style w:type="paragraph" w:styleId="8">
    <w:name w:val="heading 7"/>
    <w:basedOn w:val="1"/>
    <w:next w:val="1"/>
    <w:link w:val="43"/>
    <w:qFormat/>
    <w:uiPriority w:val="0"/>
    <w:pPr>
      <w:keepNext/>
      <w:keepLines/>
      <w:spacing w:before="120"/>
      <w:outlineLvl w:val="6"/>
    </w:pPr>
    <w:rPr>
      <w:rFonts w:ascii="Arial" w:hAnsi="Arial"/>
    </w:rPr>
  </w:style>
  <w:style w:type="paragraph" w:styleId="9">
    <w:name w:val="heading 8"/>
    <w:basedOn w:val="8"/>
    <w:next w:val="1"/>
    <w:link w:val="44"/>
    <w:qFormat/>
    <w:uiPriority w:val="0"/>
    <w:pPr>
      <w:outlineLvl w:val="7"/>
    </w:pPr>
  </w:style>
  <w:style w:type="paragraph" w:styleId="10">
    <w:name w:val="heading 9"/>
    <w:basedOn w:val="9"/>
    <w:next w:val="1"/>
    <w:link w:val="45"/>
    <w:qFormat/>
    <w:uiPriority w:val="0"/>
    <w:pPr>
      <w:outlineLvl w:val="8"/>
    </w:pPr>
  </w:style>
  <w:style w:type="character" w:default="1" w:styleId="32">
    <w:name w:val="Default Paragraph Font"/>
    <w:semiHidden/>
    <w:unhideWhenUsed/>
    <w:qFormat/>
    <w:uiPriority w:val="1"/>
  </w:style>
  <w:style w:type="table" w:default="1" w:styleId="27">
    <w:name w:val="Normal Table"/>
    <w:semiHidden/>
    <w:unhideWhenUsed/>
    <w:uiPriority w:val="99"/>
    <w:pPr>
      <w:keepNext w:val="0"/>
      <w:keepLines w:val="0"/>
      <w:widowControl/>
      <w:suppressLineNumbers w:val="0"/>
      <w:spacing w:before="0" w:beforeAutospacing="0" w:after="0" w:afterAutospacing="0"/>
      <w:ind w:left="0" w:right="0"/>
    </w:pPr>
    <w:rPr>
      <w:rFonts w:hint="default" w:ascii="Cambria" w:hAnsi="Cambria" w:eastAsia="Cambria" w:cs="Cambria"/>
      <w:sz w:val="20"/>
      <w:szCs w:val="20"/>
    </w:rPr>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Normal Indent"/>
    <w:basedOn w:val="1"/>
    <w:qFormat/>
    <w:uiPriority w:val="0"/>
    <w:pPr>
      <w:widowControl w:val="0"/>
      <w:overflowPunct/>
      <w:autoSpaceDE/>
      <w:autoSpaceDN/>
      <w:adjustRightInd/>
      <w:spacing w:after="0" w:line="360" w:lineRule="auto"/>
      <w:ind w:firstLine="420" w:firstLineChars="200"/>
      <w:textAlignment w:val="auto"/>
    </w:pPr>
    <w:rPr>
      <w:kern w:val="2"/>
      <w:sz w:val="21"/>
      <w:lang w:val="en-US"/>
    </w:rPr>
  </w:style>
  <w:style w:type="paragraph" w:styleId="13">
    <w:name w:val="List Bullet"/>
    <w:basedOn w:val="1"/>
    <w:semiHidden/>
    <w:unhideWhenUsed/>
    <w:qFormat/>
    <w:uiPriority w:val="99"/>
    <w:pPr>
      <w:tabs>
        <w:tab w:val="left" w:pos="720"/>
      </w:tabs>
      <w:ind w:left="720" w:hanging="720"/>
      <w:contextualSpacing/>
    </w:pPr>
  </w:style>
  <w:style w:type="paragraph" w:styleId="14">
    <w:name w:val="Document Map"/>
    <w:basedOn w:val="1"/>
    <w:link w:val="52"/>
    <w:semiHidden/>
    <w:unhideWhenUsed/>
    <w:qFormat/>
    <w:uiPriority w:val="99"/>
    <w:rPr>
      <w:rFonts w:ascii="宋体"/>
      <w:sz w:val="18"/>
      <w:szCs w:val="18"/>
    </w:rPr>
  </w:style>
  <w:style w:type="paragraph" w:styleId="15">
    <w:name w:val="annotation text"/>
    <w:basedOn w:val="1"/>
    <w:link w:val="56"/>
    <w:unhideWhenUsed/>
    <w:qFormat/>
    <w:uiPriority w:val="0"/>
    <w:pPr>
      <w:jc w:val="left"/>
    </w:pPr>
  </w:style>
  <w:style w:type="paragraph" w:styleId="16">
    <w:name w:val="Body Text"/>
    <w:basedOn w:val="1"/>
    <w:link w:val="97"/>
    <w:qFormat/>
    <w:uiPriority w:val="0"/>
    <w:pPr>
      <w:spacing w:line="240" w:lineRule="auto"/>
    </w:pPr>
    <w:rPr>
      <w:rFonts w:ascii="Arial" w:hAnsi="Arial" w:eastAsia="Times New Roman"/>
      <w:sz w:val="20"/>
    </w:rPr>
  </w:style>
  <w:style w:type="paragraph" w:styleId="17">
    <w:name w:val="List 2"/>
    <w:basedOn w:val="1"/>
    <w:semiHidden/>
    <w:unhideWhenUsed/>
    <w:qFormat/>
    <w:uiPriority w:val="99"/>
    <w:pPr>
      <w:ind w:left="100" w:leftChars="200" w:hanging="200" w:hangingChars="200"/>
      <w:contextualSpacing/>
    </w:pPr>
  </w:style>
  <w:style w:type="paragraph" w:styleId="18">
    <w:name w:val="List Bullet 2"/>
    <w:basedOn w:val="13"/>
    <w:qFormat/>
    <w:uiPriority w:val="0"/>
    <w:pPr>
      <w:numPr>
        <w:ilvl w:val="0"/>
        <w:numId w:val="1"/>
      </w:numPr>
      <w:tabs>
        <w:tab w:val="left" w:pos="360"/>
      </w:tabs>
      <w:spacing w:line="240" w:lineRule="auto"/>
      <w:ind w:left="360"/>
      <w:contextualSpacing w:val="0"/>
    </w:pPr>
    <w:rPr>
      <w:rFonts w:ascii="Arial" w:hAnsi="Arial"/>
      <w:sz w:val="20"/>
      <w:lang w:eastAsia="ja-JP"/>
    </w:rPr>
  </w:style>
  <w:style w:type="paragraph" w:styleId="19">
    <w:name w:val="Balloon Text"/>
    <w:basedOn w:val="1"/>
    <w:link w:val="50"/>
    <w:semiHidden/>
    <w:unhideWhenUsed/>
    <w:qFormat/>
    <w:uiPriority w:val="99"/>
    <w:pPr>
      <w:spacing w:after="0" w:line="240" w:lineRule="auto"/>
    </w:pPr>
    <w:rPr>
      <w:rFonts w:ascii="Lucida Grande" w:hAnsi="Lucida Grande"/>
      <w:sz w:val="18"/>
      <w:szCs w:val="18"/>
    </w:rPr>
  </w:style>
  <w:style w:type="paragraph" w:styleId="20">
    <w:name w:val="footer"/>
    <w:basedOn w:val="21"/>
    <w:link w:val="47"/>
    <w:qFormat/>
    <w:uiPriority w:val="0"/>
    <w:pPr>
      <w:widowControl w:val="0"/>
      <w:pBdr>
        <w:bottom w:val="none" w:color="auto" w:sz="0" w:space="0"/>
      </w:pBdr>
      <w:tabs>
        <w:tab w:val="center" w:pos="4320"/>
        <w:tab w:val="right" w:pos="8640"/>
      </w:tabs>
      <w:snapToGrid/>
      <w:spacing w:after="0" w:line="288" w:lineRule="auto"/>
    </w:pPr>
    <w:rPr>
      <w:rFonts w:ascii="Arial" w:hAnsi="Arial"/>
      <w:b/>
      <w:bCs/>
      <w:i/>
      <w:iCs/>
      <w:lang w:val="zh-CN"/>
    </w:rPr>
  </w:style>
  <w:style w:type="paragraph" w:styleId="21">
    <w:name w:val="header"/>
    <w:basedOn w:val="1"/>
    <w:link w:val="49"/>
    <w:unhideWhenUsed/>
    <w:qFormat/>
    <w:uiPriority w:val="0"/>
    <w:pPr>
      <w:pBdr>
        <w:bottom w:val="single" w:color="auto" w:sz="6" w:space="1"/>
      </w:pBdr>
      <w:tabs>
        <w:tab w:val="center" w:pos="4320"/>
        <w:tab w:val="right" w:pos="8640"/>
      </w:tabs>
      <w:snapToGrid w:val="0"/>
      <w:spacing w:line="240" w:lineRule="auto"/>
      <w:jc w:val="center"/>
    </w:pPr>
    <w:rPr>
      <w:sz w:val="18"/>
      <w:szCs w:val="18"/>
    </w:rPr>
  </w:style>
  <w:style w:type="paragraph" w:styleId="22">
    <w:name w:val="toc 1"/>
    <w:basedOn w:val="1"/>
    <w:next w:val="1"/>
    <w:unhideWhenUsed/>
    <w:qFormat/>
    <w:uiPriority w:val="39"/>
  </w:style>
  <w:style w:type="paragraph" w:styleId="23">
    <w:name w:val="List"/>
    <w:basedOn w:val="1"/>
    <w:semiHidden/>
    <w:unhideWhenUsed/>
    <w:qFormat/>
    <w:uiPriority w:val="99"/>
    <w:pPr>
      <w:ind w:left="200" w:hanging="200" w:hangingChars="200"/>
      <w:contextualSpacing/>
    </w:pPr>
  </w:style>
  <w:style w:type="paragraph" w:styleId="24">
    <w:name w:val="List 4"/>
    <w:basedOn w:val="1"/>
    <w:semiHidden/>
    <w:unhideWhenUsed/>
    <w:qFormat/>
    <w:uiPriority w:val="99"/>
    <w:pPr>
      <w:ind w:left="1440" w:hanging="360"/>
      <w:contextualSpacing/>
    </w:pPr>
  </w:style>
  <w:style w:type="paragraph" w:styleId="25">
    <w:name w:val="Normal (Web)"/>
    <w:basedOn w:val="1"/>
    <w:unhideWhenUsed/>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6">
    <w:name w:val="annotation subject"/>
    <w:basedOn w:val="15"/>
    <w:next w:val="15"/>
    <w:link w:val="57"/>
    <w:semiHidden/>
    <w:unhideWhenUsed/>
    <w:qFormat/>
    <w:uiPriority w:val="99"/>
    <w:rPr>
      <w:b/>
      <w:bCs/>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Medium Grid 1 Accent 1"/>
    <w:basedOn w:val="27"/>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0">
    <w:name w:val="Medium Grid 3 Accent 1"/>
    <w:basedOn w:val="27"/>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31">
    <w:name w:val="Medium Grid 3 Accent 3"/>
    <w:basedOn w:val="27"/>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33">
    <w:name w:val="page number"/>
    <w:basedOn w:val="32"/>
    <w:qFormat/>
    <w:uiPriority w:val="0"/>
  </w:style>
  <w:style w:type="character" w:styleId="34">
    <w:name w:val="Emphasis"/>
    <w:qFormat/>
    <w:uiPriority w:val="20"/>
    <w:rPr>
      <w:color w:val="CC0000"/>
    </w:rPr>
  </w:style>
  <w:style w:type="character" w:styleId="35">
    <w:name w:val="Hyperlink"/>
    <w:qFormat/>
    <w:uiPriority w:val="99"/>
    <w:rPr>
      <w:color w:val="0000FF"/>
      <w:u w:val="single"/>
    </w:rPr>
  </w:style>
  <w:style w:type="character" w:styleId="36">
    <w:name w:val="annotation reference"/>
    <w:unhideWhenUsed/>
    <w:qFormat/>
    <w:uiPriority w:val="0"/>
    <w:rPr>
      <w:sz w:val="21"/>
      <w:szCs w:val="21"/>
    </w:rPr>
  </w:style>
  <w:style w:type="character" w:customStyle="1" w:styleId="37">
    <w:name w:val="Heading 1 Char"/>
    <w:link w:val="2"/>
    <w:qFormat/>
    <w:uiPriority w:val="9"/>
    <w:rPr>
      <w:rFonts w:ascii="Arial" w:hAnsi="Arial"/>
      <w:sz w:val="36"/>
      <w:szCs w:val="36"/>
      <w:lang w:val="en-GB" w:bidi="ar-SA"/>
    </w:rPr>
  </w:style>
  <w:style w:type="character" w:customStyle="1" w:styleId="38">
    <w:name w:val="Heading 2 Char"/>
    <w:link w:val="3"/>
    <w:qFormat/>
    <w:uiPriority w:val="0"/>
    <w:rPr>
      <w:rFonts w:ascii="Arial" w:hAnsi="Arial"/>
      <w:sz w:val="32"/>
      <w:szCs w:val="32"/>
      <w:lang w:val="en-GB" w:eastAsia="zh-CN"/>
    </w:rPr>
  </w:style>
  <w:style w:type="character" w:customStyle="1" w:styleId="39">
    <w:name w:val="Heading 3 Char"/>
    <w:link w:val="4"/>
    <w:qFormat/>
    <w:uiPriority w:val="0"/>
    <w:rPr>
      <w:rFonts w:ascii="Arial" w:hAnsi="Arial"/>
      <w:sz w:val="28"/>
      <w:szCs w:val="28"/>
      <w:lang w:val="en-GB" w:eastAsia="zh-CN"/>
    </w:rPr>
  </w:style>
  <w:style w:type="character" w:customStyle="1" w:styleId="40">
    <w:name w:val="Heading 4 Char"/>
    <w:link w:val="5"/>
    <w:qFormat/>
    <w:uiPriority w:val="9"/>
    <w:rPr>
      <w:rFonts w:ascii="Arial" w:hAnsi="Arial"/>
      <w:lang w:val="en-GB" w:eastAsia="zh-CN"/>
    </w:rPr>
  </w:style>
  <w:style w:type="character" w:customStyle="1" w:styleId="41">
    <w:name w:val="Heading 5 Char"/>
    <w:link w:val="6"/>
    <w:qFormat/>
    <w:uiPriority w:val="0"/>
    <w:rPr>
      <w:rFonts w:ascii="Arial" w:hAnsi="Arial"/>
      <w:sz w:val="22"/>
      <w:szCs w:val="22"/>
      <w:lang w:val="en-GB" w:eastAsia="zh-CN"/>
    </w:rPr>
  </w:style>
  <w:style w:type="character" w:customStyle="1" w:styleId="42">
    <w:name w:val="Heading 6 Char"/>
    <w:link w:val="7"/>
    <w:qFormat/>
    <w:uiPriority w:val="0"/>
    <w:rPr>
      <w:rFonts w:ascii="Arial" w:hAnsi="Arial"/>
      <w:sz w:val="22"/>
      <w:lang w:val="en-GB" w:eastAsia="zh-CN"/>
    </w:rPr>
  </w:style>
  <w:style w:type="character" w:customStyle="1" w:styleId="43">
    <w:name w:val="Heading 7 Char"/>
    <w:link w:val="8"/>
    <w:qFormat/>
    <w:uiPriority w:val="0"/>
    <w:rPr>
      <w:rFonts w:ascii="Arial" w:hAnsi="Arial"/>
      <w:sz w:val="22"/>
      <w:lang w:val="en-GB" w:eastAsia="zh-CN"/>
    </w:rPr>
  </w:style>
  <w:style w:type="character" w:customStyle="1" w:styleId="44">
    <w:name w:val="Heading 8 Char"/>
    <w:link w:val="9"/>
    <w:qFormat/>
    <w:uiPriority w:val="0"/>
    <w:rPr>
      <w:rFonts w:ascii="Arial" w:hAnsi="Arial"/>
      <w:sz w:val="22"/>
      <w:lang w:val="en-GB" w:eastAsia="zh-CN"/>
    </w:rPr>
  </w:style>
  <w:style w:type="character" w:customStyle="1" w:styleId="45">
    <w:name w:val="Heading 9 Char"/>
    <w:link w:val="10"/>
    <w:qFormat/>
    <w:uiPriority w:val="0"/>
    <w:rPr>
      <w:rFonts w:ascii="Arial" w:hAnsi="Arial"/>
      <w:sz w:val="22"/>
      <w:lang w:val="en-GB" w:eastAsia="zh-CN"/>
    </w:rPr>
  </w:style>
  <w:style w:type="paragraph" w:customStyle="1" w:styleId="46">
    <w:name w:val="3GPP_Header"/>
    <w:basedOn w:val="1"/>
    <w:link w:val="48"/>
    <w:qFormat/>
    <w:uiPriority w:val="0"/>
    <w:pPr>
      <w:tabs>
        <w:tab w:val="left" w:pos="1701"/>
        <w:tab w:val="right" w:pos="9639"/>
      </w:tabs>
      <w:spacing w:after="240"/>
    </w:pPr>
    <w:rPr>
      <w:b/>
      <w:sz w:val="20"/>
    </w:rPr>
  </w:style>
  <w:style w:type="character" w:customStyle="1" w:styleId="47">
    <w:name w:val="Footer Char"/>
    <w:link w:val="20"/>
    <w:qFormat/>
    <w:uiPriority w:val="0"/>
    <w:rPr>
      <w:rFonts w:ascii="Arial" w:hAnsi="Arial" w:eastAsia="宋体" w:cs="Arial"/>
      <w:b/>
      <w:bCs/>
      <w:i/>
      <w:iCs/>
      <w:kern w:val="0"/>
      <w:sz w:val="18"/>
      <w:szCs w:val="18"/>
    </w:rPr>
  </w:style>
  <w:style w:type="character" w:customStyle="1" w:styleId="48">
    <w:name w:val="3GPP_Header Char"/>
    <w:link w:val="46"/>
    <w:qFormat/>
    <w:uiPriority w:val="0"/>
    <w:rPr>
      <w:rFonts w:ascii="Times New Roman" w:hAnsi="Times New Roman" w:eastAsia="宋体" w:cs="Times New Roman"/>
      <w:b/>
      <w:kern w:val="0"/>
      <w:szCs w:val="20"/>
      <w:lang w:val="en-GB"/>
    </w:rPr>
  </w:style>
  <w:style w:type="character" w:customStyle="1" w:styleId="49">
    <w:name w:val="Header Char"/>
    <w:link w:val="21"/>
    <w:qFormat/>
    <w:uiPriority w:val="0"/>
    <w:rPr>
      <w:rFonts w:ascii="Times New Roman" w:hAnsi="Times New Roman" w:eastAsia="宋体" w:cs="Times New Roman"/>
      <w:kern w:val="0"/>
      <w:sz w:val="18"/>
      <w:szCs w:val="18"/>
      <w:lang w:val="en-GB"/>
    </w:rPr>
  </w:style>
  <w:style w:type="character" w:customStyle="1" w:styleId="50">
    <w:name w:val="Balloon Text Char"/>
    <w:link w:val="19"/>
    <w:semiHidden/>
    <w:qFormat/>
    <w:uiPriority w:val="99"/>
    <w:rPr>
      <w:rFonts w:ascii="Lucida Grande" w:hAnsi="Lucida Grande" w:eastAsia="宋体" w:cs="Lucida Grande"/>
      <w:kern w:val="0"/>
      <w:sz w:val="18"/>
      <w:szCs w:val="18"/>
      <w:lang w:val="en-GB"/>
    </w:rPr>
  </w:style>
  <w:style w:type="paragraph" w:customStyle="1" w:styleId="51">
    <w:name w:val="中等深浅网格 1 - 强调文字颜色 21"/>
    <w:basedOn w:val="1"/>
    <w:qFormat/>
    <w:uiPriority w:val="34"/>
    <w:pPr>
      <w:ind w:firstLine="420" w:firstLineChars="200"/>
    </w:pPr>
  </w:style>
  <w:style w:type="character" w:customStyle="1" w:styleId="52">
    <w:name w:val="Document Map Char"/>
    <w:link w:val="14"/>
    <w:semiHidden/>
    <w:qFormat/>
    <w:uiPriority w:val="99"/>
    <w:rPr>
      <w:rFonts w:ascii="宋体" w:hAnsi="Times New Roman" w:eastAsia="宋体" w:cs="Times New Roman"/>
      <w:kern w:val="0"/>
      <w:sz w:val="18"/>
      <w:szCs w:val="18"/>
      <w:lang w:val="en-GB"/>
    </w:rPr>
  </w:style>
  <w:style w:type="paragraph" w:customStyle="1" w:styleId="53">
    <w:name w:val="Doc-text2"/>
    <w:basedOn w:val="1"/>
    <w:link w:val="54"/>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4">
    <w:name w:val="Doc-text2 Char"/>
    <w:link w:val="53"/>
    <w:qFormat/>
    <w:uiPriority w:val="0"/>
    <w:rPr>
      <w:rFonts w:ascii="Arial" w:hAnsi="Arial" w:eastAsia="MS Mincho" w:cs="Times New Roman"/>
      <w:kern w:val="0"/>
      <w:sz w:val="20"/>
      <w:lang w:val="en-GB" w:eastAsia="en-GB"/>
    </w:rPr>
  </w:style>
  <w:style w:type="paragraph" w:customStyle="1" w:styleId="55">
    <w:name w:val="中等深浅列表 2 - 强调文字颜色 21"/>
    <w:hidden/>
    <w:semiHidden/>
    <w:qFormat/>
    <w:uiPriority w:val="99"/>
    <w:rPr>
      <w:rFonts w:ascii="Times New Roman" w:hAnsi="Times New Roman" w:eastAsia="宋体" w:cs="Times New Roman"/>
      <w:sz w:val="22"/>
      <w:lang w:val="en-GB" w:eastAsia="zh-CN" w:bidi="ar-SA"/>
    </w:rPr>
  </w:style>
  <w:style w:type="character" w:customStyle="1" w:styleId="56">
    <w:name w:val="Comment Text Char"/>
    <w:link w:val="15"/>
    <w:qFormat/>
    <w:uiPriority w:val="0"/>
    <w:rPr>
      <w:rFonts w:ascii="Times New Roman" w:hAnsi="Times New Roman"/>
      <w:sz w:val="22"/>
      <w:lang w:val="en-GB"/>
    </w:rPr>
  </w:style>
  <w:style w:type="character" w:customStyle="1" w:styleId="57">
    <w:name w:val="Comment Subject Char"/>
    <w:link w:val="26"/>
    <w:semiHidden/>
    <w:qFormat/>
    <w:uiPriority w:val="99"/>
    <w:rPr>
      <w:rFonts w:ascii="Times New Roman" w:hAnsi="Times New Roman"/>
      <w:b/>
      <w:bCs/>
      <w:sz w:val="22"/>
      <w:lang w:val="en-GB"/>
    </w:rPr>
  </w:style>
  <w:style w:type="paragraph" w:customStyle="1" w:styleId="58">
    <w:name w:val="TAC"/>
    <w:basedOn w:val="59"/>
    <w:link w:val="62"/>
    <w:qFormat/>
    <w:uiPriority w:val="0"/>
    <w:pPr>
      <w:jc w:val="center"/>
    </w:pPr>
  </w:style>
  <w:style w:type="paragraph" w:customStyle="1" w:styleId="59">
    <w:name w:val="TAL"/>
    <w:basedOn w:val="1"/>
    <w:link w:val="61"/>
    <w:qFormat/>
    <w:uiPriority w:val="0"/>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customStyle="1" w:styleId="60">
    <w:name w:val="TAR"/>
    <w:basedOn w:val="59"/>
    <w:qFormat/>
    <w:uiPriority w:val="0"/>
    <w:pPr>
      <w:jc w:val="right"/>
    </w:pPr>
  </w:style>
  <w:style w:type="character" w:customStyle="1" w:styleId="61">
    <w:name w:val="TAL Char"/>
    <w:link w:val="59"/>
    <w:qFormat/>
    <w:uiPriority w:val="0"/>
    <w:rPr>
      <w:rFonts w:ascii="Arial" w:hAnsi="Arial" w:eastAsia="MS Mincho"/>
      <w:sz w:val="18"/>
      <w:lang w:val="en-GB" w:eastAsia="en-US"/>
    </w:rPr>
  </w:style>
  <w:style w:type="character" w:customStyle="1" w:styleId="62">
    <w:name w:val="TAC Char"/>
    <w:link w:val="58"/>
    <w:qFormat/>
    <w:uiPriority w:val="0"/>
    <w:rPr>
      <w:rFonts w:ascii="Arial" w:hAnsi="Arial" w:eastAsia="MS Mincho"/>
      <w:sz w:val="18"/>
      <w:lang w:val="en-GB" w:eastAsia="en-US"/>
    </w:rPr>
  </w:style>
  <w:style w:type="paragraph" w:customStyle="1" w:styleId="63">
    <w:name w:val="Doc-title"/>
    <w:basedOn w:val="1"/>
    <w:next w:val="53"/>
    <w:link w:val="64"/>
    <w:qFormat/>
    <w:uiPriority w:val="0"/>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customStyle="1" w:styleId="64">
    <w:name w:val="Doc-title Char"/>
    <w:link w:val="63"/>
    <w:qFormat/>
    <w:uiPriority w:val="0"/>
    <w:rPr>
      <w:rFonts w:ascii="Arial" w:hAnsi="Arial" w:eastAsia="MS Mincho"/>
      <w:szCs w:val="24"/>
      <w:lang w:val="en-GB" w:eastAsia="en-GB"/>
    </w:rPr>
  </w:style>
  <w:style w:type="paragraph" w:customStyle="1" w:styleId="65">
    <w:name w:val="Proposal"/>
    <w:basedOn w:val="1"/>
    <w:link w:val="95"/>
    <w:qFormat/>
    <w:uiPriority w:val="0"/>
    <w:pPr>
      <w:tabs>
        <w:tab w:val="left" w:pos="1701"/>
      </w:tabs>
      <w:spacing w:line="240" w:lineRule="auto"/>
      <w:ind w:left="1287" w:hanging="360"/>
    </w:pPr>
    <w:rPr>
      <w:rFonts w:ascii="Arial" w:hAnsi="Arial"/>
      <w:b/>
      <w:bCs/>
      <w:sz w:val="20"/>
    </w:rPr>
  </w:style>
  <w:style w:type="paragraph" w:customStyle="1" w:styleId="66">
    <w:name w:val="Agreement"/>
    <w:basedOn w:val="1"/>
    <w:qFormat/>
    <w:uiPriority w:val="0"/>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7">
    <w:name w:val="修订1"/>
    <w:hidden/>
    <w:semiHidden/>
    <w:qFormat/>
    <w:uiPriority w:val="99"/>
    <w:rPr>
      <w:rFonts w:ascii="Times New Roman" w:hAnsi="Times New Roman" w:eastAsia="宋体" w:cs="Times New Roman"/>
      <w:sz w:val="22"/>
      <w:lang w:val="en-GB" w:eastAsia="zh-CN" w:bidi="ar-SA"/>
    </w:rPr>
  </w:style>
  <w:style w:type="paragraph" w:customStyle="1" w:styleId="68">
    <w:name w:val="B1"/>
    <w:basedOn w:val="23"/>
    <w:link w:val="70"/>
    <w:qFormat/>
    <w:uiPriority w:val="0"/>
    <w:pPr>
      <w:spacing w:after="180" w:line="240" w:lineRule="auto"/>
      <w:ind w:left="568" w:hanging="284" w:firstLineChars="0"/>
      <w:contextualSpacing w:val="0"/>
      <w:jc w:val="left"/>
    </w:pPr>
    <w:rPr>
      <w:rFonts w:eastAsia="Times New Roman"/>
      <w:sz w:val="20"/>
      <w:lang w:val="zh-CN"/>
    </w:rPr>
  </w:style>
  <w:style w:type="paragraph" w:customStyle="1" w:styleId="69">
    <w:name w:val="Guidance"/>
    <w:basedOn w:val="1"/>
    <w:link w:val="73"/>
    <w:qFormat/>
    <w:uiPriority w:val="0"/>
    <w:pPr>
      <w:spacing w:after="180" w:line="240" w:lineRule="auto"/>
      <w:jc w:val="left"/>
    </w:pPr>
    <w:rPr>
      <w:rFonts w:eastAsia="Times New Roman"/>
      <w:i/>
      <w:color w:val="0000FF"/>
      <w:sz w:val="20"/>
      <w:lang w:eastAsia="ja-JP"/>
    </w:rPr>
  </w:style>
  <w:style w:type="character" w:customStyle="1" w:styleId="70">
    <w:name w:val="B1 Zchn"/>
    <w:link w:val="68"/>
    <w:qFormat/>
    <w:locked/>
    <w:uiPriority w:val="0"/>
    <w:rPr>
      <w:rFonts w:ascii="Times New Roman" w:hAnsi="Times New Roman" w:eastAsia="Times New Roman"/>
      <w:lang w:val="zh-CN" w:eastAsia="zh-CN"/>
    </w:rPr>
  </w:style>
  <w:style w:type="paragraph" w:customStyle="1" w:styleId="71">
    <w:name w:val="NO"/>
    <w:basedOn w:val="1"/>
    <w:link w:val="72"/>
    <w:qFormat/>
    <w:uiPriority w:val="0"/>
    <w:pPr>
      <w:keepLines/>
      <w:spacing w:after="180" w:line="240" w:lineRule="auto"/>
      <w:ind w:left="1135" w:hanging="851"/>
      <w:jc w:val="left"/>
    </w:pPr>
    <w:rPr>
      <w:sz w:val="20"/>
      <w:lang w:eastAsia="ja-JP"/>
    </w:rPr>
  </w:style>
  <w:style w:type="character" w:customStyle="1" w:styleId="72">
    <w:name w:val="NO Zchn"/>
    <w:link w:val="71"/>
    <w:qFormat/>
    <w:uiPriority w:val="0"/>
    <w:rPr>
      <w:rFonts w:ascii="Times New Roman" w:hAnsi="Times New Roman" w:eastAsia="宋体"/>
      <w:lang w:val="en-GB" w:eastAsia="ja-JP"/>
    </w:rPr>
  </w:style>
  <w:style w:type="character" w:customStyle="1" w:styleId="73">
    <w:name w:val="Guidance Char"/>
    <w:link w:val="69"/>
    <w:qFormat/>
    <w:uiPriority w:val="0"/>
    <w:rPr>
      <w:rFonts w:ascii="Times New Roman" w:hAnsi="Times New Roman" w:eastAsia="Times New Roman"/>
      <w:i/>
      <w:color w:val="0000FF"/>
      <w:lang w:val="en-GB" w:eastAsia="ja-JP"/>
    </w:rPr>
  </w:style>
  <w:style w:type="paragraph" w:customStyle="1" w:styleId="74">
    <w:name w:val="TF"/>
    <w:basedOn w:val="75"/>
    <w:link w:val="76"/>
    <w:qFormat/>
    <w:uiPriority w:val="0"/>
    <w:pPr>
      <w:keepNext w:val="0"/>
      <w:spacing w:before="0" w:after="240"/>
    </w:pPr>
  </w:style>
  <w:style w:type="paragraph" w:customStyle="1" w:styleId="75">
    <w:name w:val="TH"/>
    <w:basedOn w:val="1"/>
    <w:link w:val="77"/>
    <w:qFormat/>
    <w:uiPriority w:val="0"/>
    <w:pPr>
      <w:keepNext/>
      <w:keepLines/>
      <w:spacing w:before="60" w:after="180" w:line="240" w:lineRule="auto"/>
      <w:jc w:val="center"/>
    </w:pPr>
    <w:rPr>
      <w:rFonts w:ascii="Arial" w:hAnsi="Arial"/>
      <w:b/>
      <w:bCs/>
      <w:sz w:val="20"/>
      <w:lang w:eastAsia="ja-JP"/>
    </w:rPr>
  </w:style>
  <w:style w:type="character" w:customStyle="1" w:styleId="76">
    <w:name w:val="TF Char"/>
    <w:link w:val="74"/>
    <w:qFormat/>
    <w:uiPriority w:val="0"/>
    <w:rPr>
      <w:rFonts w:ascii="Arial" w:hAnsi="Arial" w:eastAsia="宋体" w:cs="Arial"/>
      <w:b/>
      <w:bCs/>
      <w:lang w:val="en-GB" w:eastAsia="ja-JP"/>
    </w:rPr>
  </w:style>
  <w:style w:type="character" w:customStyle="1" w:styleId="77">
    <w:name w:val="TH Char"/>
    <w:link w:val="75"/>
    <w:qFormat/>
    <w:uiPriority w:val="0"/>
    <w:rPr>
      <w:rFonts w:ascii="Arial" w:hAnsi="Arial" w:eastAsia="宋体" w:cs="Arial"/>
      <w:b/>
      <w:bCs/>
      <w:lang w:val="en-GB" w:eastAsia="ja-JP"/>
    </w:rPr>
  </w:style>
  <w:style w:type="paragraph" w:customStyle="1" w:styleId="78">
    <w:name w:val="PL"/>
    <w:link w:val="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79">
    <w:name w:val="PL Char"/>
    <w:link w:val="78"/>
    <w:qFormat/>
    <w:uiPriority w:val="0"/>
    <w:rPr>
      <w:rFonts w:ascii="Courier New" w:hAnsi="Courier New" w:eastAsia="Times New Roman"/>
      <w:sz w:val="16"/>
      <w:lang w:bidi="ar-SA"/>
    </w:rPr>
  </w:style>
  <w:style w:type="paragraph" w:customStyle="1" w:styleId="80">
    <w:name w:val="B2"/>
    <w:basedOn w:val="17"/>
    <w:link w:val="81"/>
    <w:qFormat/>
    <w:uiPriority w:val="0"/>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customStyle="1" w:styleId="81">
    <w:name w:val="B2 Char"/>
    <w:link w:val="80"/>
    <w:qFormat/>
    <w:uiPriority w:val="0"/>
    <w:rPr>
      <w:rFonts w:ascii="Times New Roman" w:hAnsi="Times New Roman" w:eastAsia="MS Mincho"/>
      <w:lang w:val="en-GB" w:eastAsia="en-US"/>
    </w:rPr>
  </w:style>
  <w:style w:type="character" w:customStyle="1" w:styleId="82">
    <w:name w:val="B1 Char"/>
    <w:qFormat/>
    <w:uiPriority w:val="0"/>
    <w:rPr>
      <w:rFonts w:eastAsia="MS Mincho"/>
      <w:lang w:val="en-GB" w:eastAsia="en-US" w:bidi="ar-SA"/>
    </w:rPr>
  </w:style>
  <w:style w:type="character" w:customStyle="1" w:styleId="83">
    <w:name w:val="列出段落 Char1"/>
    <w:qFormat/>
    <w:locked/>
    <w:uiPriority w:val="34"/>
    <w:rPr>
      <w:rFonts w:eastAsia="宋体"/>
      <w:lang w:val="en-GB" w:eastAsia="ja-JP"/>
    </w:rPr>
  </w:style>
  <w:style w:type="character" w:customStyle="1" w:styleId="84">
    <w:name w:val="TF Zchn"/>
    <w:qFormat/>
    <w:uiPriority w:val="0"/>
    <w:rPr>
      <w:rFonts w:ascii="Arial" w:hAnsi="Arial" w:cs="Times New Roman"/>
      <w:b/>
      <w:bCs/>
      <w:kern w:val="0"/>
      <w:sz w:val="20"/>
      <w:szCs w:val="20"/>
      <w:lang w:val="en-GB" w:eastAsia="zh-CN"/>
    </w:rPr>
  </w:style>
  <w:style w:type="character" w:customStyle="1" w:styleId="85">
    <w:name w:val="op_dict_text22"/>
    <w:qFormat/>
    <w:uiPriority w:val="0"/>
  </w:style>
  <w:style w:type="character" w:customStyle="1" w:styleId="86">
    <w:name w:val="apple-converted-space"/>
    <w:qFormat/>
    <w:uiPriority w:val="0"/>
  </w:style>
  <w:style w:type="paragraph" w:customStyle="1" w:styleId="87">
    <w:name w:val="CR Cover Page"/>
    <w:link w:val="88"/>
    <w:qFormat/>
    <w:uiPriority w:val="0"/>
    <w:pPr>
      <w:spacing w:after="120"/>
    </w:pPr>
    <w:rPr>
      <w:rFonts w:ascii="Arial" w:hAnsi="Arial" w:eastAsia="宋体" w:cs="Times New Roman"/>
      <w:lang w:val="en-GB" w:eastAsia="en-US" w:bidi="ar-SA"/>
    </w:rPr>
  </w:style>
  <w:style w:type="character" w:customStyle="1" w:styleId="88">
    <w:name w:val="CR Cover Page Zchn"/>
    <w:link w:val="87"/>
    <w:qFormat/>
    <w:uiPriority w:val="0"/>
    <w:rPr>
      <w:rFonts w:ascii="Arial" w:hAnsi="Arial"/>
      <w:lang w:val="en-GB" w:eastAsia="en-US"/>
    </w:rPr>
  </w:style>
  <w:style w:type="character" w:customStyle="1" w:styleId="89">
    <w:name w:val="TAL Car"/>
    <w:qFormat/>
    <w:locked/>
    <w:uiPriority w:val="0"/>
    <w:rPr>
      <w:rFonts w:ascii="Arial" w:hAnsi="Arial" w:eastAsia="Times New Roman" w:cs="Arial"/>
      <w:sz w:val="18"/>
      <w:lang w:val="zh-CN" w:eastAsia="zh-CN"/>
    </w:rPr>
  </w:style>
  <w:style w:type="character" w:customStyle="1" w:styleId="90">
    <w:name w:val="B1 Char1"/>
    <w:qFormat/>
    <w:locked/>
    <w:uiPriority w:val="0"/>
    <w:rPr>
      <w:rFonts w:ascii="Times New Roman" w:hAnsi="Times New Roman" w:eastAsia="Times New Roman"/>
      <w:lang w:val="zh-CN" w:eastAsia="zh-CN"/>
    </w:rPr>
  </w:style>
  <w:style w:type="paragraph" w:customStyle="1" w:styleId="91">
    <w:name w:val="EmailDiscussion"/>
    <w:basedOn w:val="1"/>
    <w:next w:val="53"/>
    <w:link w:val="92"/>
    <w:qFormat/>
    <w:uiPriority w:val="0"/>
    <w:pPr>
      <w:tabs>
        <w:tab w:val="left" w:pos="720"/>
      </w:tabs>
      <w:overflowPunct/>
      <w:autoSpaceDE/>
      <w:autoSpaceDN/>
      <w:adjustRightInd/>
      <w:spacing w:before="40" w:after="0" w:line="240" w:lineRule="auto"/>
      <w:ind w:left="720" w:hanging="720"/>
      <w:jc w:val="left"/>
      <w:textAlignment w:val="auto"/>
    </w:pPr>
    <w:rPr>
      <w:rFonts w:ascii="Arial" w:hAnsi="Arial" w:eastAsia="MS Mincho"/>
      <w:b/>
      <w:sz w:val="20"/>
      <w:szCs w:val="24"/>
      <w:lang w:eastAsia="en-GB"/>
    </w:rPr>
  </w:style>
  <w:style w:type="character" w:customStyle="1" w:styleId="92">
    <w:name w:val="EmailDiscussion Char"/>
    <w:link w:val="91"/>
    <w:qFormat/>
    <w:uiPriority w:val="0"/>
    <w:rPr>
      <w:rFonts w:ascii="Arial" w:hAnsi="Arial" w:eastAsia="MS Mincho"/>
      <w:b/>
      <w:szCs w:val="24"/>
      <w:lang w:val="en-GB" w:eastAsia="en-GB"/>
    </w:rPr>
  </w:style>
  <w:style w:type="paragraph" w:customStyle="1" w:styleId="93">
    <w:name w:val="EmailDiscussion2"/>
    <w:basedOn w:val="53"/>
    <w:qFormat/>
    <w:uiPriority w:val="99"/>
    <w:rPr>
      <w:szCs w:val="24"/>
    </w:rPr>
  </w:style>
  <w:style w:type="paragraph" w:customStyle="1" w:styleId="94">
    <w:name w:val="样式1"/>
    <w:basedOn w:val="65"/>
    <w:link w:val="96"/>
    <w:qFormat/>
    <w:uiPriority w:val="0"/>
    <w:pPr>
      <w:tabs>
        <w:tab w:val="left" w:pos="8818"/>
      </w:tabs>
    </w:pPr>
    <w:rPr>
      <w:rFonts w:ascii="Times New Roman" w:hAnsi="Times New Roman"/>
    </w:rPr>
  </w:style>
  <w:style w:type="character" w:customStyle="1" w:styleId="95">
    <w:name w:val="Proposal Char"/>
    <w:link w:val="65"/>
    <w:qFormat/>
    <w:uiPriority w:val="0"/>
    <w:rPr>
      <w:rFonts w:ascii="Arial" w:hAnsi="Arial"/>
      <w:b/>
      <w:bCs/>
      <w:lang w:val="en-GB" w:eastAsia="zh-CN"/>
    </w:rPr>
  </w:style>
  <w:style w:type="character" w:customStyle="1" w:styleId="96">
    <w:name w:val="样式1 Char"/>
    <w:link w:val="94"/>
    <w:qFormat/>
    <w:uiPriority w:val="0"/>
    <w:rPr>
      <w:rFonts w:ascii="Times New Roman" w:hAnsi="Times New Roman"/>
      <w:b/>
      <w:bCs/>
      <w:lang w:val="en-GB" w:eastAsia="zh-CN"/>
    </w:rPr>
  </w:style>
  <w:style w:type="character" w:customStyle="1" w:styleId="97">
    <w:name w:val="Body Text Char"/>
    <w:link w:val="16"/>
    <w:qFormat/>
    <w:uiPriority w:val="0"/>
    <w:rPr>
      <w:rFonts w:ascii="Arial" w:hAnsi="Arial" w:eastAsia="Times New Roman"/>
      <w:lang w:val="en-GB" w:eastAsia="zh-CN"/>
    </w:rPr>
  </w:style>
  <w:style w:type="character" w:customStyle="1" w:styleId="98">
    <w:name w:val="Unresolved Mention1"/>
    <w:basedOn w:val="32"/>
    <w:unhideWhenUsed/>
    <w:qFormat/>
    <w:uiPriority w:val="99"/>
    <w:rPr>
      <w:color w:val="605E5C"/>
      <w:shd w:val="clear" w:color="auto" w:fill="E1DFDD"/>
    </w:rPr>
  </w:style>
  <w:style w:type="character" w:customStyle="1" w:styleId="99">
    <w:name w:val="Mention1"/>
    <w:basedOn w:val="32"/>
    <w:unhideWhenUsed/>
    <w:qFormat/>
    <w:uiPriority w:val="99"/>
    <w:rPr>
      <w:color w:val="2B579A"/>
      <w:shd w:val="clear" w:color="auto" w:fill="E1DFDD"/>
    </w:rPr>
  </w:style>
  <w:style w:type="paragraph" w:customStyle="1" w:styleId="100">
    <w:name w:val="List Paragraph10"/>
    <w:basedOn w:val="1"/>
    <w:qFormat/>
    <w:uiPriority w:val="99"/>
    <w:pPr>
      <w:widowControl w:val="0"/>
      <w:overflowPunct/>
      <w:autoSpaceDE/>
      <w:autoSpaceDN/>
      <w:adjustRightInd/>
      <w:spacing w:after="0" w:line="240" w:lineRule="auto"/>
      <w:ind w:firstLine="420" w:firstLineChars="200"/>
      <w:textAlignment w:val="auto"/>
    </w:pPr>
    <w:rPr>
      <w:rFonts w:eastAsia="Times New Roman"/>
      <w:kern w:val="2"/>
      <w:sz w:val="21"/>
      <w:szCs w:val="24"/>
      <w:lang w:val="zh-CN"/>
    </w:rPr>
  </w:style>
  <w:style w:type="paragraph" w:styleId="101">
    <w:name w:val="List Paragraph"/>
    <w:basedOn w:val="1"/>
    <w:link w:val="129"/>
    <w:qFormat/>
    <w:uiPriority w:val="34"/>
    <w:pPr>
      <w:ind w:left="720"/>
      <w:contextualSpacing/>
    </w:pPr>
  </w:style>
  <w:style w:type="character" w:customStyle="1" w:styleId="102">
    <w:name w:val="Comments Char"/>
    <w:link w:val="103"/>
    <w:qFormat/>
    <w:locked/>
    <w:uiPriority w:val="0"/>
    <w:rPr>
      <w:rFonts w:ascii="Arial" w:hAnsi="Arial" w:eastAsia="MS Mincho" w:cs="Arial"/>
      <w:i/>
      <w:sz w:val="18"/>
      <w:szCs w:val="24"/>
    </w:rPr>
  </w:style>
  <w:style w:type="paragraph" w:customStyle="1" w:styleId="103">
    <w:name w:val="Comments"/>
    <w:basedOn w:val="1"/>
    <w:link w:val="102"/>
    <w:qFormat/>
    <w:uiPriority w:val="0"/>
    <w:pPr>
      <w:overflowPunct/>
      <w:autoSpaceDE/>
      <w:autoSpaceDN/>
      <w:adjustRightInd/>
      <w:spacing w:before="40" w:after="0" w:line="240" w:lineRule="auto"/>
      <w:jc w:val="left"/>
      <w:textAlignment w:val="auto"/>
    </w:pPr>
    <w:rPr>
      <w:rFonts w:ascii="Arial" w:hAnsi="Arial" w:eastAsia="MS Mincho" w:cs="Arial"/>
      <w:i/>
      <w:sz w:val="18"/>
      <w:szCs w:val="24"/>
      <w:lang w:val="en-US" w:eastAsia="en-US"/>
    </w:rPr>
  </w:style>
  <w:style w:type="paragraph" w:customStyle="1" w:styleId="104">
    <w:name w:val="TAH"/>
    <w:basedOn w:val="1"/>
    <w:link w:val="105"/>
    <w:qFormat/>
    <w:uiPriority w:val="0"/>
    <w:pPr>
      <w:keepNext/>
      <w:keepLines/>
      <w:spacing w:after="0" w:line="240" w:lineRule="auto"/>
      <w:jc w:val="center"/>
    </w:pPr>
    <w:rPr>
      <w:rFonts w:ascii="Arial" w:hAnsi="Arial" w:eastAsia="Times New Roman"/>
      <w:b/>
      <w:sz w:val="18"/>
      <w:lang w:eastAsia="ko-KR"/>
    </w:rPr>
  </w:style>
  <w:style w:type="character" w:customStyle="1" w:styleId="105">
    <w:name w:val="TAH Car"/>
    <w:link w:val="104"/>
    <w:qFormat/>
    <w:uiPriority w:val="0"/>
    <w:rPr>
      <w:rFonts w:ascii="Arial" w:hAnsi="Arial" w:eastAsia="Times New Roman"/>
      <w:b/>
      <w:sz w:val="18"/>
      <w:lang w:val="en-GB" w:eastAsia="ko-KR"/>
    </w:rPr>
  </w:style>
  <w:style w:type="paragraph" w:customStyle="1" w:styleId="106">
    <w:name w:val="TAN"/>
    <w:basedOn w:val="59"/>
    <w:qFormat/>
    <w:uiPriority w:val="0"/>
    <w:pPr>
      <w:ind w:left="851" w:hanging="851"/>
    </w:pPr>
    <w:rPr>
      <w:rFonts w:eastAsiaTheme="minorEastAsia"/>
    </w:rPr>
  </w:style>
  <w:style w:type="character" w:customStyle="1" w:styleId="107">
    <w:name w:val="Unresolved Mention2"/>
    <w:basedOn w:val="32"/>
    <w:semiHidden/>
    <w:unhideWhenUsed/>
    <w:qFormat/>
    <w:uiPriority w:val="99"/>
    <w:rPr>
      <w:color w:val="605E5C"/>
      <w:shd w:val="clear" w:color="auto" w:fill="E1DFDD"/>
    </w:rPr>
  </w:style>
  <w:style w:type="paragraph" w:customStyle="1" w:styleId="108">
    <w:name w:val="rtsli"/>
    <w:basedOn w:val="1"/>
    <w:qFormat/>
    <w:uiPriority w:val="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109">
    <w:name w:val="rtstxt"/>
    <w:basedOn w:val="32"/>
    <w:qFormat/>
    <w:uiPriority w:val="0"/>
  </w:style>
  <w:style w:type="paragraph" w:customStyle="1" w:styleId="110">
    <w:name w:val="Default"/>
    <w:qFormat/>
    <w:uiPriority w:val="0"/>
    <w:pPr>
      <w:autoSpaceDE w:val="0"/>
      <w:autoSpaceDN w:val="0"/>
      <w:adjustRightInd w:val="0"/>
    </w:pPr>
    <w:rPr>
      <w:rFonts w:ascii="Courier New" w:hAnsi="Courier New" w:eastAsia="宋体" w:cs="Courier New"/>
      <w:color w:val="000000"/>
      <w:sz w:val="24"/>
      <w:szCs w:val="24"/>
      <w:lang w:val="fi-FI" w:eastAsia="en-US" w:bidi="ar-SA"/>
    </w:rPr>
  </w:style>
  <w:style w:type="paragraph" w:customStyle="1" w:styleId="111">
    <w:name w:val="paragraph"/>
    <w:basedOn w:val="1"/>
    <w:qFormat/>
    <w:uiPriority w:val="0"/>
    <w:pPr>
      <w:overflowPunct/>
      <w:autoSpaceDE/>
      <w:autoSpaceDN/>
      <w:adjustRightInd/>
      <w:spacing w:before="100" w:beforeAutospacing="1" w:after="100" w:afterAutospacing="1" w:line="240" w:lineRule="auto"/>
      <w:jc w:val="left"/>
      <w:textAlignment w:val="auto"/>
    </w:pPr>
    <w:rPr>
      <w:rFonts w:ascii="Calibri" w:hAnsi="Calibri" w:cs="Calibri" w:eastAsiaTheme="minorHAnsi"/>
      <w:szCs w:val="22"/>
    </w:rPr>
  </w:style>
  <w:style w:type="character" w:customStyle="1" w:styleId="112">
    <w:name w:val="normaltextrun"/>
    <w:basedOn w:val="32"/>
    <w:qFormat/>
    <w:uiPriority w:val="0"/>
  </w:style>
  <w:style w:type="character" w:customStyle="1" w:styleId="113">
    <w:name w:val="eop"/>
    <w:basedOn w:val="32"/>
    <w:qFormat/>
    <w:uiPriority w:val="0"/>
  </w:style>
  <w:style w:type="paragraph" w:customStyle="1" w:styleId="114">
    <w:name w:val="B3"/>
    <w:basedOn w:val="11"/>
    <w:link w:val="115"/>
    <w:qFormat/>
    <w:uiPriority w:val="0"/>
    <w:pPr>
      <w:spacing w:after="180" w:line="240" w:lineRule="auto"/>
      <w:ind w:left="1135" w:hanging="284"/>
      <w:contextualSpacing w:val="0"/>
      <w:jc w:val="left"/>
    </w:pPr>
    <w:rPr>
      <w:rFonts w:eastAsia="Times New Roman"/>
      <w:sz w:val="20"/>
      <w:lang w:eastAsia="ja-JP"/>
    </w:rPr>
  </w:style>
  <w:style w:type="character" w:customStyle="1" w:styleId="115">
    <w:name w:val="B3 Char2"/>
    <w:link w:val="114"/>
    <w:qFormat/>
    <w:uiPriority w:val="0"/>
    <w:rPr>
      <w:rFonts w:ascii="Times New Roman" w:hAnsi="Times New Roman" w:eastAsia="Times New Roman"/>
      <w:lang w:val="en-GB" w:eastAsia="ja-JP"/>
    </w:rPr>
  </w:style>
  <w:style w:type="paragraph" w:customStyle="1" w:styleId="116">
    <w:name w:val="B4"/>
    <w:basedOn w:val="24"/>
    <w:link w:val="117"/>
    <w:qFormat/>
    <w:uiPriority w:val="0"/>
    <w:pPr>
      <w:spacing w:after="180" w:line="240" w:lineRule="auto"/>
      <w:ind w:left="1418" w:hanging="284"/>
      <w:contextualSpacing w:val="0"/>
      <w:jc w:val="left"/>
    </w:pPr>
    <w:rPr>
      <w:rFonts w:eastAsia="Times New Roman"/>
      <w:sz w:val="20"/>
      <w:lang w:eastAsia="ja-JP"/>
    </w:rPr>
  </w:style>
  <w:style w:type="character" w:customStyle="1" w:styleId="117">
    <w:name w:val="B4 Char"/>
    <w:link w:val="116"/>
    <w:qFormat/>
    <w:uiPriority w:val="0"/>
    <w:rPr>
      <w:rFonts w:ascii="Times New Roman" w:hAnsi="Times New Roman" w:eastAsia="Times New Roman"/>
      <w:lang w:val="en-GB" w:eastAsia="ja-JP"/>
    </w:rPr>
  </w:style>
  <w:style w:type="character" w:customStyle="1" w:styleId="118">
    <w:name w:val="Unresolved Mention3"/>
    <w:basedOn w:val="32"/>
    <w:semiHidden/>
    <w:unhideWhenUsed/>
    <w:qFormat/>
    <w:uiPriority w:val="99"/>
    <w:rPr>
      <w:color w:val="605E5C"/>
      <w:shd w:val="clear" w:color="auto" w:fill="E1DFDD"/>
    </w:rPr>
  </w:style>
  <w:style w:type="character" w:customStyle="1" w:styleId="119">
    <w:name w:val="NO Char"/>
    <w:qFormat/>
    <w:uiPriority w:val="0"/>
    <w:rPr>
      <w:rFonts w:eastAsia="Times New Roman"/>
      <w:lang w:val="en-GB" w:eastAsia="ja-JP"/>
    </w:rPr>
  </w:style>
  <w:style w:type="paragraph" w:customStyle="1" w:styleId="120">
    <w:name w:val="Bold Comments"/>
    <w:basedOn w:val="1"/>
    <w:link w:val="121"/>
    <w:qFormat/>
    <w:uiPriority w:val="0"/>
    <w:pPr>
      <w:overflowPunct/>
      <w:autoSpaceDE/>
      <w:autoSpaceDN/>
      <w:adjustRightInd/>
      <w:spacing w:before="240" w:after="60" w:line="240" w:lineRule="auto"/>
      <w:jc w:val="left"/>
      <w:textAlignment w:val="auto"/>
      <w:outlineLvl w:val="8"/>
    </w:pPr>
    <w:rPr>
      <w:rFonts w:ascii="Arial" w:hAnsi="Arial" w:eastAsia="MS Mincho"/>
      <w:b/>
      <w:sz w:val="20"/>
      <w:szCs w:val="24"/>
      <w:lang w:val="zh-CN"/>
    </w:rPr>
  </w:style>
  <w:style w:type="character" w:customStyle="1" w:styleId="121">
    <w:name w:val="Bold Comments Char"/>
    <w:link w:val="120"/>
    <w:qFormat/>
    <w:uiPriority w:val="0"/>
    <w:rPr>
      <w:rFonts w:ascii="Arial" w:hAnsi="Arial" w:eastAsia="MS Mincho"/>
      <w:b/>
      <w:szCs w:val="24"/>
      <w:lang w:val="zh-CN" w:eastAsia="zh-CN"/>
    </w:rPr>
  </w:style>
  <w:style w:type="paragraph" w:customStyle="1" w:styleId="122">
    <w:name w:val="Reference"/>
    <w:basedOn w:val="1"/>
    <w:link w:val="123"/>
    <w:qFormat/>
    <w:uiPriority w:val="0"/>
    <w:pPr>
      <w:tabs>
        <w:tab w:val="left" w:pos="720"/>
      </w:tabs>
      <w:spacing w:line="240" w:lineRule="auto"/>
      <w:ind w:left="720" w:hanging="720"/>
    </w:pPr>
    <w:rPr>
      <w:rFonts w:ascii="Arial" w:hAnsi="Arial" w:eastAsia="Times New Roman"/>
      <w:sz w:val="20"/>
    </w:rPr>
  </w:style>
  <w:style w:type="character" w:customStyle="1" w:styleId="123">
    <w:name w:val="Reference Char"/>
    <w:link w:val="122"/>
    <w:qFormat/>
    <w:locked/>
    <w:uiPriority w:val="0"/>
    <w:rPr>
      <w:rFonts w:ascii="Arial" w:hAnsi="Arial" w:eastAsia="Times New Roman"/>
      <w:lang w:val="en-GB" w:eastAsia="zh-CN"/>
    </w:rPr>
  </w:style>
  <w:style w:type="character" w:customStyle="1" w:styleId="124">
    <w:name w:val="未处理的提及1"/>
    <w:basedOn w:val="32"/>
    <w:semiHidden/>
    <w:unhideWhenUsed/>
    <w:qFormat/>
    <w:uiPriority w:val="99"/>
    <w:rPr>
      <w:color w:val="605E5C"/>
      <w:shd w:val="clear" w:color="auto" w:fill="E1DFDD"/>
    </w:rPr>
  </w:style>
  <w:style w:type="paragraph" w:customStyle="1" w:styleId="125">
    <w:name w:val="Doc-comment"/>
    <w:basedOn w:val="1"/>
    <w:qFormat/>
    <w:uiPriority w:val="0"/>
    <w:pPr>
      <w:overflowPunct/>
      <w:autoSpaceDE/>
      <w:autoSpaceDN/>
      <w:adjustRightInd/>
      <w:spacing w:after="0" w:line="240" w:lineRule="auto"/>
      <w:ind w:left="1622" w:hanging="363"/>
      <w:jc w:val="left"/>
      <w:textAlignment w:val="auto"/>
    </w:pPr>
    <w:rPr>
      <w:rFonts w:ascii="Arial" w:hAnsi="Arial" w:cs="Arial" w:eastAsiaTheme="minorHAnsi"/>
      <w:i/>
      <w:iCs/>
      <w:sz w:val="20"/>
      <w:lang w:val="en-US" w:eastAsia="en-GB"/>
    </w:rPr>
  </w:style>
  <w:style w:type="character" w:customStyle="1" w:styleId="126">
    <w:name w:val="Unresolved Mention4"/>
    <w:basedOn w:val="32"/>
    <w:semiHidden/>
    <w:unhideWhenUsed/>
    <w:qFormat/>
    <w:uiPriority w:val="99"/>
    <w:rPr>
      <w:color w:val="605E5C"/>
      <w:shd w:val="clear" w:color="auto" w:fill="E1DFDD"/>
    </w:rPr>
  </w:style>
  <w:style w:type="character" w:customStyle="1" w:styleId="127">
    <w:name w:val="Unresolved Mention5"/>
    <w:basedOn w:val="32"/>
    <w:semiHidden/>
    <w:unhideWhenUsed/>
    <w:uiPriority w:val="99"/>
    <w:rPr>
      <w:color w:val="605E5C"/>
      <w:shd w:val="clear" w:color="auto" w:fill="E1DFDD"/>
    </w:rPr>
  </w:style>
  <w:style w:type="character" w:customStyle="1" w:styleId="128">
    <w:name w:val="Unresolved Mention6"/>
    <w:basedOn w:val="32"/>
    <w:semiHidden/>
    <w:unhideWhenUsed/>
    <w:uiPriority w:val="99"/>
    <w:rPr>
      <w:color w:val="605E5C"/>
      <w:shd w:val="clear" w:color="auto" w:fill="E1DFDD"/>
    </w:rPr>
  </w:style>
  <w:style w:type="character" w:customStyle="1" w:styleId="129">
    <w:name w:val="List Paragraph Char"/>
    <w:link w:val="101"/>
    <w:qFormat/>
    <w:locked/>
    <w:uiPriority w:val="34"/>
    <w:rPr>
      <w:rFonts w:ascii="Times New Roman" w:hAnsi="Times New Roman"/>
      <w:sz w:val="22"/>
      <w:lang w:val="en-GB" w:eastAsia="zh-CN"/>
    </w:rPr>
  </w:style>
  <w:style w:type="paragraph" w:customStyle="1" w:styleId="130">
    <w:name w:val="Revision"/>
    <w:hidden/>
    <w:semiHidden/>
    <w:uiPriority w:val="99"/>
    <w:rPr>
      <w:rFonts w:ascii="Times New Roman" w:hAnsi="Times New Roman" w:eastAsia="宋体" w:cs="Times New Roman"/>
      <w:sz w:val="22"/>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736FC-70A1-49AF-8FEB-FE2C247A3FD2}">
  <ds:schemaRefs/>
</ds:datastoreItem>
</file>

<file path=customXml/itemProps3.xml><?xml version="1.0" encoding="utf-8"?>
<ds:datastoreItem xmlns:ds="http://schemas.openxmlformats.org/officeDocument/2006/customXml" ds:itemID="{945FCD48-C22D-46B3-AB68-AB764F380ABB}">
  <ds:schemaRefs/>
</ds:datastoreItem>
</file>

<file path=customXml/itemProps4.xml><?xml version="1.0" encoding="utf-8"?>
<ds:datastoreItem xmlns:ds="http://schemas.openxmlformats.org/officeDocument/2006/customXml" ds:itemID="{9F7625A4-2D6B-466E-9F19-DB993CC74DE4}">
  <ds:schemaRefs/>
</ds:datastoreItem>
</file>

<file path=customXml/itemProps5.xml><?xml version="1.0" encoding="utf-8"?>
<ds:datastoreItem xmlns:ds="http://schemas.openxmlformats.org/officeDocument/2006/customXml" ds:itemID="{E505D79B-5D8F-46C6-8B91-EC59579E62CC}">
  <ds:schemaRefs/>
</ds:datastoreItem>
</file>

<file path=docProps/app.xml><?xml version="1.0" encoding="utf-8"?>
<Properties xmlns="http://schemas.openxmlformats.org/officeDocument/2006/extended-properties" xmlns:vt="http://schemas.openxmlformats.org/officeDocument/2006/docPropsVTypes">
  <Template>Normal</Template>
  <Company>OPPO</Company>
  <Pages>15</Pages>
  <Words>4887</Words>
  <Characters>27859</Characters>
  <Lines>232</Lines>
  <Paragraphs>65</Paragraphs>
  <TotalTime>4</TotalTime>
  <ScaleCrop>false</ScaleCrop>
  <LinksUpToDate>false</LinksUpToDate>
  <CharactersWithSpaces>32681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2023-01-30T07:19:00Z</dcterms:created>
  <dc:creator>R2#108_v3</dc:creator>
  <cp:lastModifiedBy>ZTE</cp:lastModifiedBy>
  <cp:lastPrinted>2019-12-04T11:04:00Z</cp:lastPrinted>
  <dcterms:modified xsi:type="dcterms:W3CDTF">2023-02-03T02:06:13Z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ies>
</file>