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bookmarkStart w:id="6" w:name="_GoBack"/>
      <w:bookmarkEnd w:id="6"/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proofErr w:type="spellStart"/>
            <w:r>
              <w:rPr>
                <w:rFonts w:ascii="Arial" w:hAnsi="Arial" w:cs="Arial"/>
              </w:rPr>
              <w:t>NR_redcap</w:t>
            </w:r>
            <w:proofErr w:type="spellEnd"/>
            <w:r>
              <w:rPr>
                <w:rFonts w:ascii="Arial" w:hAnsi="Arial" w:cs="Arial"/>
              </w:rPr>
              <w:t>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맑은 고딕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and </w:t>
      </w:r>
      <w:proofErr w:type="spellStart"/>
      <w:r w:rsidRPr="00BD7C0F">
        <w:t>Squal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highPriorityMeasRelax</w:t>
      </w:r>
      <w:proofErr w:type="spellEnd"/>
      <w:r w:rsidRPr="00BD7C0F">
        <w:rPr>
          <w:i/>
        </w:rPr>
        <w:t xml:space="preserve">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SimSun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cell, and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  <w:iCs/>
        </w:rPr>
        <w:t>combineRelaxedMeasCondition</w:t>
      </w:r>
      <w:proofErr w:type="spellEnd"/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7" w:author="Samsung (Seungbeom)" w:date="2022-05-20T17:45:00Z"/>
        </w:rPr>
      </w:pPr>
      <w:del w:id="8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9" w:author="Samsung (Seungbeom)" w:date="2022-05-20T17:45:00Z"/>
          <w:lang w:eastAsia="ko-KR"/>
        </w:rPr>
      </w:pPr>
      <w:ins w:id="10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1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2" w:name="_Hlk87889565"/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</w:t>
      </w:r>
      <w:bookmarkEnd w:id="12"/>
      <w:r w:rsidRPr="00BD7C0F">
        <w:t xml:space="preserve">is configured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3" w:name="_Hlk92375348"/>
      <w:r w:rsidRPr="00BD7C0F">
        <w:t>if the</w:t>
      </w:r>
      <w:bookmarkEnd w:id="13"/>
      <w:r w:rsidRPr="00BD7C0F">
        <w:t xml:space="preserve"> </w:t>
      </w:r>
      <w:bookmarkStart w:id="14" w:name="_Hlk92375355"/>
      <w:r w:rsidRPr="00BD7C0F">
        <w:t>relaxed measurement criterion in clause</w:t>
      </w:r>
      <w:bookmarkEnd w:id="14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5" w:name="_Hlk94100182"/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bookmarkEnd w:id="15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6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7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18" w:author="Samsung (Seungbeom)" w:date="2022-05-23T14:14:00Z">
        <w:r w:rsidR="00AA2654">
          <w:t xml:space="preserve">4.2B.2.9, </w:t>
        </w:r>
      </w:ins>
      <w:ins w:id="19" w:author="Samsung (Seungbeom)" w:date="2022-05-23T14:15:00Z">
        <w:r w:rsidR="00AA2654">
          <w:t xml:space="preserve">4.2B.2.10, </w:t>
        </w:r>
      </w:ins>
      <w:ins w:id="20" w:author="Samsung (Seungbeom)" w:date="2022-05-23T14:17:00Z">
        <w:r w:rsidR="00AA2654">
          <w:t xml:space="preserve">and </w:t>
        </w:r>
      </w:ins>
      <w:ins w:id="21" w:author="Samsung (Seungbeom)" w:date="2022-05-23T14:15:00Z">
        <w:r w:rsidR="00AA2654">
          <w:t>4.2B.2.11</w:t>
        </w:r>
      </w:ins>
      <w:ins w:id="22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3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4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5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6" w:author="Samsung (Seungbeom)" w:date="2022-05-23T14:16:00Z">
        <w:r w:rsidR="00AA2654">
          <w:t xml:space="preserve">4.2B.2.9, 4.2B.2.10, </w:t>
        </w:r>
      </w:ins>
      <w:ins w:id="27" w:author="Samsung (Seungbeom)" w:date="2022-05-23T14:17:00Z">
        <w:r w:rsidR="00AA2654">
          <w:t xml:space="preserve">and </w:t>
        </w:r>
      </w:ins>
      <w:ins w:id="28" w:author="Samsung (Seungbeom)" w:date="2022-05-23T14:16:00Z">
        <w:r w:rsidR="00AA2654">
          <w:t>4.2B.2.11</w:t>
        </w:r>
      </w:ins>
      <w:ins w:id="29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0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1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2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3" w:author="Samsung (Seungbeom)" w:date="2022-05-23T14:17:00Z">
        <w:r w:rsidR="00AA2654">
          <w:t xml:space="preserve">4.2B.2.9, 4.2B.2.10, </w:t>
        </w:r>
      </w:ins>
      <w:ins w:id="34" w:author="Samsung (Seungbeom)" w:date="2022-05-23T14:18:00Z">
        <w:r w:rsidR="00AA2654">
          <w:t xml:space="preserve">and </w:t>
        </w:r>
      </w:ins>
      <w:ins w:id="35" w:author="Samsung (Seungbeom)" w:date="2022-05-23T14:17:00Z">
        <w:r w:rsidR="00AA2654">
          <w:t>4.2B.2.11</w:t>
        </w:r>
      </w:ins>
      <w:ins w:id="36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7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38" w:name="_Toc29245223"/>
      <w:bookmarkStart w:id="39" w:name="_Toc37298574"/>
      <w:bookmarkStart w:id="40" w:name="_Toc46502336"/>
      <w:bookmarkStart w:id="41" w:name="_Toc52749313"/>
      <w:bookmarkStart w:id="42" w:name="_Toc100784120"/>
      <w:bookmarkEnd w:id="5"/>
      <w:r w:rsidRPr="00BD7C0F">
        <w:t>5.3.1</w:t>
      </w:r>
      <w:r w:rsidRPr="00BD7C0F">
        <w:tab/>
        <w:t>Cell status and cell reservations</w:t>
      </w:r>
      <w:bookmarkEnd w:id="38"/>
      <w:bookmarkEnd w:id="39"/>
      <w:bookmarkEnd w:id="40"/>
      <w:bookmarkEnd w:id="41"/>
      <w:bookmarkEnd w:id="42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3" w:name="_Hlk506409868"/>
      <w:r w:rsidRPr="00BD7C0F">
        <w:rPr>
          <w:bCs/>
          <w:i/>
          <w:noProof/>
        </w:rPr>
        <w:t>cellReservedForOtherUse</w:t>
      </w:r>
      <w:bookmarkEnd w:id="43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돋움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돋움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 xml:space="preserve">Working assumption: A new bit, e.g.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 xml:space="preserve">-NTN, is introduced in SIB1 for NR-NTN. FFS on the expected UE behaviour upon reception of the new bit and the existing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>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4" w:author="Samsung (Seungbeom)" w:date="2022-05-20T18:06:00Z"/>
          <w:i/>
        </w:rPr>
      </w:pPr>
      <w:r w:rsidRPr="00BD7C0F">
        <w:t>-</w:t>
      </w:r>
      <w:r w:rsidRPr="00BD7C0F">
        <w:tab/>
        <w:t>If the UE is a RedCap UE, the UE shall acquire SIB1 and,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SIB1', if available</w:t>
      </w:r>
      <w:r w:rsidRPr="00BD7C0F">
        <w:rPr>
          <w:i/>
        </w:rPr>
        <w:t>.</w:t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45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a </w:t>
        </w:r>
      </w:ins>
      <w:ins w:id="46" w:author="Samsung (Seungbeom)" w:date="2022-05-20T18:07:00Z">
        <w:r>
          <w:rPr>
            <w:rFonts w:eastAsia="Times New Roman"/>
            <w:iCs/>
          </w:rPr>
          <w:t xml:space="preserve">not a </w:t>
        </w:r>
      </w:ins>
      <w:ins w:id="47" w:author="Samsung (Seungbeom)" w:date="2022-05-20T18:06:00Z">
        <w:r w:rsidRPr="00B242E2">
          <w:rPr>
            <w:rFonts w:eastAsia="Times New Roman"/>
            <w:iCs/>
          </w:rPr>
          <w:t xml:space="preserve">RedCap UE, or the UE is a RedCap UE and </w:t>
        </w:r>
        <w:proofErr w:type="spellStart"/>
        <w:r w:rsidRPr="00B242E2">
          <w:rPr>
            <w:rFonts w:eastAsia="Times New Roman"/>
            <w:i/>
            <w:iCs/>
          </w:rPr>
          <w:t>intraFreqReselectionRedCap</w:t>
        </w:r>
        <w:proofErr w:type="spellEnd"/>
        <w:r w:rsidRPr="00B242E2">
          <w:rPr>
            <w:rFonts w:eastAsia="Times New Roman"/>
            <w:iCs/>
          </w:rPr>
          <w:t xml:space="preserve"> in SIB1 is available:</w:t>
        </w:r>
      </w:ins>
    </w:p>
    <w:p w14:paraId="3199B462" w14:textId="2D46515C" w:rsidR="00B50D63" w:rsidRPr="00BD7C0F" w:rsidRDefault="00FF1463">
      <w:pPr>
        <w:pStyle w:val="B3"/>
        <w:pPrChange w:id="48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proofErr w:type="spellStart"/>
      <w:r w:rsidR="00CD6CAF" w:rsidRPr="00BD7C0F">
        <w:rPr>
          <w:i/>
        </w:rPr>
        <w:t>intraFreqReselection</w:t>
      </w:r>
      <w:proofErr w:type="spellEnd"/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49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50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51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52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53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54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</w:t>
      </w:r>
      <w:proofErr w:type="spellEnd"/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55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56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57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58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5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60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61" w:name="_Hlk81556465"/>
      <w:r w:rsidRPr="00BD7C0F">
        <w:t xml:space="preserve">to another </w:t>
      </w:r>
      <w:bookmarkEnd w:id="61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62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63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SimSun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SimSun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64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65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66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67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68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69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70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71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72" w:author="Samsung (Seungbeom)" w:date="2022-05-20T18:14:00Z">
        <w:r w:rsidR="002E5D6B">
          <w:t>; or</w:t>
        </w:r>
      </w:ins>
      <w:del w:id="73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74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SimSun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SimSun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proofErr w:type="spellStart"/>
      <w:r w:rsidRPr="00BD7C0F">
        <w:rPr>
          <w:i/>
          <w:iCs/>
        </w:rPr>
        <w:t>trackingAreaCode</w:t>
      </w:r>
      <w:proofErr w:type="spellEnd"/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proofErr w:type="spellStart"/>
      <w:r w:rsidR="009200E6" w:rsidRPr="00BD7C0F">
        <w:rPr>
          <w:rFonts w:eastAsia="Yu Mincho"/>
          <w:i/>
        </w:rPr>
        <w:t>trackingAreaList</w:t>
      </w:r>
      <w:proofErr w:type="spellEnd"/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75" w:name="_Toc29245230"/>
      <w:bookmarkStart w:id="76" w:name="_Toc37298581"/>
      <w:bookmarkStart w:id="77" w:name="_Toc46502343"/>
      <w:bookmarkStart w:id="78" w:name="_Toc52749320"/>
      <w:bookmarkStart w:id="79" w:name="_Toc100784128"/>
      <w:r w:rsidRPr="00BD7C0F">
        <w:t>7.1</w:t>
      </w:r>
      <w:r w:rsidRPr="00BD7C0F">
        <w:tab/>
        <w:t>Discontinuous Reception for paging</w:t>
      </w:r>
      <w:bookmarkEnd w:id="75"/>
      <w:bookmarkEnd w:id="76"/>
      <w:bookmarkEnd w:id="77"/>
      <w:bookmarkEnd w:id="78"/>
      <w:bookmarkEnd w:id="79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SimSun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SimSun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SimSun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80" w:name="_967898916"/>
      <w:bookmarkStart w:id="81" w:name="_967899918"/>
      <w:bookmarkStart w:id="82" w:name="_967900323"/>
      <w:bookmarkStart w:id="83" w:name="_968057577"/>
      <w:bookmarkStart w:id="84" w:name="_968059040"/>
      <w:bookmarkStart w:id="85" w:name="_968059095"/>
      <w:bookmarkStart w:id="86" w:name="_968059297"/>
      <w:bookmarkStart w:id="87" w:name="_968059420"/>
      <w:bookmarkStart w:id="88" w:name="_968059442"/>
      <w:bookmarkStart w:id="89" w:name="_968060540"/>
      <w:bookmarkStart w:id="90" w:name="_968065686"/>
      <w:bookmarkStart w:id="91" w:name="_968484165"/>
      <w:bookmarkStart w:id="92" w:name="_968484813"/>
      <w:bookmarkStart w:id="93" w:name="_968484821"/>
      <w:bookmarkStart w:id="94" w:name="_968485490"/>
      <w:bookmarkStart w:id="95" w:name="_968491067"/>
      <w:bookmarkStart w:id="96" w:name="_968491141"/>
      <w:bookmarkStart w:id="97" w:name="_968493680"/>
      <w:bookmarkStart w:id="98" w:name="_969080957"/>
      <w:bookmarkStart w:id="99" w:name="_969081935"/>
      <w:bookmarkStart w:id="100" w:name="_969082143"/>
      <w:bookmarkStart w:id="101" w:name="_981793738"/>
      <w:bookmarkStart w:id="102" w:name="_981793736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 xml:space="preserve">(SFN + </w:t>
      </w:r>
      <w:proofErr w:type="spellStart"/>
      <w:r w:rsidRPr="00BD7C0F">
        <w:t>PF_offset</w:t>
      </w:r>
      <w:proofErr w:type="spellEnd"/>
      <w:r w:rsidR="00EB4BBA" w:rsidRPr="00BD7C0F">
        <w:t>)</w:t>
      </w:r>
      <w:r w:rsidRPr="00BD7C0F">
        <w:t xml:space="preserve"> mod T = (T div </w:t>
      </w:r>
      <w:proofErr w:type="gramStart"/>
      <w:r w:rsidRPr="00BD7C0F">
        <w:t>N)*</w:t>
      </w:r>
      <w:proofErr w:type="gramEnd"/>
      <w:r w:rsidRPr="00BD7C0F">
        <w:t>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>Index (</w:t>
      </w:r>
      <w:proofErr w:type="spellStart"/>
      <w:r w:rsidRPr="00BD7C0F">
        <w:t>i_s</w:t>
      </w:r>
      <w:proofErr w:type="spellEnd"/>
      <w:r w:rsidRPr="00BD7C0F">
        <w:t xml:space="preserve">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proofErr w:type="spellStart"/>
      <w:r w:rsidRPr="00BD7C0F">
        <w:t>i_s</w:t>
      </w:r>
      <w:proofErr w:type="spellEnd"/>
      <w:r w:rsidRPr="00BD7C0F">
        <w:t xml:space="preserve">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</w:rPr>
        <w:t xml:space="preserve">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proofErr w:type="spellStart"/>
      <w:r w:rsidR="00A73FA5" w:rsidRPr="00BD7C0F">
        <w:rPr>
          <w:i/>
        </w:rPr>
        <w:t>firstPDCCH-MonitoringOccasionOfPO</w:t>
      </w:r>
      <w:proofErr w:type="spellEnd"/>
      <w:r w:rsidR="00A73FA5" w:rsidRPr="00BD7C0F">
        <w:t xml:space="preserve"> </w:t>
      </w:r>
      <w:r w:rsidR="00E7759C" w:rsidRPr="00BD7C0F">
        <w:t xml:space="preserve">and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proofErr w:type="spellStart"/>
      <w:r w:rsidR="00957248" w:rsidRPr="00BD7C0F">
        <w:rPr>
          <w:i/>
        </w:rPr>
        <w:t>SearchSpaceId</w:t>
      </w:r>
      <w:proofErr w:type="spellEnd"/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proofErr w:type="spellStart"/>
      <w:r w:rsidR="00957248" w:rsidRPr="00BD7C0F">
        <w:rPr>
          <w:i/>
        </w:rPr>
        <w:t>pagingSearchSpace</w:t>
      </w:r>
      <w:proofErr w:type="spellEnd"/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03" w:name="_Hlk515815985"/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proofErr w:type="spellStart"/>
      <w:r w:rsidRPr="00BD7C0F">
        <w:rPr>
          <w:i/>
        </w:rPr>
        <w:t>pagingSearchSpace</w:t>
      </w:r>
      <w:proofErr w:type="spellEnd"/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0) or the second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  <w:lang w:eastAsia="zh-CN"/>
        </w:rPr>
        <w:t xml:space="preserve">, </w:t>
      </w:r>
      <w:r w:rsidR="001B259E" w:rsidRPr="00BD7C0F">
        <w:t>the UE monitors the (</w:t>
      </w:r>
      <w:proofErr w:type="spellStart"/>
      <w:r w:rsidR="001B259E" w:rsidRPr="00BD7C0F">
        <w:t>i_s</w:t>
      </w:r>
      <w:proofErr w:type="spellEnd"/>
      <w:r w:rsidR="001B259E" w:rsidRPr="00BD7C0F">
        <w:t xml:space="preserve"> + </w:t>
      </w:r>
      <w:proofErr w:type="gramStart"/>
      <w:r w:rsidR="001B259E" w:rsidRPr="00BD7C0F">
        <w:t>1)</w:t>
      </w:r>
      <w:proofErr w:type="spellStart"/>
      <w:r w:rsidR="001B259E" w:rsidRPr="00BD7C0F">
        <w:rPr>
          <w:vertAlign w:val="superscript"/>
        </w:rPr>
        <w:t>th</w:t>
      </w:r>
      <w:proofErr w:type="spellEnd"/>
      <w:proofErr w:type="gramEnd"/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proofErr w:type="spellStart"/>
      <w:r w:rsidR="00951251" w:rsidRPr="00BD7C0F">
        <w:rPr>
          <w:i/>
        </w:rPr>
        <w:t>ssb-PositionsInBurst</w:t>
      </w:r>
      <w:proofErr w:type="spellEnd"/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</w:t>
      </w:r>
      <w:proofErr w:type="gramStart"/>
      <w:r w:rsidR="00E7759C" w:rsidRPr="00BD7C0F">
        <w:t>0,1,…</w:t>
      </w:r>
      <w:proofErr w:type="gramEnd"/>
      <w:r w:rsidR="00E7759C" w:rsidRPr="00BD7C0F">
        <w:t>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proofErr w:type="spellStart"/>
      <w:r w:rsidR="00102E72" w:rsidRPr="00BD7C0F">
        <w:rPr>
          <w:i/>
        </w:rPr>
        <w:t>tdd</w:t>
      </w:r>
      <w:proofErr w:type="spellEnd"/>
      <w:r w:rsidR="00102E72" w:rsidRPr="00BD7C0F">
        <w:rPr>
          <w:i/>
        </w:rPr>
        <w:t>-UL-DL-</w:t>
      </w:r>
      <w:proofErr w:type="spellStart"/>
      <w:r w:rsidR="00102E72" w:rsidRPr="00BD7C0F">
        <w:rPr>
          <w:i/>
        </w:rPr>
        <w:t>ConfigurationCommon</w:t>
      </w:r>
      <w:proofErr w:type="spellEnd"/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rPr>
          <w:i/>
        </w:rPr>
        <w:t xml:space="preserve"> </w:t>
      </w:r>
      <w:r w:rsidR="00951251" w:rsidRPr="00BD7C0F">
        <w:t>is present, the starting PDCCH monitoring occasion number of (</w:t>
      </w:r>
      <w:proofErr w:type="spellStart"/>
      <w:r w:rsidR="00951251" w:rsidRPr="00BD7C0F">
        <w:t>i_s</w:t>
      </w:r>
      <w:proofErr w:type="spellEnd"/>
      <w:r w:rsidR="00951251" w:rsidRPr="00BD7C0F">
        <w:t xml:space="preserve"> + </w:t>
      </w:r>
      <w:proofErr w:type="gramStart"/>
      <w:r w:rsidR="00951251" w:rsidRPr="00BD7C0F">
        <w:t>1)</w:t>
      </w:r>
      <w:proofErr w:type="spellStart"/>
      <w:r w:rsidR="00951251" w:rsidRPr="00BD7C0F">
        <w:rPr>
          <w:vertAlign w:val="superscript"/>
        </w:rPr>
        <w:t>th</w:t>
      </w:r>
      <w:proofErr w:type="spellEnd"/>
      <w:proofErr w:type="gramEnd"/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</w:t>
      </w:r>
      <w:proofErr w:type="spellStart"/>
      <w:r w:rsidR="00951251" w:rsidRPr="00BD7C0F">
        <w:t>i_s</w:t>
      </w:r>
      <w:proofErr w:type="spellEnd"/>
      <w:r w:rsidR="00951251" w:rsidRPr="00BD7C0F">
        <w:t xml:space="preserve"> + 1)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value of the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</w:t>
      </w:r>
      <w:proofErr w:type="spellStart"/>
      <w:r w:rsidR="00951251" w:rsidRPr="00BD7C0F">
        <w:t>i_s</w:t>
      </w:r>
      <w:proofErr w:type="spellEnd"/>
      <w:r w:rsidR="00951251" w:rsidRPr="00BD7C0F">
        <w:t xml:space="preserve">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03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other than 0 is configured for </w:t>
      </w:r>
      <w:r w:rsidRPr="00BD7C0F">
        <w:rPr>
          <w:i/>
        </w:rPr>
        <w:t>paging-</w:t>
      </w:r>
      <w:proofErr w:type="spellStart"/>
      <w:r w:rsidRPr="00BD7C0F">
        <w:rPr>
          <w:i/>
        </w:rPr>
        <w:t>SearchSpace</w:t>
      </w:r>
      <w:proofErr w:type="spellEnd"/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 xml:space="preserve">The following parameters are used for the calculation of PF and </w:t>
      </w:r>
      <w:proofErr w:type="spellStart"/>
      <w:r w:rsidRPr="00BD7C0F">
        <w:t>i_s</w:t>
      </w:r>
      <w:proofErr w:type="spellEnd"/>
      <w:r w:rsidRPr="00BD7C0F">
        <w:t xml:space="preserve">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 xml:space="preserve">, </w:t>
      </w:r>
      <w:proofErr w:type="gramStart"/>
      <w:r w:rsidRPr="00BD7C0F">
        <w:rPr>
          <w:vertAlign w:val="subscript"/>
        </w:rPr>
        <w:t>RAN</w:t>
      </w:r>
      <w:r w:rsidRPr="00BD7C0F">
        <w:rPr>
          <w:rFonts w:eastAsia="MS Mincho"/>
          <w:lang w:eastAsia="ko-KR"/>
        </w:rPr>
        <w:t xml:space="preserve"> ,</w:t>
      </w:r>
      <w:proofErr w:type="gramEnd"/>
      <w:r w:rsidRPr="00BD7C0F">
        <w:rPr>
          <w:rFonts w:eastAsia="MS Mincho"/>
          <w:lang w:eastAsia="ko-KR"/>
        </w:rPr>
        <w:t xml:space="preserve"> and/or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are no longer than 1024 radio frames, T = </w:t>
      </w:r>
      <w:proofErr w:type="gramStart"/>
      <w:r w:rsidRPr="00BD7C0F">
        <w:rPr>
          <w:rFonts w:eastAsia="MS Mincho"/>
          <w:lang w:eastAsia="ko-KR"/>
        </w:rPr>
        <w:t>min{</w:t>
      </w:r>
      <w:proofErr w:type="spellStart"/>
      <w:proofErr w:type="gramEnd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rFonts w:eastAsia="MS Mincho"/>
          <w:lang w:eastAsia="ko-KR"/>
        </w:rPr>
        <w:t xml:space="preserve">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ins w:id="104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05" w:author="Samsung (Seungbeom)" w:date="2022-05-20T17:53:00Z">
        <w:r w:rsidR="002E5D6B" w:rsidRPr="002E5D6B">
          <w:rPr>
            <w:rFonts w:eastAsia="Yu Mincho"/>
          </w:rPr>
          <w:t xml:space="preserve">T is determined by the shortest of UE specific DRX value configured by RRC, and </w:t>
        </w:r>
        <w:proofErr w:type="spellStart"/>
        <w:r w:rsidR="002E5D6B" w:rsidRPr="002E5D6B">
          <w:rPr>
            <w:rFonts w:eastAsia="Yu Mincho"/>
          </w:rPr>
          <w:t>T</w:t>
        </w:r>
        <w:r w:rsidR="002E5D6B" w:rsidRPr="002E5D6B">
          <w:rPr>
            <w:rFonts w:eastAsia="Yu Mincho"/>
            <w:vertAlign w:val="subscript"/>
          </w:rPr>
          <w:t>eDRX</w:t>
        </w:r>
        <w:proofErr w:type="spellEnd"/>
        <w:r w:rsidR="002E5D6B" w:rsidRPr="002E5D6B">
          <w:rPr>
            <w:rFonts w:eastAsia="Yu Mincho"/>
            <w:vertAlign w:val="subscript"/>
          </w:rPr>
          <w:t>, CN</w:t>
        </w:r>
      </w:ins>
      <w:del w:id="106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07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08" w:author="Samsung (Seungbeom)" w:date="2022-05-20T17:55:00Z">
        <w:r w:rsidR="002E5D6B">
          <w:t xml:space="preserve"> if configured by RRC and/or upper layers</w:t>
        </w:r>
      </w:ins>
      <w:del w:id="109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10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 xml:space="preserve">else 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11" w:author="Samsung (Seungbeom)" w:date="2022-05-20T17:59:00Z">
        <w:r w:rsidR="002E5D6B">
          <w:t>, if configured by upper layers</w:t>
        </w:r>
      </w:ins>
      <w:del w:id="112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ins w:id="113" w:author="Samsung (Seungbeom)" w:date="2022-05-20T17:59:00Z">
        <w:r w:rsidR="002E5D6B" w:rsidRPr="002E5D6B">
          <w:rPr>
            <w:rPrChange w:id="114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15" w:author="Samsung (Seungbeom)" w:date="2022-05-20T18:00:00Z">
            <w:rPr>
              <w:vertAlign w:val="subscript"/>
            </w:rPr>
          </w:rPrChange>
        </w:rPr>
        <w:t xml:space="preserve"> </w:t>
      </w:r>
      <w:del w:id="116" w:author="Samsung (Seungbeom)" w:date="2022-05-20T18:00:00Z">
        <w:r w:rsidRPr="00BD7C0F" w:rsidDel="002E5D6B">
          <w:delText xml:space="preserve">if configured </w:delText>
        </w:r>
      </w:del>
      <w:r w:rsidRPr="00BD7C0F">
        <w:t xml:space="preserve">and a default DRX value broadcast in system information. Outside the CN configured PTW, T is determined by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proofErr w:type="spellStart"/>
      <w:r w:rsidRPr="00BD7C0F">
        <w:rPr>
          <w:lang w:eastAsia="zh-CN"/>
        </w:rPr>
        <w:t>PF_offset</w:t>
      </w:r>
      <w:proofErr w:type="spellEnd"/>
      <w:r w:rsidRPr="00BD7C0F">
        <w:rPr>
          <w:lang w:eastAsia="zh-CN"/>
        </w:rPr>
        <w:t>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, </w:t>
      </w:r>
      <w:proofErr w:type="spellStart"/>
      <w:r w:rsidR="00E7759C" w:rsidRPr="00BD7C0F">
        <w:rPr>
          <w:i/>
          <w:iCs/>
        </w:rPr>
        <w:t>nrofPDCCH-MonitoringOccasionPerSSB-InPO</w:t>
      </w:r>
      <w:proofErr w:type="spellEnd"/>
      <w:r w:rsidR="00E7759C" w:rsidRPr="00BD7C0F">
        <w:t xml:space="preserve">, </w:t>
      </w:r>
      <w:r w:rsidRPr="00BD7C0F">
        <w:t xml:space="preserve">and the length of default DRX Cycle are </w:t>
      </w:r>
      <w:proofErr w:type="spellStart"/>
      <w:r w:rsidRPr="00BD7C0F">
        <w:t>signaled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. The values of N and </w:t>
      </w:r>
      <w:proofErr w:type="spellStart"/>
      <w:r w:rsidRPr="00BD7C0F">
        <w:t>PF_offset</w:t>
      </w:r>
      <w:proofErr w:type="spellEnd"/>
      <w:r w:rsidRPr="00BD7C0F">
        <w:t xml:space="preserve"> are derived from the parameter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</w:t>
      </w:r>
      <w:proofErr w:type="spellStart"/>
      <w:r w:rsidR="00733174" w:rsidRPr="00BD7C0F">
        <w:t>signaled</w:t>
      </w:r>
      <w:proofErr w:type="spellEnd"/>
      <w:r w:rsidR="00733174" w:rsidRPr="00BD7C0F">
        <w:t xml:space="preserve">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</w:t>
      </w:r>
      <w:proofErr w:type="gramStart"/>
      <w:r w:rsidRPr="00BD7C0F">
        <w:t>48 bit</w:t>
      </w:r>
      <w:proofErr w:type="gramEnd"/>
      <w:r w:rsidRPr="00BD7C0F">
        <w:t xml:space="preserve">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SimSun"/>
          <w:lang w:eastAsia="zh-CN"/>
        </w:rPr>
      </w:pPr>
      <w:r w:rsidRPr="00BD7C0F">
        <w:rPr>
          <w:rFonts w:eastAsia="SimSun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SimSun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proofErr w:type="spellStart"/>
      <w:r w:rsidRPr="00BD7C0F">
        <w:rPr>
          <w:i/>
          <w:iCs/>
          <w:lang w:eastAsia="zh-CN"/>
        </w:rPr>
        <w:t>inactiveStatePO</w:t>
      </w:r>
      <w:proofErr w:type="spellEnd"/>
      <w:r w:rsidRPr="00BD7C0F">
        <w:rPr>
          <w:i/>
          <w:iCs/>
          <w:lang w:eastAsia="zh-CN"/>
        </w:rPr>
        <w:t xml:space="preserve">-Determination </w:t>
      </w:r>
      <w:r w:rsidRPr="00BD7C0F">
        <w:rPr>
          <w:lang w:eastAsia="zh-CN"/>
        </w:rPr>
        <w:t xml:space="preserve">and the network broadcasts </w:t>
      </w:r>
      <w:proofErr w:type="spellStart"/>
      <w:r w:rsidRPr="00BD7C0F">
        <w:rPr>
          <w:i/>
          <w:iCs/>
          <w:lang w:eastAsia="zh-CN"/>
        </w:rPr>
        <w:t>ranPagingInIdlePO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proofErr w:type="spellStart"/>
      <w:r w:rsidRPr="00BD7C0F">
        <w:t>i</w:t>
      </w:r>
      <w:r w:rsidRPr="00BD7C0F">
        <w:rPr>
          <w:rFonts w:eastAsia="SimSun"/>
          <w:lang w:eastAsia="zh-CN"/>
        </w:rPr>
        <w:t>_</w:t>
      </w:r>
      <w:r w:rsidRPr="00BD7C0F">
        <w:t>s</w:t>
      </w:r>
      <w:proofErr w:type="spellEnd"/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SimSun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SimSun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no longer than 1024 radio frames,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longer than 1024 radio frames, during CN PTW,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sectPr w:rsidR="00092712" w:rsidRPr="00BD7C0F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E80B" w14:textId="77777777" w:rsidR="00E55947" w:rsidRDefault="00E55947">
      <w:r>
        <w:separator/>
      </w:r>
    </w:p>
  </w:endnote>
  <w:endnote w:type="continuationSeparator" w:id="0">
    <w:p w14:paraId="42746C8C" w14:textId="77777777" w:rsidR="00E55947" w:rsidRDefault="00E5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바탕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µ¸¿ò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E23B" w14:textId="77777777" w:rsidR="00E55947" w:rsidRDefault="00E55947">
      <w:r>
        <w:separator/>
      </w:r>
    </w:p>
  </w:footnote>
  <w:footnote w:type="continuationSeparator" w:id="0">
    <w:p w14:paraId="1D84A14D" w14:textId="77777777" w:rsidR="00E55947" w:rsidRDefault="00E5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2603" w14:textId="1C2A82D4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오류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!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지정한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스타일은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사용되지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않습니다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1428FE27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309ED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3DBB50DD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오류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!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지정한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스타일은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사용되지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않습니다</w:t>
    </w:r>
    <w:r w:rsidR="006309ED">
      <w:rPr>
        <w:rFonts w:ascii="Arial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eungbeom)">
    <w15:presenceInfo w15:providerId="None" w15:userId="Samsung (Seungbeo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66D9"/>
    <w:rsid w:val="007F7C88"/>
    <w:rsid w:val="00800A0A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D0C"/>
    <w:rsid w:val="00CA65E5"/>
    <w:rsid w:val="00CA6C1E"/>
    <w:rsid w:val="00CB0FD5"/>
    <w:rsid w:val="00CB1009"/>
    <w:rsid w:val="00CB5A89"/>
    <w:rsid w:val="00CB6A3D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465D3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0"/>
    <w:uiPriority w:val="39"/>
    <w:rsid w:val="00351FF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351FF4"/>
    <w:pPr>
      <w:ind w:left="1701" w:hanging="1701"/>
    </w:pPr>
  </w:style>
  <w:style w:type="paragraph" w:styleId="40">
    <w:name w:val="toc 4"/>
    <w:basedOn w:val="30"/>
    <w:uiPriority w:val="39"/>
    <w:rsid w:val="00351FF4"/>
    <w:pPr>
      <w:ind w:left="1418" w:hanging="1418"/>
    </w:pPr>
  </w:style>
  <w:style w:type="paragraph" w:styleId="30">
    <w:name w:val="toc 3"/>
    <w:basedOn w:val="20"/>
    <w:uiPriority w:val="39"/>
    <w:rsid w:val="00351FF4"/>
    <w:pPr>
      <w:ind w:left="1134" w:hanging="1134"/>
    </w:pPr>
  </w:style>
  <w:style w:type="paragraph" w:styleId="20">
    <w:name w:val="toc 2"/>
    <w:basedOn w:val="10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0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7">
    <w:name w:val="footnote reference"/>
    <w:basedOn w:val="a0"/>
    <w:rsid w:val="00351FF4"/>
    <w:rPr>
      <w:b/>
      <w:position w:val="6"/>
      <w:sz w:val="16"/>
    </w:rPr>
  </w:style>
  <w:style w:type="paragraph" w:styleId="a8">
    <w:name w:val="footnote text"/>
    <w:basedOn w:val="a"/>
    <w:link w:val="Char0"/>
    <w:rsid w:val="00351FF4"/>
    <w:pPr>
      <w:keepLines/>
      <w:spacing w:after="0"/>
      <w:ind w:left="454" w:hanging="454"/>
    </w:pPr>
    <w:rPr>
      <w:sz w:val="16"/>
    </w:rPr>
  </w:style>
  <w:style w:type="character" w:customStyle="1" w:styleId="Char0">
    <w:name w:val="각주 텍스트 Char"/>
    <w:link w:val="a8"/>
    <w:rsid w:val="006E3ABA"/>
    <w:rPr>
      <w:sz w:val="16"/>
    </w:rPr>
  </w:style>
  <w:style w:type="paragraph" w:styleId="23">
    <w:name w:val="List Number 2"/>
    <w:basedOn w:val="a9"/>
    <w:rsid w:val="00351FF4"/>
    <w:pPr>
      <w:ind w:left="851"/>
    </w:pPr>
  </w:style>
  <w:style w:type="paragraph" w:styleId="a9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a"/>
    <w:rsid w:val="00351FF4"/>
    <w:pPr>
      <w:ind w:left="851"/>
    </w:pPr>
  </w:style>
  <w:style w:type="paragraph" w:styleId="aa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Char">
    <w:name w:val="제목 3 Char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b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Char">
    <w:name w:val="제목 2 Char"/>
    <w:link w:val="2"/>
    <w:qFormat/>
    <w:rsid w:val="006E3ABA"/>
    <w:rPr>
      <w:rFonts w:ascii="Arial" w:hAnsi="Arial"/>
      <w:sz w:val="32"/>
    </w:rPr>
  </w:style>
  <w:style w:type="character" w:customStyle="1" w:styleId="4Char">
    <w:name w:val="제목 4 Char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Char">
    <w:name w:val="제목 5 Char"/>
    <w:basedOn w:val="a0"/>
    <w:link w:val="5"/>
    <w:rsid w:val="00F26CD7"/>
    <w:rPr>
      <w:rFonts w:ascii="Arial" w:hAnsi="Arial"/>
      <w:sz w:val="22"/>
    </w:rPr>
  </w:style>
  <w:style w:type="character" w:customStyle="1" w:styleId="1Char">
    <w:name w:val="제목 1 Char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c">
    <w:name w:val="annotation text"/>
    <w:basedOn w:val="a"/>
    <w:link w:val="Char1"/>
    <w:qFormat/>
    <w:rsid w:val="00F91234"/>
  </w:style>
  <w:style w:type="character" w:customStyle="1" w:styleId="Char1">
    <w:name w:val="메모 텍스트 Char"/>
    <w:basedOn w:val="a0"/>
    <w:link w:val="ac"/>
    <w:rsid w:val="00F91234"/>
  </w:style>
  <w:style w:type="paragraph" w:styleId="ad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e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0">
    <w:name w:val="FollowedHyperlink"/>
    <w:basedOn w:val="a0"/>
    <w:rsid w:val="00263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F387-B39E-4C60-986F-EF65887B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</TotalTime>
  <Pages>8</Pages>
  <Words>3772</Words>
  <Characters>21506</Characters>
  <Application>Microsoft Office Word</Application>
  <DocSecurity>0</DocSecurity>
  <Lines>179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Samsung (Seungbeom)</cp:lastModifiedBy>
  <cp:revision>7</cp:revision>
  <dcterms:created xsi:type="dcterms:W3CDTF">2022-05-20T06:01:00Z</dcterms:created>
  <dcterms:modified xsi:type="dcterms:W3CDTF">2022-05-23T06:14:00Z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