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21</w:t>
      </w:r>
      <w:r>
        <w:rPr>
          <w:rFonts w:eastAsiaTheme="minorEastAsia"/>
          <w:b/>
          <w:sz w:val="24"/>
          <w:vertAlign w:val="superscript"/>
          <w:lang w:val="en-US" w:eastAsia="zh-CN"/>
        </w:rPr>
        <w:t>th</w:t>
      </w:r>
      <w:proofErr w:type="gramEnd"/>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510][</w:t>
      </w:r>
      <w:proofErr w:type="spellStart"/>
      <w:proofErr w:type="gramEnd"/>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w:t>
      </w:r>
      <w:proofErr w:type="gramStart"/>
      <w:r>
        <w:t>510][</w:t>
      </w:r>
      <w:proofErr w:type="spellStart"/>
      <w:proofErr w:type="gramEnd"/>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DA263B"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Default="00DB0ABE">
            <w:pPr>
              <w:pStyle w:val="TAC"/>
              <w:jc w:val="left"/>
              <w:rPr>
                <w:rFonts w:ascii="Times New Roman" w:hAnsi="Times New Roman"/>
                <w:lang w:val="de-DE"/>
              </w:rPr>
            </w:pPr>
            <w:r>
              <w:rPr>
                <w:rFonts w:ascii="Times New Roman" w:hAnsi="Times New Roman"/>
                <w:lang w:val="de-DE"/>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proofErr w:type="spellStart"/>
            <w:r>
              <w:rPr>
                <w:rFonts w:ascii="Times New Roman" w:hAnsi="Times New Roman" w:hint="eastAsia"/>
                <w:lang w:val="de-DE"/>
              </w:rPr>
              <w:t>Y</w:t>
            </w:r>
            <w:r>
              <w:rPr>
                <w:rFonts w:ascii="Times New Roman" w:hAnsi="Times New Roman"/>
                <w:lang w:val="de-DE"/>
              </w:rPr>
              <w:t>inghao</w:t>
            </w:r>
            <w:proofErr w:type="spellEnd"/>
            <w:r>
              <w:rPr>
                <w:rFonts w:ascii="Times New Roman" w:hAnsi="Times New Roman"/>
                <w:lang w:val="de-DE"/>
              </w:rPr>
              <w:t xml:space="preserve"> Guo (yinghaoguo@huawei.com)</w:t>
            </w:r>
          </w:p>
        </w:tc>
      </w:tr>
      <w:tr w:rsidR="00CF7255"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CF7255" w:rsidRDefault="00901C14" w:rsidP="00901C14">
            <w:pPr>
              <w:pStyle w:val="TAC"/>
              <w:jc w:val="left"/>
              <w:rPr>
                <w:rFonts w:ascii="Times New Roman" w:hAnsi="Times New Roman"/>
                <w:lang w:val="en-US"/>
              </w:rPr>
            </w:pPr>
            <w:proofErr w:type="spellStart"/>
            <w:r>
              <w:rPr>
                <w:rFonts w:ascii="Times New Roman" w:hAnsi="Times New Roman" w:hint="eastAsia"/>
                <w:lang w:val="en-US"/>
              </w:rPr>
              <w:t>W</w:t>
            </w:r>
            <w:r>
              <w:rPr>
                <w:rFonts w:ascii="Times New Roman" w:hAnsi="Times New Roman"/>
                <w:lang w:val="en-US"/>
              </w:rPr>
              <w:t>angda</w:t>
            </w:r>
            <w:proofErr w:type="spellEnd"/>
            <w:r>
              <w:rPr>
                <w:rFonts w:ascii="Times New Roman" w:hAnsi="Times New Roman"/>
                <w:lang w:val="en-US"/>
              </w:rPr>
              <w:t xml:space="preserve"> (wangda@labs.nec.cn)</w:t>
            </w:r>
          </w:p>
        </w:tc>
      </w:tr>
      <w:tr w:rsidR="002971C7" w:rsidRPr="00DA263B"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proofErr w:type="spellStart"/>
            <w:r w:rsidRPr="00DA263B">
              <w:rPr>
                <w:rFonts w:ascii="Times New Roman" w:hAnsi="Times New Roman"/>
                <w:lang w:val="fi-FI"/>
              </w:rPr>
              <w:t>Yumin</w:t>
            </w:r>
            <w:proofErr w:type="spellEnd"/>
            <w:r w:rsidRPr="00DA263B">
              <w:rPr>
                <w:rFonts w:ascii="Times New Roman" w:hAnsi="Times New Roman"/>
                <w:lang w:val="fi-FI"/>
              </w:rPr>
              <w:t xml:space="preserve"> Wu (</w:t>
            </w:r>
            <w:hyperlink r:id="rId8" w:history="1">
              <w:r w:rsidR="00DA263B" w:rsidRPr="00102CB6">
                <w:rPr>
                  <w:rStyle w:val="Hyperlink"/>
                  <w:rFonts w:ascii="Times New Roman" w:hAnsi="Times New Roman"/>
                  <w:lang w:val="fi-FI"/>
                </w:rPr>
                <w:t>wuyumin@xiaomi.com</w:t>
              </w:r>
            </w:hyperlink>
            <w:r w:rsidRPr="00DA263B">
              <w:rPr>
                <w:rFonts w:ascii="Times New Roman" w:hAnsi="Times New Roman"/>
                <w:lang w:val="fi-FI"/>
              </w:rPr>
              <w:t>)</w:t>
            </w:r>
          </w:p>
        </w:tc>
      </w:tr>
      <w:tr w:rsidR="00DA263B" w:rsidRPr="00DA263B"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12E47199"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(samuli.turtinen@nokia.com)</w:t>
            </w: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lastRenderedPageBreak/>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during the email discussion after RAN2#116e, whether to adopt another NTA </w:t>
      </w:r>
      <w:proofErr w:type="gramStart"/>
      <w:r>
        <w:rPr>
          <w:rFonts w:eastAsiaTheme="minorEastAsia" w:cstheme="minorBidi"/>
          <w:kern w:val="2"/>
          <w:sz w:val="21"/>
          <w:szCs w:val="22"/>
          <w:lang w:val="en-US" w:eastAsia="zh-CN"/>
        </w:rPr>
        <w:t>similar to</w:t>
      </w:r>
      <w:proofErr w:type="gramEnd"/>
      <w:r>
        <w:rPr>
          <w:rFonts w:eastAsiaTheme="minorEastAsia" w:cstheme="minorBidi"/>
          <w:kern w:val="2"/>
          <w:sz w:val="21"/>
          <w:szCs w:val="22"/>
          <w:lang w:val="en-US" w:eastAsia="zh-CN"/>
        </w:rPr>
        <w:t xml:space="preserve"> PUR has been discussed. While, for the email discussion, </w:t>
      </w:r>
      <w:proofErr w:type="gramStart"/>
      <w:r>
        <w:rPr>
          <w:rFonts w:eastAsiaTheme="minorEastAsia" w:cstheme="minorBidi"/>
          <w:kern w:val="2"/>
          <w:sz w:val="21"/>
          <w:szCs w:val="22"/>
          <w:lang w:val="en-US" w:eastAsia="zh-CN"/>
        </w:rPr>
        <w:t>the majority of</w:t>
      </w:r>
      <w:proofErr w:type="gramEnd"/>
      <w:r>
        <w:rPr>
          <w:rFonts w:eastAsiaTheme="minorEastAsia" w:cstheme="minorBidi"/>
          <w:kern w:val="2"/>
          <w:sz w:val="21"/>
          <w:szCs w:val="22"/>
          <w:lang w:val="en-US" w:eastAsia="zh-CN"/>
        </w:rPr>
        <w:t xml:space="preserve">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lastRenderedPageBreak/>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CommentText"/>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CommentText"/>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CommentText"/>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CommentText"/>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CommentText"/>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CommentText"/>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CommentText"/>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w:t>
            </w:r>
            <w:proofErr w:type="gramStart"/>
            <w:r>
              <w:rPr>
                <w:rFonts w:eastAsia="Malgun Gothic"/>
                <w:lang w:eastAsia="ko-KR"/>
              </w:rPr>
              <w:t>initiation,</w:t>
            </w:r>
            <w:proofErr w:type="gramEnd"/>
            <w:r>
              <w:rPr>
                <w:rFonts w:eastAsia="Malgun Gothic"/>
                <w:lang w:eastAsia="ko-KR"/>
              </w:rPr>
              <w:t xml:space="preserve"> hence, the resources can be released and CG-SDT-TAT stopped after the point the RA-SDT has been initiated.</w:t>
            </w:r>
          </w:p>
        </w:tc>
      </w:tr>
    </w:tbl>
    <w:p w14:paraId="5614C84E" w14:textId="77777777" w:rsidR="00996A9A" w:rsidRDefault="00996A9A">
      <w:pPr>
        <w:rPr>
          <w:lang w:eastAsia="zh-CN"/>
        </w:rPr>
      </w:pPr>
    </w:p>
    <w:p w14:paraId="76553FE2" w14:textId="77777777" w:rsidR="00996A9A" w:rsidRDefault="00C94E42">
      <w:pPr>
        <w:pStyle w:val="Heading6"/>
      </w:pPr>
      <w:r>
        <w:t>Final WF:</w:t>
      </w:r>
    </w:p>
    <w:p w14:paraId="3F80C25A" w14:textId="77777777" w:rsidR="00996A9A" w:rsidRDefault="00996A9A">
      <w:pPr>
        <w:rPr>
          <w:lang w:eastAsia="zh-CN"/>
        </w:rPr>
      </w:pPr>
    </w:p>
    <w:p w14:paraId="49ACDD46" w14:textId="77777777" w:rsidR="00996A9A" w:rsidRDefault="00C94E42">
      <w:pPr>
        <w:pStyle w:val="Heading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lastRenderedPageBreak/>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CommentText"/>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CommentText"/>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CommentText"/>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CommentText"/>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CommentText"/>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CommentText"/>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CommentText"/>
              <w:rPr>
                <w:rFonts w:eastAsia="Malgun Gothic"/>
                <w:lang w:eastAsia="ko-KR"/>
              </w:rPr>
            </w:pPr>
            <w:r>
              <w:rPr>
                <w:rFonts w:eastAsia="Malgun Gothic"/>
                <w:lang w:eastAsia="ko-KR"/>
              </w:rPr>
              <w:t>We can keep the legacy TAT as is</w:t>
            </w:r>
            <w:r>
              <w:rPr>
                <w:rFonts w:eastAsia="Malgun Gothic"/>
                <w:lang w:eastAsia="ko-KR"/>
              </w:rPr>
              <w:t xml:space="preserve"> – actually, we still prefer to only use legacy TAT to maintain the UL timing during SDT procedure.</w:t>
            </w:r>
          </w:p>
        </w:tc>
      </w:tr>
    </w:tbl>
    <w:p w14:paraId="4D7074EA" w14:textId="77777777" w:rsidR="00996A9A" w:rsidRDefault="00996A9A">
      <w:pPr>
        <w:rPr>
          <w:lang w:val="en-US" w:eastAsia="zh-CN"/>
        </w:rPr>
      </w:pPr>
    </w:p>
    <w:p w14:paraId="6E42137D" w14:textId="77777777" w:rsidR="00996A9A" w:rsidRDefault="00C94E42">
      <w:pPr>
        <w:pStyle w:val="Heading6"/>
      </w:pPr>
      <w:r>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lastRenderedPageBreak/>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CommentText"/>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CommentText"/>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CommentText"/>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CommentText"/>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CommentText"/>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CommentText"/>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CommentText"/>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CommentText"/>
              <w:rPr>
                <w:rFonts w:eastAsia="Malgun Gothic"/>
                <w:lang w:eastAsia="ko-KR"/>
              </w:rPr>
            </w:pPr>
            <w:r>
              <w:rPr>
                <w:rFonts w:eastAsia="Malgun Gothic"/>
                <w:lang w:eastAsia="ko-KR"/>
              </w:rPr>
              <w:t>It is not clear what is meant by the question.</w:t>
            </w: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During subsequent CG transmission phase (</w:t>
            </w:r>
            <w:proofErr w:type="gramStart"/>
            <w:r>
              <w:rPr>
                <w:rFonts w:ascii="Times New Roman" w:eastAsia="Yu Mincho" w:hAnsi="Times New Roman"/>
                <w:sz w:val="20"/>
                <w:szCs w:val="20"/>
                <w:lang w:eastAsia="ja-JP"/>
              </w:rPr>
              <w:t>i.e.</w:t>
            </w:r>
            <w:proofErr w:type="gramEnd"/>
            <w:r>
              <w:rPr>
                <w:rFonts w:ascii="Times New Roman" w:eastAsia="Yu Mincho" w:hAnsi="Times New Roman"/>
                <w:sz w:val="20"/>
                <w:szCs w:val="20"/>
                <w:lang w:eastAsia="ja-JP"/>
              </w:rPr>
              <w:t xml:space="preserv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lastRenderedPageBreak/>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w:t>
      </w:r>
      <w:proofErr w:type="gramStart"/>
      <w:r>
        <w:rPr>
          <w:rFonts w:eastAsia="Yu Mincho"/>
          <w:lang w:eastAsia="ja-JP"/>
        </w:rPr>
        <w:t>i.e.</w:t>
      </w:r>
      <w:proofErr w:type="gramEnd"/>
      <w:r>
        <w:rPr>
          <w:rFonts w:eastAsia="Yu Mincho"/>
          <w:lang w:eastAsia="ja-JP"/>
        </w:rPr>
        <w:t xml:space="preserv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Heading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CommentText"/>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CommentText"/>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CommentText"/>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CommentText"/>
              <w:rPr>
                <w:rFonts w:eastAsiaTheme="minorEastAsia"/>
                <w:lang w:eastAsia="zh-CN"/>
              </w:rPr>
            </w:pPr>
            <w:r>
              <w:rPr>
                <w:rFonts w:eastAsia="Yu Mincho"/>
                <w:lang w:eastAsia="ja-JP"/>
              </w:rPr>
              <w:t xml:space="preserve">We don’t think using the SSB selected in legacy RACH for CG transmission if it is qualified is a good idea. The mapping relation of SSB and CG resource will be changed and hard to be managed by the </w:t>
            </w:r>
            <w:r>
              <w:rPr>
                <w:rFonts w:eastAsia="Yu Mincho"/>
                <w:lang w:eastAsia="ja-JP"/>
              </w:rPr>
              <w:lastRenderedPageBreak/>
              <w:t>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lastRenderedPageBreak/>
              <w:t>Xiaomi</w:t>
            </w:r>
          </w:p>
        </w:tc>
        <w:tc>
          <w:tcPr>
            <w:tcW w:w="1981" w:type="dxa"/>
          </w:tcPr>
          <w:p w14:paraId="1ABE0E37" w14:textId="62CBD89A" w:rsidR="00B703B2" w:rsidRDefault="00B703B2" w:rsidP="00901C14">
            <w:pPr>
              <w:pStyle w:val="CommentText"/>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CommentText"/>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CommentText"/>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w:t>
            </w:r>
            <w:proofErr w:type="gramStart"/>
            <w:r w:rsidRPr="00C923CC">
              <w:rPr>
                <w:rFonts w:eastAsia="Malgun Gothic"/>
                <w:lang w:eastAsia="ko-KR"/>
              </w:rPr>
              <w:t>e.g.</w:t>
            </w:r>
            <w:proofErr w:type="gramEnd"/>
            <w:r w:rsidRPr="00C923CC">
              <w:rPr>
                <w:rFonts w:eastAsia="Malgun Gothic"/>
                <w:lang w:eastAsia="ko-KR"/>
              </w:rPr>
              <w:t xml:space="preserve">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CommentText"/>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CommentText"/>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 xml:space="preserve">dynamic uplink </w:t>
            </w:r>
            <w:proofErr w:type="gramStart"/>
            <w:r>
              <w:t>grant</w:t>
            </w:r>
            <w:proofErr w:type="gramEnd"/>
            <w:r>
              <w:t xml:space="preserve">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w:t>
            </w:r>
            <w:proofErr w:type="gramStart"/>
            <w:r>
              <w:rPr>
                <w:rFonts w:eastAsiaTheme="minorEastAsia"/>
                <w:lang w:eastAsia="zh-CN"/>
              </w:rPr>
              <w:t>has to</w:t>
            </w:r>
            <w:proofErr w:type="gramEnd"/>
            <w:r>
              <w:rPr>
                <w:rFonts w:eastAsiaTheme="minorEastAsia"/>
                <w:lang w:eastAsia="zh-CN"/>
              </w:rPr>
              <w:t xml:space="preserve"> have the same HARQ process id as the initial CG transmission. If the network schedules UL grant for a new HARQ process, we think it can also serve as ACK. </w:t>
            </w:r>
          </w:p>
          <w:p w14:paraId="2C8D4A63" w14:textId="77777777" w:rsidR="007B5C36" w:rsidRDefault="007B5C36" w:rsidP="007B5C36">
            <w:pPr>
              <w:pStyle w:val="CommentText"/>
              <w:rPr>
                <w:rFonts w:eastAsiaTheme="minorEastAsia"/>
                <w:lang w:eastAsia="zh-CN"/>
              </w:rPr>
            </w:pPr>
          </w:p>
          <w:p w14:paraId="741E48D4" w14:textId="436B88F6"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his is </w:t>
            </w:r>
            <w:proofErr w:type="gramStart"/>
            <w:r>
              <w:rPr>
                <w:rFonts w:eastAsiaTheme="minorEastAsia"/>
                <w:lang w:eastAsia="zh-CN"/>
              </w:rPr>
              <w:t>exactly the same</w:t>
            </w:r>
            <w:proofErr w:type="gramEnd"/>
            <w:r>
              <w:rPr>
                <w:rFonts w:eastAsiaTheme="minorEastAsia"/>
                <w:lang w:eastAsia="zh-CN"/>
              </w:rPr>
              <w:t xml:space="preserve"> as </w:t>
            </w:r>
            <w:proofErr w:type="spellStart"/>
            <w:r>
              <w:rPr>
                <w:rFonts w:eastAsiaTheme="minorEastAsia"/>
                <w:lang w:eastAsia="zh-CN"/>
              </w:rPr>
              <w:t>conteitnion</w:t>
            </w:r>
            <w:proofErr w:type="spellEnd"/>
            <w:r>
              <w:rPr>
                <w:rFonts w:eastAsiaTheme="minorEastAsia"/>
                <w:lang w:eastAsia="zh-CN"/>
              </w:rPr>
              <w:t xml:space="preserve"> resolution for RACH in </w:t>
            </w:r>
            <w:r>
              <w:rPr>
                <w:rFonts w:eastAsiaTheme="minorEastAsia"/>
                <w:lang w:eastAsia="zh-CN"/>
              </w:rPr>
              <w:lastRenderedPageBreak/>
              <w:t>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7FA981A2" w14:textId="40EF8966"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CommentText"/>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CommentText"/>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806DF9">
            <w:pPr>
              <w:rPr>
                <w:rFonts w:eastAsia="Malgun Gothic"/>
                <w:lang w:eastAsia="ko-KR"/>
              </w:rPr>
            </w:pPr>
            <w:r>
              <w:rPr>
                <w:rFonts w:eastAsia="Malgun Gothic"/>
                <w:lang w:eastAsia="ko-KR"/>
              </w:rPr>
              <w:t>Nokia</w:t>
            </w:r>
          </w:p>
        </w:tc>
        <w:tc>
          <w:tcPr>
            <w:tcW w:w="1981" w:type="dxa"/>
          </w:tcPr>
          <w:p w14:paraId="38D5F7F5" w14:textId="77777777" w:rsidR="00DA263B" w:rsidRDefault="00DA263B" w:rsidP="00806DF9">
            <w:pPr>
              <w:pStyle w:val="CommentText"/>
              <w:rPr>
                <w:rFonts w:eastAsia="Malgun Gothic"/>
                <w:lang w:eastAsia="ko-KR"/>
              </w:rPr>
            </w:pPr>
            <w:r>
              <w:rPr>
                <w:rFonts w:eastAsia="Malgun Gothic"/>
                <w:lang w:eastAsia="ko-KR"/>
              </w:rPr>
              <w:t>Unclear</w:t>
            </w:r>
          </w:p>
        </w:tc>
        <w:tc>
          <w:tcPr>
            <w:tcW w:w="6521" w:type="dxa"/>
          </w:tcPr>
          <w:p w14:paraId="03963572" w14:textId="77777777" w:rsidR="00DA263B" w:rsidRDefault="00DA263B" w:rsidP="00806DF9">
            <w:pPr>
              <w:pStyle w:val="CommentText"/>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348CF5CF" w14:textId="77777777" w:rsidR="00DA263B" w:rsidRDefault="00DA263B" w:rsidP="00806DF9">
            <w:pPr>
              <w:pStyle w:val="CommentText"/>
              <w:rPr>
                <w:rFonts w:eastAsia="Malgun Gothic"/>
                <w:lang w:eastAsia="ko-KR"/>
              </w:rPr>
            </w:pPr>
            <w:r>
              <w:rPr>
                <w:rFonts w:eastAsia="Malgun Gothic"/>
                <w:lang w:eastAsia="ko-KR"/>
              </w:rPr>
              <w:t>The cases of NW response and acknowledgement should hence be separated.</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w:t>
            </w:r>
            <w:proofErr w:type="gramStart"/>
            <w:r>
              <w:t>zero;</w:t>
            </w:r>
            <w:proofErr w:type="gramEnd"/>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w:t>
            </w:r>
            <w:proofErr w:type="gramStart"/>
            <w:r>
              <w:rPr>
                <w:lang w:eastAsia="fr-FR"/>
              </w:rPr>
              <w:t>RRC;</w:t>
            </w:r>
            <w:proofErr w:type="gramEnd"/>
          </w:p>
          <w:p w14:paraId="67748D9F" w14:textId="77777777" w:rsidR="00996A9A" w:rsidRDefault="00C94E42">
            <w:pPr>
              <w:pStyle w:val="B1"/>
              <w:spacing w:after="0" w:line="360" w:lineRule="auto"/>
            </w:pPr>
            <w:r>
              <w:t>1&gt;</w:t>
            </w:r>
            <w:r>
              <w:tab/>
              <w:t xml:space="preserve">stop (if running) all </w:t>
            </w:r>
            <w:proofErr w:type="gramStart"/>
            <w:r>
              <w:t>timers;</w:t>
            </w:r>
            <w:proofErr w:type="gramEnd"/>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w:t>
            </w:r>
            <w:proofErr w:type="gramStart"/>
            <w:r>
              <w:rPr>
                <w:highlight w:val="yellow"/>
              </w:rPr>
              <w:t>5.2;</w:t>
            </w:r>
            <w:proofErr w:type="gramEnd"/>
          </w:p>
          <w:p w14:paraId="654CF642" w14:textId="77777777" w:rsidR="00996A9A" w:rsidRDefault="00C94E42">
            <w:pPr>
              <w:pStyle w:val="B1"/>
              <w:spacing w:after="0" w:line="360" w:lineRule="auto"/>
            </w:pPr>
            <w:r>
              <w:t>1&gt;</w:t>
            </w:r>
            <w:r>
              <w:tab/>
              <w:t xml:space="preserve">set the NDIs for all uplink HARQ processes to the value </w:t>
            </w:r>
            <w:proofErr w:type="gramStart"/>
            <w:r>
              <w:t>0;</w:t>
            </w:r>
            <w:proofErr w:type="gramEnd"/>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w:t>
            </w:r>
            <w:proofErr w:type="gramStart"/>
            <w:r>
              <w:t>1;</w:t>
            </w:r>
            <w:proofErr w:type="gramEnd"/>
          </w:p>
          <w:p w14:paraId="3B030A82" w14:textId="77777777" w:rsidR="00996A9A" w:rsidRDefault="00C94E42">
            <w:pPr>
              <w:pStyle w:val="B1"/>
              <w:spacing w:after="0" w:line="360" w:lineRule="auto"/>
            </w:pPr>
            <w:r>
              <w:t>1&gt;</w:t>
            </w:r>
            <w:r>
              <w:tab/>
              <w:t xml:space="preserve">stop, if any, ongoing Random Access </w:t>
            </w:r>
            <w:proofErr w:type="gramStart"/>
            <w:r>
              <w:t>procedure;</w:t>
            </w:r>
            <w:proofErr w:type="gramEnd"/>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 xml:space="preserve">flush Msg3 </w:t>
            </w:r>
            <w:proofErr w:type="gramStart"/>
            <w:r>
              <w:t>buffer;</w:t>
            </w:r>
            <w:proofErr w:type="gramEnd"/>
          </w:p>
          <w:p w14:paraId="2690E7DE" w14:textId="77777777" w:rsidR="00996A9A" w:rsidRDefault="00C94E42">
            <w:pPr>
              <w:pStyle w:val="B1"/>
              <w:spacing w:after="0" w:line="360" w:lineRule="auto"/>
            </w:pPr>
            <w:r>
              <w:t>1&gt;</w:t>
            </w:r>
            <w:r>
              <w:tab/>
              <w:t xml:space="preserve">flush MSGA </w:t>
            </w:r>
            <w:proofErr w:type="gramStart"/>
            <w:r>
              <w:t>buffer;</w:t>
            </w:r>
            <w:proofErr w:type="gramEnd"/>
          </w:p>
          <w:p w14:paraId="201BF63C" w14:textId="77777777" w:rsidR="00996A9A" w:rsidRDefault="00C94E42">
            <w:pPr>
              <w:pStyle w:val="B1"/>
              <w:spacing w:after="0" w:line="360" w:lineRule="auto"/>
            </w:pPr>
            <w:r>
              <w:t>1&gt;</w:t>
            </w:r>
            <w:r>
              <w:tab/>
              <w:t xml:space="preserve">cancel, if any, triggered Scheduling Request </w:t>
            </w:r>
            <w:proofErr w:type="gramStart"/>
            <w:r>
              <w:t>procedure;</w:t>
            </w:r>
            <w:proofErr w:type="gramEnd"/>
          </w:p>
          <w:p w14:paraId="6BC21351" w14:textId="77777777" w:rsidR="00996A9A" w:rsidRDefault="00C94E42">
            <w:pPr>
              <w:pStyle w:val="B1"/>
              <w:spacing w:after="0" w:line="360" w:lineRule="auto"/>
            </w:pPr>
            <w:r>
              <w:t>1&gt;</w:t>
            </w:r>
            <w:r>
              <w:tab/>
              <w:t xml:space="preserve">cancel, if any, triggered Buffer Status Reporting </w:t>
            </w:r>
            <w:proofErr w:type="gramStart"/>
            <w:r>
              <w:t>procedure;</w:t>
            </w:r>
            <w:proofErr w:type="gramEnd"/>
          </w:p>
          <w:p w14:paraId="0F6BFB1F" w14:textId="77777777" w:rsidR="00996A9A" w:rsidRDefault="00C94E42">
            <w:pPr>
              <w:pStyle w:val="B1"/>
              <w:spacing w:after="0" w:line="360" w:lineRule="auto"/>
            </w:pPr>
            <w:r>
              <w:t>1&gt;</w:t>
            </w:r>
            <w:r>
              <w:tab/>
              <w:t xml:space="preserve">cancel, if any, triggered Power Headroom Reporting </w:t>
            </w:r>
            <w:proofErr w:type="gramStart"/>
            <w:r>
              <w:t>procedure;</w:t>
            </w:r>
            <w:proofErr w:type="gramEnd"/>
          </w:p>
          <w:p w14:paraId="3C8D8EEE" w14:textId="77777777" w:rsidR="00996A9A" w:rsidRDefault="00C94E42">
            <w:pPr>
              <w:pStyle w:val="B1"/>
              <w:spacing w:after="0" w:line="360" w:lineRule="auto"/>
            </w:pPr>
            <w:r>
              <w:t>1&gt;</w:t>
            </w:r>
            <w:r>
              <w:tab/>
              <w:t xml:space="preserve">cancel, if any, triggered consistent LBT </w:t>
            </w:r>
            <w:proofErr w:type="gramStart"/>
            <w:r>
              <w:t>failure;</w:t>
            </w:r>
            <w:proofErr w:type="gramEnd"/>
          </w:p>
          <w:p w14:paraId="1DB122EB" w14:textId="77777777" w:rsidR="00996A9A" w:rsidRDefault="00C94E42">
            <w:pPr>
              <w:pStyle w:val="B1"/>
              <w:spacing w:after="0" w:line="360" w:lineRule="auto"/>
            </w:pPr>
            <w:r>
              <w:t>1&gt;</w:t>
            </w:r>
            <w:r>
              <w:tab/>
              <w:t xml:space="preserve">cancel, if any, triggered </w:t>
            </w:r>
            <w:proofErr w:type="gramStart"/>
            <w:r>
              <w:t>BFR;</w:t>
            </w:r>
            <w:proofErr w:type="gramEnd"/>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w:t>
            </w:r>
            <w:proofErr w:type="gramStart"/>
            <w:r>
              <w:t>procedure;</w:t>
            </w:r>
            <w:proofErr w:type="gramEnd"/>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w:t>
            </w:r>
            <w:proofErr w:type="gramStart"/>
            <w:r>
              <w:t>procedure;</w:t>
            </w:r>
            <w:proofErr w:type="gramEnd"/>
          </w:p>
          <w:p w14:paraId="0BEDEE6D" w14:textId="77777777" w:rsidR="00996A9A" w:rsidRDefault="00C94E42">
            <w:pPr>
              <w:pStyle w:val="B1"/>
              <w:spacing w:after="0" w:line="360" w:lineRule="auto"/>
            </w:pPr>
            <w:r>
              <w:t>1&gt;</w:t>
            </w:r>
            <w:r>
              <w:tab/>
              <w:t xml:space="preserve">cancel, if any, triggered Recommended bit rate query </w:t>
            </w:r>
            <w:proofErr w:type="gramStart"/>
            <w:r>
              <w:t>procedure;</w:t>
            </w:r>
            <w:proofErr w:type="gramEnd"/>
          </w:p>
          <w:p w14:paraId="41E081FF" w14:textId="77777777" w:rsidR="00996A9A" w:rsidRDefault="00C94E42">
            <w:pPr>
              <w:pStyle w:val="B1"/>
              <w:spacing w:after="0" w:line="360" w:lineRule="auto"/>
            </w:pPr>
            <w:r>
              <w:t>1&gt;</w:t>
            </w:r>
            <w:r>
              <w:tab/>
              <w:t xml:space="preserve">cancel, if any, triggered </w:t>
            </w:r>
            <w:r>
              <w:rPr>
                <w:lang w:eastAsia="ko-KR"/>
              </w:rPr>
              <w:t xml:space="preserve">Configured uplink grant </w:t>
            </w:r>
            <w:proofErr w:type="gramStart"/>
            <w:r>
              <w:rPr>
                <w:lang w:eastAsia="ko-KR"/>
              </w:rPr>
              <w:t>confirmation</w:t>
            </w:r>
            <w:r>
              <w:t>;</w:t>
            </w:r>
            <w:proofErr w:type="gramEnd"/>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w:t>
            </w:r>
            <w:proofErr w:type="gramStart"/>
            <w:r>
              <w:rPr>
                <w:lang w:eastAsia="ko-KR"/>
              </w:rPr>
              <w:t>confirmation</w:t>
            </w:r>
            <w:r>
              <w:t>;</w:t>
            </w:r>
            <w:proofErr w:type="gramEnd"/>
          </w:p>
          <w:p w14:paraId="47D07B87" w14:textId="77777777" w:rsidR="00996A9A" w:rsidRDefault="00C94E42">
            <w:pPr>
              <w:pStyle w:val="B1"/>
              <w:spacing w:after="0" w:line="360" w:lineRule="auto"/>
            </w:pPr>
            <w:r>
              <w:t>1&gt;</w:t>
            </w:r>
            <w:r>
              <w:tab/>
              <w:t xml:space="preserve">cancel, if any, triggered </w:t>
            </w:r>
            <w:r>
              <w:rPr>
                <w:lang w:eastAsia="ko-KR"/>
              </w:rPr>
              <w:t xml:space="preserve">Desired Guard Symbol </w:t>
            </w:r>
            <w:proofErr w:type="gramStart"/>
            <w:r>
              <w:rPr>
                <w:lang w:eastAsia="ko-KR"/>
              </w:rPr>
              <w:t>query</w:t>
            </w:r>
            <w:r>
              <w:t>;</w:t>
            </w:r>
            <w:proofErr w:type="gramEnd"/>
          </w:p>
          <w:p w14:paraId="241FC6E2" w14:textId="77777777" w:rsidR="00996A9A" w:rsidRDefault="00C94E42">
            <w:pPr>
              <w:pStyle w:val="B1"/>
              <w:spacing w:after="0" w:line="360" w:lineRule="auto"/>
            </w:pPr>
            <w:r>
              <w:t>1&gt;</w:t>
            </w:r>
            <w:r>
              <w:tab/>
              <w:t xml:space="preserve">flush the soft buffers for all DL HARQ </w:t>
            </w:r>
            <w:proofErr w:type="gramStart"/>
            <w:r>
              <w:t>processes;</w:t>
            </w:r>
            <w:proofErr w:type="gramEnd"/>
          </w:p>
          <w:p w14:paraId="721D8199" w14:textId="77777777" w:rsidR="00996A9A" w:rsidRDefault="00C94E42">
            <w:pPr>
              <w:pStyle w:val="B1"/>
              <w:spacing w:after="0" w:line="360" w:lineRule="auto"/>
            </w:pPr>
            <w:r>
              <w:t>1&gt;</w:t>
            </w:r>
            <w:r>
              <w:tab/>
              <w:t xml:space="preserve">for each DL HARQ process, consider the next received transmission for a TB as the very first </w:t>
            </w:r>
            <w:proofErr w:type="gramStart"/>
            <w:r>
              <w:t>transmission;</w:t>
            </w:r>
            <w:proofErr w:type="gramEnd"/>
          </w:p>
          <w:p w14:paraId="7101BEF1" w14:textId="77777777" w:rsidR="00996A9A" w:rsidRDefault="00C94E42">
            <w:pPr>
              <w:pStyle w:val="B1"/>
              <w:spacing w:after="0" w:line="360" w:lineRule="auto"/>
              <w:rPr>
                <w:lang w:eastAsia="ko-KR"/>
              </w:rPr>
            </w:pPr>
            <w:r>
              <w:t>1&gt;</w:t>
            </w:r>
            <w:r>
              <w:tab/>
              <w:t>release, if any, Temporary C-</w:t>
            </w:r>
            <w:proofErr w:type="gramStart"/>
            <w:r>
              <w:t>RNTI</w:t>
            </w:r>
            <w:r>
              <w:rPr>
                <w:lang w:eastAsia="ko-KR"/>
              </w:rPr>
              <w:t>;</w:t>
            </w:r>
            <w:proofErr w:type="gramEnd"/>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w:t>
            </w:r>
            <w:proofErr w:type="gramStart"/>
            <w:r>
              <w:rPr>
                <w:i/>
                <w:lang w:eastAsia="ko-KR"/>
              </w:rPr>
              <w:t>COUNTER</w:t>
            </w:r>
            <w:r>
              <w:rPr>
                <w:lang w:eastAsia="ko-KR"/>
              </w:rPr>
              <w:t>s;</w:t>
            </w:r>
            <w:proofErr w:type="gramEnd"/>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w:t>
            </w:r>
            <w:proofErr w:type="gramStart"/>
            <w:r>
              <w:rPr>
                <w:lang w:eastAsia="ko-KR"/>
              </w:rPr>
              <w:t>connection;</w:t>
            </w:r>
            <w:proofErr w:type="gramEnd"/>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w:t>
            </w:r>
            <w:proofErr w:type="gramStart"/>
            <w:r>
              <w:rPr>
                <w:lang w:eastAsia="ko-KR"/>
              </w:rPr>
              <w:t>unoccupied;</w:t>
            </w:r>
            <w:proofErr w:type="gramEnd"/>
          </w:p>
          <w:p w14:paraId="0BB4F7F4" w14:textId="77777777" w:rsidR="00996A9A" w:rsidRDefault="00C94E42">
            <w:pPr>
              <w:pStyle w:val="B1"/>
              <w:spacing w:after="0" w:line="360" w:lineRule="auto"/>
              <w:rPr>
                <w:lang w:eastAsia="ko-KR"/>
              </w:rPr>
            </w:pPr>
            <w:r>
              <w:rPr>
                <w:lang w:eastAsia="ko-KR"/>
              </w:rPr>
              <w:t>1&gt;</w:t>
            </w:r>
            <w:r>
              <w:rPr>
                <w:lang w:eastAsia="ko-KR"/>
              </w:rPr>
              <w:tab/>
              <w:t xml:space="preserve">cancel, if any, triggered Scheduling Request procedure only associated to the PC5-RRC </w:t>
            </w:r>
            <w:proofErr w:type="gramStart"/>
            <w:r>
              <w:rPr>
                <w:lang w:eastAsia="ko-KR"/>
              </w:rPr>
              <w:t>connection;</w:t>
            </w:r>
            <w:proofErr w:type="gramEnd"/>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w:t>
            </w:r>
            <w:proofErr w:type="gramStart"/>
            <w:r>
              <w:rPr>
                <w:lang w:eastAsia="ko-KR"/>
              </w:rPr>
              <w:t>connection;</w:t>
            </w:r>
            <w:proofErr w:type="gramEnd"/>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w:t>
            </w:r>
            <w:proofErr w:type="gramStart"/>
            <w:r>
              <w:rPr>
                <w:lang w:eastAsia="ko-KR"/>
              </w:rPr>
              <w:t>connection;</w:t>
            </w:r>
            <w:proofErr w:type="gramEnd"/>
          </w:p>
          <w:p w14:paraId="142EA45D" w14:textId="77777777" w:rsidR="00996A9A" w:rsidRDefault="00C94E42">
            <w:pPr>
              <w:pStyle w:val="B1"/>
              <w:spacing w:after="0" w:line="360" w:lineRule="auto"/>
              <w:rPr>
                <w:lang w:eastAsia="ko-KR"/>
              </w:rPr>
            </w:pPr>
            <w:r>
              <w:rPr>
                <w:lang w:eastAsia="ko-KR"/>
              </w:rPr>
              <w:t>1&gt;</w:t>
            </w:r>
            <w:r>
              <w:rPr>
                <w:lang w:eastAsia="ko-KR"/>
              </w:rPr>
              <w:tab/>
              <w:t xml:space="preserve">stop (if running) all timers associated to the PC5-RRC </w:t>
            </w:r>
            <w:proofErr w:type="gramStart"/>
            <w:r>
              <w:rPr>
                <w:lang w:eastAsia="ko-KR"/>
              </w:rPr>
              <w:t>connection;</w:t>
            </w:r>
            <w:proofErr w:type="gramEnd"/>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w:t>
            </w:r>
            <w:proofErr w:type="gramStart"/>
            <w:r>
              <w:rPr>
                <w:lang w:eastAsia="ko-KR"/>
              </w:rPr>
              <w:t>connection;</w:t>
            </w:r>
            <w:proofErr w:type="gramEnd"/>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w:t>
      </w:r>
      <w:proofErr w:type="gramStart"/>
      <w:r>
        <w:rPr>
          <w:lang w:eastAsia="zh-CN"/>
        </w:rPr>
        <w:t>similar to</w:t>
      </w:r>
      <w:proofErr w:type="gramEnd"/>
      <w:r>
        <w:rPr>
          <w:lang w:eastAsia="zh-CN"/>
        </w:rPr>
        <w:t xml:space="preserve">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proofErr w:type="gramStart"/>
            <w:r>
              <w:rPr>
                <w:rFonts w:eastAsia="PMingLiU"/>
                <w:lang w:eastAsia="zh-TW"/>
              </w:rPr>
              <w:t>Similar</w:t>
            </w:r>
            <w:r>
              <w:rPr>
                <w:rFonts w:eastAsia="PMingLiU" w:hint="eastAsia"/>
                <w:lang w:eastAsia="zh-TW"/>
              </w:rPr>
              <w:t xml:space="preserve"> </w:t>
            </w:r>
            <w:r>
              <w:rPr>
                <w:rFonts w:eastAsia="PMingLiU"/>
                <w:lang w:eastAsia="zh-TW"/>
              </w:rPr>
              <w:t>to</w:t>
            </w:r>
            <w:proofErr w:type="gramEnd"/>
            <w:r>
              <w:rPr>
                <w:rFonts w:eastAsia="PMingLiU"/>
                <w:lang w:eastAsia="zh-TW"/>
              </w:rPr>
              <w:t xml:space="preserve">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CommentText"/>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CommentText"/>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CommentText"/>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 xml:space="preserve">reset MAC and release the default MAC Cell Group configuration, if </w:t>
            </w:r>
            <w:proofErr w:type="gramStart"/>
            <w:r w:rsidRPr="0084274B">
              <w:rPr>
                <w:highlight w:val="yellow"/>
              </w:rPr>
              <w:t>any;</w:t>
            </w:r>
            <w:proofErr w:type="gramEnd"/>
          </w:p>
          <w:p w14:paraId="30BDC01C" w14:textId="77777777" w:rsidR="00ED5E72" w:rsidRPr="00D27132" w:rsidRDefault="00ED5E72" w:rsidP="00ED5E72">
            <w:pPr>
              <w:pStyle w:val="B2"/>
            </w:pPr>
            <w:r w:rsidRPr="0084274B">
              <w:rPr>
                <w:highlight w:val="yellow"/>
              </w:rPr>
              <w:t>2&gt;</w:t>
            </w:r>
            <w:r w:rsidRPr="0084274B">
              <w:rPr>
                <w:highlight w:val="yellow"/>
              </w:rPr>
              <w:tab/>
              <w:t xml:space="preserve">re-establish RLC entities for </w:t>
            </w:r>
            <w:proofErr w:type="gramStart"/>
            <w:r w:rsidRPr="0084274B">
              <w:rPr>
                <w:highlight w:val="yellow"/>
              </w:rPr>
              <w:t>SRB1;</w:t>
            </w:r>
            <w:proofErr w:type="gramEnd"/>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 xml:space="preserve">stop the timer T319 if </w:t>
            </w:r>
            <w:proofErr w:type="gramStart"/>
            <w:r w:rsidRPr="00D27132">
              <w:t>running;</w:t>
            </w:r>
            <w:proofErr w:type="gramEnd"/>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w:t>
            </w:r>
            <w:proofErr w:type="gramStart"/>
            <w:r w:rsidRPr="00D27132">
              <w:t>keys;</w:t>
            </w:r>
            <w:proofErr w:type="gramEnd"/>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w:t>
            </w:r>
            <w:proofErr w:type="gramStart"/>
            <w:r w:rsidRPr="00D27132">
              <w:t>message;</w:t>
            </w:r>
            <w:proofErr w:type="gramEnd"/>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w:t>
            </w:r>
            <w:proofErr w:type="gramStart"/>
            <w:r w:rsidRPr="00D27132">
              <w:t>message;</w:t>
            </w:r>
            <w:proofErr w:type="gramEnd"/>
          </w:p>
          <w:p w14:paraId="573DD16C" w14:textId="0C98F8DA" w:rsidR="00ED5E72" w:rsidRDefault="00ED5E72" w:rsidP="00ED5E72">
            <w:pPr>
              <w:pStyle w:val="CommentText"/>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CommentText"/>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CommentText"/>
              <w:rPr>
                <w:rFonts w:eastAsiaTheme="minorEastAsia"/>
                <w:lang w:eastAsia="zh-CN"/>
              </w:rPr>
            </w:pPr>
            <w:proofErr w:type="gramStart"/>
            <w:r>
              <w:rPr>
                <w:szCs w:val="22"/>
              </w:rPr>
              <w:t>Also</w:t>
            </w:r>
            <w:proofErr w:type="gramEnd"/>
            <w:r>
              <w:rPr>
                <w:szCs w:val="22"/>
              </w:rPr>
              <w:t xml:space="preserve">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CommentText"/>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CommentText"/>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bl>
    <w:p w14:paraId="3ED587F7" w14:textId="77777777" w:rsidR="00996A9A" w:rsidRDefault="00996A9A"/>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112BAE3B" w14:textId="77777777" w:rsidR="00996A9A" w:rsidRDefault="00C94E42">
            <w:pPr>
              <w:pStyle w:val="PL"/>
            </w:pPr>
            <w:r>
              <w:t xml:space="preserve">    </w:t>
            </w: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53C7CBA0" w14:textId="77777777" w:rsidR="00996A9A" w:rsidRDefault="00C94E42">
            <w:pPr>
              <w:pStyle w:val="PL"/>
            </w:pPr>
            <w:r>
              <w:t xml:space="preserve">    cg-DMRS-Configuration               DMRS-</w:t>
            </w:r>
            <w:proofErr w:type="spellStart"/>
            <w:r>
              <w:t>UplinkConfig</w:t>
            </w:r>
            <w:proofErr w:type="spellEnd"/>
            <w:r>
              <w:t>,</w:t>
            </w:r>
          </w:p>
          <w:p w14:paraId="32DB89D3" w14:textId="77777777" w:rsidR="00996A9A" w:rsidRDefault="00C94E42">
            <w:pPr>
              <w:pStyle w:val="PL"/>
            </w:pPr>
            <w:r>
              <w:t xml:space="preserve">    </w:t>
            </w:r>
            <w:proofErr w:type="spellStart"/>
            <w:r>
              <w:t>mcs</w:t>
            </w:r>
            <w:proofErr w:type="spellEnd"/>
            <w:r>
              <w:t>-Table                           ENUMERATED {qam256, qam64</w:t>
            </w:r>
            <w:proofErr w:type="gramStart"/>
            <w:r>
              <w:t xml:space="preserve">LowSE}   </w:t>
            </w:r>
            <w:proofErr w:type="gramEnd"/>
            <w:r>
              <w:t xml:space="preserve">                                      OPTIONAL,   -- Need S</w:t>
            </w:r>
          </w:p>
          <w:p w14:paraId="2B432F2F" w14:textId="77777777" w:rsidR="00996A9A" w:rsidRDefault="00C94E42">
            <w:pPr>
              <w:pStyle w:val="PL"/>
            </w:pPr>
            <w:r>
              <w:t xml:space="preserve">    </w:t>
            </w: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4B75D525" w14:textId="77777777" w:rsidR="00996A9A" w:rsidRDefault="00C94E42">
            <w:pPr>
              <w:pStyle w:val="PL"/>
            </w:pPr>
            <w:r>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w:t>
            </w:r>
            <w:r>
              <w:lastRenderedPageBreak/>
              <w:t>OPTIONAL,   -- Need M</w:t>
            </w:r>
          </w:p>
          <w:p w14:paraId="027ED9B1" w14:textId="77777777" w:rsidR="00996A9A" w:rsidRDefault="00C94E42">
            <w:pPr>
              <w:pStyle w:val="PL"/>
            </w:pPr>
            <w:r>
              <w:t xml:space="preserve">    </w:t>
            </w: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7720855" w14:textId="77777777" w:rsidR="00996A9A" w:rsidRDefault="00C94E42">
            <w:pPr>
              <w:pStyle w:val="PL"/>
            </w:pPr>
            <w:r>
              <w:t xml:space="preserve">    </w:t>
            </w:r>
            <w:proofErr w:type="spellStart"/>
            <w:r>
              <w:t>rbg</w:t>
            </w:r>
            <w:proofErr w:type="spellEnd"/>
            <w:r>
              <w:t xml:space="preserve">-Size                            ENUMERATED {config2}                                                    </w:t>
            </w:r>
            <w:proofErr w:type="gramStart"/>
            <w:r>
              <w:t xml:space="preserve">OPTIONAL,   </w:t>
            </w:r>
            <w:proofErr w:type="gramEnd"/>
            <w:r>
              <w:t>-- Need S</w:t>
            </w:r>
          </w:p>
          <w:p w14:paraId="4CB68517" w14:textId="77777777" w:rsidR="00996A9A" w:rsidRDefault="00C94E42">
            <w:pPr>
              <w:pStyle w:val="PL"/>
            </w:pPr>
            <w:r>
              <w:t xml:space="preserve">    </w:t>
            </w:r>
            <w:proofErr w:type="spellStart"/>
            <w:r>
              <w:t>powerControlLoopToUse</w:t>
            </w:r>
            <w:proofErr w:type="spellEnd"/>
            <w:r>
              <w:t xml:space="preserv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w:t>
            </w:r>
            <w:proofErr w:type="spellStart"/>
            <w:r>
              <w:t>transformPrecoder</w:t>
            </w:r>
            <w:proofErr w:type="spellEnd"/>
            <w:r>
              <w:t xml:space="preserve">                   ENUMERATED {enabled, </w:t>
            </w:r>
            <w:proofErr w:type="gramStart"/>
            <w:r>
              <w:t xml:space="preserve">disabled}   </w:t>
            </w:r>
            <w:proofErr w:type="gramEnd"/>
            <w:r>
              <w:t xml:space="preserve">                                       OPTIONAL,   -- Need S</w:t>
            </w:r>
          </w:p>
          <w:p w14:paraId="512D12DD" w14:textId="77777777" w:rsidR="00996A9A" w:rsidRDefault="00C94E42">
            <w:pPr>
              <w:pStyle w:val="PL"/>
            </w:pPr>
            <w:r>
              <w:t xml:space="preserve">    </w:t>
            </w:r>
            <w:proofErr w:type="spellStart"/>
            <w:r>
              <w:t>nrofHARQ</w:t>
            </w:r>
            <w:proofErr w:type="spellEnd"/>
            <w:r>
              <w:t xml:space="preserve">-Processes                  </w:t>
            </w:r>
            <w:proofErr w:type="gramStart"/>
            <w:r>
              <w:t>INTEGER(</w:t>
            </w:r>
            <w:proofErr w:type="gramEnd"/>
            <w:r>
              <w:t>1..16),</w:t>
            </w:r>
          </w:p>
          <w:p w14:paraId="49397B88" w14:textId="77777777" w:rsidR="00996A9A" w:rsidRDefault="00C94E42">
            <w:pPr>
              <w:pStyle w:val="PL"/>
            </w:pPr>
            <w:r>
              <w:t xml:space="preserve">    </w:t>
            </w:r>
            <w:proofErr w:type="spellStart"/>
            <w:r>
              <w:t>repK</w:t>
            </w:r>
            <w:proofErr w:type="spellEnd"/>
            <w:r>
              <w:t xml:space="preserve">                                ENUMERATED {n1, n2, n4, n8},</w:t>
            </w:r>
          </w:p>
          <w:p w14:paraId="3D44E2AE" w14:textId="77777777" w:rsidR="00996A9A" w:rsidRDefault="00C94E42">
            <w:pPr>
              <w:pStyle w:val="PL"/>
            </w:pPr>
            <w:r>
              <w:t xml:space="preserve">    </w:t>
            </w:r>
            <w:proofErr w:type="spellStart"/>
            <w:r>
              <w:rPr>
                <w:highlight w:val="yellow"/>
              </w:rPr>
              <w:t>repK</w:t>
            </w:r>
            <w:proofErr w:type="spellEnd"/>
            <w:r>
              <w:rPr>
                <w:highlight w:val="yellow"/>
              </w:rPr>
              <w:t xml:space="preserve">-RV                             ENUMERATED {s1-0231, s2-0303, s3-0000}                                  </w:t>
            </w:r>
            <w:proofErr w:type="gramStart"/>
            <w:r>
              <w:rPr>
                <w:highlight w:val="yellow"/>
              </w:rPr>
              <w:t xml:space="preserve">OPTIONAL,   </w:t>
            </w:r>
            <w:proofErr w:type="gramEnd"/>
            <w:r>
              <w:rPr>
                <w:highlight w:val="yellow"/>
              </w:rPr>
              <w:t>-- Need R</w:t>
            </w:r>
          </w:p>
        </w:tc>
      </w:tr>
    </w:tbl>
    <w:p w14:paraId="501A3462" w14:textId="77777777" w:rsidR="00996A9A" w:rsidRDefault="00C94E42">
      <w:pPr>
        <w:pStyle w:val="3GPPText"/>
        <w:rPr>
          <w:lang w:val="en-GB" w:eastAsia="zh-CN"/>
        </w:rPr>
      </w:pPr>
      <w:r>
        <w:rPr>
          <w:lang w:val="en-GB" w:eastAsia="zh-CN"/>
        </w:rPr>
        <w:lastRenderedPageBreak/>
        <w:t>We thus ask the following question:</w:t>
      </w:r>
    </w:p>
    <w:p w14:paraId="1858625B" w14:textId="77777777" w:rsidR="00996A9A" w:rsidRDefault="00C94E42">
      <w:pPr>
        <w:pStyle w:val="Heading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 xml:space="preserve">It would be simple to fix the RV value, </w:t>
            </w:r>
            <w:proofErr w:type="gramStart"/>
            <w:r>
              <w:rPr>
                <w:rFonts w:eastAsia="Malgun Gothic"/>
                <w:lang w:eastAsia="ko-KR"/>
              </w:rPr>
              <w:t>e.g.</w:t>
            </w:r>
            <w:proofErr w:type="gramEnd"/>
            <w:r>
              <w:rPr>
                <w:rFonts w:eastAsia="Malgun Gothic"/>
                <w:lang w:eastAsia="ko-KR"/>
              </w:rPr>
              <w:t xml:space="preserve">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CommentText"/>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CommentText"/>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w:t>
            </w:r>
            <w:proofErr w:type="gramStart"/>
            <w:r>
              <w:rPr>
                <w:rFonts w:eastAsiaTheme="minorEastAsia" w:hint="eastAsia"/>
                <w:lang w:eastAsia="zh-CN"/>
              </w:rPr>
              <w:t>i.e.</w:t>
            </w:r>
            <w:proofErr w:type="gramEnd"/>
            <w:r>
              <w:rPr>
                <w:rFonts w:eastAsiaTheme="minorEastAsia" w:hint="eastAsia"/>
                <w:lang w:eastAsia="zh-CN"/>
              </w:rPr>
              <w:t xml:space="preserv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CommentText"/>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CommentText"/>
              <w:rPr>
                <w:rFonts w:eastAsiaTheme="minorEastAsia"/>
                <w:lang w:eastAsia="zh-CN"/>
              </w:rPr>
            </w:pPr>
            <w:proofErr w:type="gramStart"/>
            <w:r>
              <w:rPr>
                <w:rFonts w:eastAsiaTheme="minorEastAsia" w:hint="eastAsia"/>
                <w:lang w:eastAsia="zh-CN"/>
              </w:rPr>
              <w:t>A</w:t>
            </w:r>
            <w:r>
              <w:rPr>
                <w:rFonts w:eastAsiaTheme="minorEastAsia"/>
                <w:lang w:eastAsia="zh-CN"/>
              </w:rPr>
              <w:t>ctually, the</w:t>
            </w:r>
            <w:proofErr w:type="gramEnd"/>
            <w:r>
              <w:rPr>
                <w:rFonts w:eastAsiaTheme="minorEastAsia"/>
                <w:lang w:eastAsia="zh-CN"/>
              </w:rPr>
              <w:t xml:space="preserv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37EF0740" w:rsidR="00901C14" w:rsidRDefault="00901C14" w:rsidP="00901C14">
            <w:pPr>
              <w:pStyle w:val="CommentText"/>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CommentText"/>
              <w:rPr>
                <w:rFonts w:eastAsiaTheme="minorEastAsia"/>
                <w:lang w:eastAsia="zh-CN"/>
              </w:rPr>
            </w:pPr>
            <w:r>
              <w:rPr>
                <w:rFonts w:eastAsiaTheme="minorEastAsia"/>
                <w:lang w:eastAsia="zh-CN"/>
              </w:rPr>
              <w:t>No</w:t>
            </w:r>
          </w:p>
        </w:tc>
        <w:tc>
          <w:tcPr>
            <w:tcW w:w="6521" w:type="dxa"/>
          </w:tcPr>
          <w:p w14:paraId="48B66F28" w14:textId="20A7E0A9" w:rsidR="00D10F77" w:rsidRDefault="00D10F77" w:rsidP="00901C14">
            <w:pPr>
              <w:pStyle w:val="CommentText"/>
              <w:rPr>
                <w:rFonts w:eastAsiaTheme="minorEastAsia"/>
                <w:lang w:eastAsia="zh-CN"/>
              </w:rPr>
            </w:pPr>
            <w:r>
              <w:rPr>
                <w:rFonts w:eastAsiaTheme="minorEastAsia"/>
                <w:lang w:eastAsia="zh-CN"/>
              </w:rPr>
              <w:t xml:space="preserve">Prefer RV0 as the </w:t>
            </w:r>
            <w:proofErr w:type="spellStart"/>
            <w:r>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CommentText"/>
              <w:rPr>
                <w:rFonts w:eastAsiaTheme="minorEastAsia"/>
                <w:lang w:eastAsia="zh-CN"/>
              </w:rPr>
            </w:pPr>
            <w:r>
              <w:rPr>
                <w:rFonts w:eastAsia="Malgun Gothic"/>
                <w:lang w:eastAsia="ko-KR"/>
              </w:rPr>
              <w:t>Agree with LGE. NW does not know when the initial transmission happens and hence the RV should not change.</w:t>
            </w:r>
          </w:p>
        </w:tc>
      </w:tr>
    </w:tbl>
    <w:p w14:paraId="72D12195" w14:textId="77777777" w:rsidR="00996A9A" w:rsidRDefault="00996A9A"/>
    <w:p w14:paraId="5C023994" w14:textId="77777777" w:rsidR="00996A9A" w:rsidRDefault="00C94E42">
      <w:pPr>
        <w:pStyle w:val="Heading6"/>
      </w:pPr>
      <w:r>
        <w:lastRenderedPageBreak/>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w:t>
            </w:r>
            <w:proofErr w:type="gramStart"/>
            <w:r>
              <w:rPr>
                <w:rFonts w:eastAsia="Malgun Gothic"/>
                <w:lang w:eastAsia="ko-KR"/>
              </w:rPr>
              <w:t>i.e.</w:t>
            </w:r>
            <w:proofErr w:type="gramEnd"/>
            <w:r>
              <w:rPr>
                <w:rFonts w:eastAsia="Malgun Gothic"/>
                <w:lang w:eastAsia="ko-KR"/>
              </w:rPr>
              <w:t xml:space="preserv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CommentText"/>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CommentText"/>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CommentText"/>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CommentText"/>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CommentText"/>
              <w:rPr>
                <w:rFonts w:eastAsiaTheme="minorEastAsia"/>
                <w:lang w:eastAsia="zh-CN"/>
              </w:rPr>
            </w:pPr>
            <w:r>
              <w:rPr>
                <w:rFonts w:eastAsia="Malgun Gothic"/>
                <w:lang w:eastAsia="ko-KR"/>
              </w:rPr>
              <w:t>Simplest to use the same.</w:t>
            </w:r>
          </w:p>
        </w:tc>
      </w:tr>
    </w:tbl>
    <w:p w14:paraId="32099274" w14:textId="77777777" w:rsidR="00996A9A" w:rsidRDefault="00996A9A"/>
    <w:p w14:paraId="34442E6A" w14:textId="77777777" w:rsidR="00996A9A" w:rsidRDefault="00C94E42">
      <w:pPr>
        <w:pStyle w:val="Heading6"/>
      </w:pPr>
      <w:r>
        <w:lastRenderedPageBreak/>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 xml:space="preserve">re-establish PDCP entities for </w:t>
            </w:r>
            <w:proofErr w:type="gramStart"/>
            <w:r>
              <w:rPr>
                <w:highlight w:val="green"/>
              </w:rPr>
              <w:t>SRB1;</w:t>
            </w:r>
            <w:proofErr w:type="gramEnd"/>
          </w:p>
          <w:p w14:paraId="5E090F1D" w14:textId="77777777" w:rsidR="00996A9A" w:rsidRDefault="00C94E42">
            <w:pPr>
              <w:pStyle w:val="B1"/>
              <w:numPr>
                <w:ilvl w:val="0"/>
                <w:numId w:val="36"/>
              </w:numPr>
            </w:pPr>
            <w:r>
              <w:rPr>
                <w:highlight w:val="green"/>
              </w:rPr>
              <w:t xml:space="preserve">resume </w:t>
            </w:r>
            <w:proofErr w:type="gramStart"/>
            <w:r>
              <w:rPr>
                <w:highlight w:val="green"/>
              </w:rPr>
              <w:t>SRB1;</w:t>
            </w:r>
            <w:proofErr w:type="gramEnd"/>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 xml:space="preserve">3&gt; re-establish PDCP entity for the radio bearer without triggering PDCP status </w:t>
            </w:r>
            <w:proofErr w:type="gramStart"/>
            <w:r>
              <w:rPr>
                <w:highlight w:val="yellow"/>
              </w:rPr>
              <w:t>report;</w:t>
            </w:r>
            <w:proofErr w:type="gramEnd"/>
          </w:p>
          <w:p w14:paraId="0EE4C457" w14:textId="77777777" w:rsidR="00996A9A" w:rsidRDefault="00C94E42">
            <w:pPr>
              <w:pStyle w:val="B2"/>
            </w:pPr>
            <w:r>
              <w:rPr>
                <w:highlight w:val="yellow"/>
              </w:rPr>
              <w:t xml:space="preserve">2&gt; resume all the radio bearers that are configured for </w:t>
            </w:r>
            <w:proofErr w:type="gramStart"/>
            <w:r>
              <w:rPr>
                <w:highlight w:val="yellow"/>
              </w:rPr>
              <w:t>SDT;</w:t>
            </w:r>
            <w:proofErr w:type="gramEnd"/>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w:t>
      </w:r>
      <w:proofErr w:type="gramStart"/>
      <w:r>
        <w:rPr>
          <w:lang w:val="en-GB" w:eastAsia="zh-CN"/>
        </w:rPr>
        <w:t>it is clear that if</w:t>
      </w:r>
      <w:proofErr w:type="gramEnd"/>
      <w:r>
        <w:rPr>
          <w:lang w:val="en-GB" w:eastAsia="zh-CN"/>
        </w:rPr>
        <w:t xml:space="preserve">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w:t>
      </w:r>
      <w:proofErr w:type="gramStart"/>
      <w:r>
        <w:rPr>
          <w:lang w:val="en-GB" w:eastAsia="zh-CN"/>
        </w:rPr>
        <w:t>are</w:t>
      </w:r>
      <w:proofErr w:type="gramEnd"/>
      <w:r>
        <w:rPr>
          <w:lang w:val="en-GB" w:eastAsia="zh-CN"/>
        </w:rPr>
        <w:t xml:space="preserv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lastRenderedPageBreak/>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w:t>
            </w:r>
            <w:proofErr w:type="gramStart"/>
            <w:r w:rsidRPr="006B37CD">
              <w:rPr>
                <w:sz w:val="20"/>
                <w:lang w:eastAsia="zh-CN"/>
              </w:rPr>
              <w:t>In order for</w:t>
            </w:r>
            <w:proofErr w:type="gramEnd"/>
            <w:r w:rsidRPr="006B37CD">
              <w:rPr>
                <w:sz w:val="20"/>
                <w:lang w:eastAsia="zh-CN"/>
              </w:rPr>
              <w:t xml:space="preserve">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CommentText"/>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76850AF" w14:textId="09A59DFD" w:rsidR="00C700B2" w:rsidRDefault="00C700B2">
            <w:pPr>
              <w:pStyle w:val="CommentText"/>
              <w:rPr>
                <w:rFonts w:eastAsia="Malgun Gothic"/>
                <w:lang w:eastAsia="ko-KR"/>
              </w:rPr>
            </w:pPr>
            <w:r>
              <w:rPr>
                <w:rFonts w:eastAsiaTheme="minorEastAsia" w:hint="eastAsia"/>
                <w:lang w:eastAsia="zh-CN"/>
              </w:rPr>
              <w:t xml:space="preserve">The PDCP entity for SRB2 will not re-established. One simple solution is to follow DRB, </w:t>
            </w:r>
            <w:proofErr w:type="gramStart"/>
            <w:r>
              <w:rPr>
                <w:rFonts w:eastAsiaTheme="minorEastAsia" w:hint="eastAsia"/>
                <w:lang w:eastAsia="zh-CN"/>
              </w:rPr>
              <w:t>i.e.</w:t>
            </w:r>
            <w:proofErr w:type="gramEnd"/>
            <w:r>
              <w:rPr>
                <w:rFonts w:eastAsiaTheme="minorEastAsia" w:hint="eastAsia"/>
                <w:lang w:eastAsia="zh-CN"/>
              </w:rPr>
              <w:t xml:space="preserv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CommentText"/>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CommentText"/>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 (</w:t>
            </w:r>
            <w:proofErr w:type="gramStart"/>
            <w:r>
              <w:rPr>
                <w:rFonts w:eastAsiaTheme="minorEastAsia"/>
                <w:lang w:eastAsia="zh-CN"/>
              </w:rPr>
              <w:t>i.e.</w:t>
            </w:r>
            <w:proofErr w:type="gramEnd"/>
            <w:r>
              <w:rPr>
                <w:rFonts w:eastAsiaTheme="minorEastAsia"/>
                <w:lang w:eastAsia="zh-CN"/>
              </w:rPr>
              <w:t xml:space="preserv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CommentText"/>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t>Xiaomi</w:t>
            </w:r>
          </w:p>
        </w:tc>
        <w:tc>
          <w:tcPr>
            <w:tcW w:w="1981" w:type="dxa"/>
          </w:tcPr>
          <w:p w14:paraId="257E4061" w14:textId="7AB2DA3C" w:rsidR="00EE20B7" w:rsidRDefault="00EE20B7" w:rsidP="00901C14">
            <w:pPr>
              <w:pStyle w:val="CommentText"/>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CommentText"/>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bl>
    <w:p w14:paraId="0B75EFE5" w14:textId="77777777" w:rsidR="00996A9A" w:rsidRDefault="00996A9A">
      <w:pPr>
        <w:rPr>
          <w:lang w:eastAsia="zh-CN"/>
        </w:rPr>
      </w:pPr>
    </w:p>
    <w:p w14:paraId="4680E408" w14:textId="77777777" w:rsidR="00996A9A" w:rsidRDefault="00C94E42">
      <w:pPr>
        <w:pStyle w:val="Heading6"/>
      </w:pPr>
      <w:r>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Heading6"/>
      </w:pPr>
      <w:r>
        <w:lastRenderedPageBreak/>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w:t>
            </w:r>
            <w:proofErr w:type="gramStart"/>
            <w:r>
              <w:rPr>
                <w:rFonts w:eastAsia="Malgun Gothic"/>
                <w:lang w:eastAsia="ko-KR"/>
              </w:rPr>
              <w:t>i.e.</w:t>
            </w:r>
            <w:proofErr w:type="gramEnd"/>
            <w:r>
              <w:rPr>
                <w:rFonts w:eastAsia="Malgun Gothic"/>
                <w:lang w:eastAsia="ko-KR"/>
              </w:rPr>
              <w:t xml:space="preserv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 xml:space="preserve">Agree with LG, </w:t>
            </w:r>
            <w:proofErr w:type="gramStart"/>
            <w:r>
              <w:rPr>
                <w:rFonts w:eastAsia="Malgun Gothic"/>
                <w:lang w:eastAsia="ko-KR"/>
              </w:rPr>
              <w:t>i.e.</w:t>
            </w:r>
            <w:proofErr w:type="gramEnd"/>
            <w:r>
              <w:rPr>
                <w:rFonts w:eastAsia="Malgun Gothic"/>
                <w:lang w:eastAsia="ko-KR"/>
              </w:rPr>
              <w:t xml:space="preserv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CommentText"/>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CommentText"/>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CommentText"/>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CommentText"/>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CommentText"/>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CommentText"/>
              <w:rPr>
                <w:rFonts w:eastAsiaTheme="minorEastAsia"/>
                <w:lang w:eastAsia="zh-CN"/>
              </w:rPr>
            </w:pPr>
          </w:p>
        </w:tc>
        <w:tc>
          <w:tcPr>
            <w:tcW w:w="6521" w:type="dxa"/>
          </w:tcPr>
          <w:p w14:paraId="46B84402" w14:textId="552DADD0" w:rsidR="00DA263B" w:rsidRDefault="00DA263B" w:rsidP="00DA263B">
            <w:pPr>
              <w:pStyle w:val="CommentText"/>
              <w:rPr>
                <w:rFonts w:eastAsiaTheme="minorEastAsia"/>
                <w:lang w:eastAsia="zh-CN"/>
              </w:rPr>
            </w:pPr>
            <w:r>
              <w:rPr>
                <w:rFonts w:eastAsia="Malgun Gothic"/>
                <w:lang w:eastAsia="ko-KR"/>
              </w:rPr>
              <w:t>Should be handled similarly to other failure cases.</w:t>
            </w: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lastRenderedPageBreak/>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90"/>
        <w:gridCol w:w="2490"/>
        <w:gridCol w:w="2491"/>
        <w:gridCol w:w="2491"/>
      </w:tblGrid>
      <w:tr w:rsidR="00996A9A" w14:paraId="0F529F45" w14:textId="77777777">
        <w:tc>
          <w:tcPr>
            <w:tcW w:w="2490" w:type="dxa"/>
          </w:tcPr>
          <w:p w14:paraId="291C3AB9" w14:textId="77777777" w:rsidR="00996A9A" w:rsidRDefault="00C94E42">
            <w:pPr>
              <w:rPr>
                <w:lang w:eastAsia="zh-CN"/>
              </w:rPr>
            </w:pPr>
            <w:r>
              <w:rPr>
                <w:rFonts w:hint="eastAsia"/>
                <w:lang w:eastAsia="zh-CN"/>
              </w:rPr>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91"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 xml:space="preserve">If there is a case for when the legacy TAT is started during a RA procedure within an ongoing CG-SDT procedure that time out while the CG-SDT procedure is still active. Currently the UE may </w:t>
            </w:r>
            <w:proofErr w:type="gramStart"/>
            <w:r>
              <w:rPr>
                <w:lang w:eastAsia="zh-CN"/>
              </w:rPr>
              <w:t>e.g.</w:t>
            </w:r>
            <w:proofErr w:type="gramEnd"/>
            <w:r>
              <w:rPr>
                <w:lang w:eastAsia="zh-CN"/>
              </w:rPr>
              <w:t xml:space="preserve">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41741A35" w14:textId="77777777" w:rsidR="00996A9A" w:rsidRDefault="00C94E42">
            <w:pPr>
              <w:rPr>
                <w:lang w:eastAsia="zh-CN"/>
              </w:rPr>
            </w:pPr>
            <w:r>
              <w:rPr>
                <w:lang w:eastAsia="zh-CN"/>
              </w:rPr>
              <w:t xml:space="preserve">In the last meeting, R2 has already that CGT can be reused. Then, when CGT expires, the UE will assume an ACK for </w:t>
            </w:r>
            <w:proofErr w:type="gramStart"/>
            <w:r>
              <w:rPr>
                <w:lang w:eastAsia="zh-CN"/>
              </w:rPr>
              <w:t>he</w:t>
            </w:r>
            <w:proofErr w:type="gramEnd"/>
            <w:r>
              <w:rPr>
                <w:lang w:eastAsia="zh-CN"/>
              </w:rPr>
              <w:t xml:space="preserv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w:t>
            </w:r>
            <w:r>
              <w:rPr>
                <w:rFonts w:hint="eastAsia"/>
                <w:color w:val="00B050"/>
                <w:lang w:eastAsia="zh-CN"/>
              </w:rPr>
              <w:lastRenderedPageBreak/>
              <w:t>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w:t>
            </w:r>
            <w:proofErr w:type="gramStart"/>
            <w:r w:rsidRPr="002F20EF">
              <w:rPr>
                <w:rFonts w:hint="eastAsia"/>
                <w:color w:val="00B050"/>
                <w:lang w:eastAsia="zh-CN"/>
              </w:rPr>
              <w:t>Because,</w:t>
            </w:r>
            <w:proofErr w:type="gramEnd"/>
            <w:r w:rsidRPr="002F20EF">
              <w:rPr>
                <w:rFonts w:hint="eastAsia"/>
                <w:color w:val="00B050"/>
                <w:lang w:eastAsia="zh-CN"/>
              </w:rPr>
              <w:t xml:space="preserv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w:t>
            </w:r>
            <w:proofErr w:type="gramStart"/>
            <w:r w:rsidRPr="002F20EF">
              <w:rPr>
                <w:color w:val="00B050"/>
              </w:rPr>
              <w:t>is allowed to</w:t>
            </w:r>
            <w:proofErr w:type="gramEnd"/>
            <w:r w:rsidRPr="002F20EF">
              <w:rPr>
                <w:color w:val="00B050"/>
              </w:rPr>
              <w:t xml:space="preserve">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 xml:space="preserve">In this way, even CGT </w:t>
            </w:r>
            <w:proofErr w:type="gramStart"/>
            <w:r w:rsidRPr="002F20EF">
              <w:rPr>
                <w:rFonts w:hint="eastAsia"/>
                <w:color w:val="00B050"/>
                <w:lang w:eastAsia="zh-CN"/>
              </w:rPr>
              <w:t>expires</w:t>
            </w:r>
            <w:proofErr w:type="gramEnd"/>
            <w:r w:rsidRPr="002F20EF">
              <w:rPr>
                <w:rFonts w:hint="eastAsia"/>
                <w:color w:val="00B050"/>
                <w:lang w:eastAsia="zh-CN"/>
              </w:rPr>
              <w:t xml:space="preserve">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tc>
          <w:tcPr>
            <w:tcW w:w="2490" w:type="dxa"/>
          </w:tcPr>
          <w:p w14:paraId="7BD16435" w14:textId="1E1E3680" w:rsidR="00996A9A" w:rsidRDefault="00C94E42">
            <w:pPr>
              <w:rPr>
                <w:lang w:eastAsia="zh-CN"/>
              </w:rPr>
            </w:pPr>
            <w:r>
              <w:rPr>
                <w:rFonts w:hint="eastAsia"/>
                <w:lang w:eastAsia="zh-CN"/>
              </w:rPr>
              <w:lastRenderedPageBreak/>
              <w:t>CATT</w:t>
            </w:r>
          </w:p>
        </w:tc>
        <w:tc>
          <w:tcPr>
            <w:tcW w:w="249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proofErr w:type="gramStart"/>
            <w:r>
              <w:rPr>
                <w:rFonts w:hint="eastAsia"/>
                <w:lang w:eastAsia="zh-CN"/>
              </w:rPr>
              <w:t>A</w:t>
            </w:r>
            <w:r>
              <w:rPr>
                <w:lang w:eastAsia="zh-CN"/>
              </w:rPr>
              <w:t>ctually, in</w:t>
            </w:r>
            <w:proofErr w:type="gramEnd"/>
            <w:r>
              <w:rPr>
                <w:lang w:eastAsia="zh-CN"/>
              </w:rPr>
              <w:t xml:space="preserve">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tc>
          <w:tcPr>
            <w:tcW w:w="2490" w:type="dxa"/>
          </w:tcPr>
          <w:p w14:paraId="1474D12D" w14:textId="77777777" w:rsidR="00996A9A" w:rsidRDefault="00C94E42">
            <w:pPr>
              <w:rPr>
                <w:lang w:eastAsia="zh-CN"/>
              </w:rPr>
            </w:pPr>
            <w:r>
              <w:rPr>
                <w:lang w:eastAsia="zh-CN"/>
              </w:rPr>
              <w:t>Qualcomm</w:t>
            </w:r>
          </w:p>
        </w:tc>
        <w:tc>
          <w:tcPr>
            <w:tcW w:w="249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tc>
        <w:tc>
          <w:tcPr>
            <w:tcW w:w="2491"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tc>
          <w:tcPr>
            <w:tcW w:w="2490"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9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w:t>
            </w:r>
            <w:r w:rsidRPr="000A3909">
              <w:rPr>
                <w:color w:val="FF0000"/>
                <w:u w:val="single"/>
              </w:rPr>
              <w:lastRenderedPageBreak/>
              <w:t xml:space="preserve">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91" w:type="dxa"/>
          </w:tcPr>
          <w:p w14:paraId="127A0114" w14:textId="754ECA80" w:rsidR="006D2D69" w:rsidRPr="000A3909" w:rsidRDefault="006D2D69">
            <w:pPr>
              <w:rPr>
                <w:color w:val="FF0000"/>
                <w:u w:val="single"/>
              </w:rPr>
            </w:pPr>
            <w:r w:rsidRPr="000A3909">
              <w:rPr>
                <w:rFonts w:eastAsia="Yu Mincho"/>
                <w:color w:val="FF0000"/>
                <w:u w:val="single"/>
              </w:rPr>
              <w:lastRenderedPageBreak/>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w:t>
            </w:r>
            <w:r w:rsidRPr="000A3909">
              <w:rPr>
                <w:color w:val="FF0000"/>
                <w:u w:val="single"/>
              </w:rPr>
              <w:lastRenderedPageBreak/>
              <w:t xml:space="preserve">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91" w:type="dxa"/>
          </w:tcPr>
          <w:p w14:paraId="6D880998" w14:textId="77777777" w:rsidR="004D4853" w:rsidRDefault="004D4853">
            <w:pPr>
              <w:rPr>
                <w:highlight w:val="green"/>
                <w:lang w:eastAsia="zh-CN"/>
              </w:rPr>
            </w:pPr>
          </w:p>
        </w:tc>
      </w:tr>
    </w:tbl>
    <w:p w14:paraId="6117924E" w14:textId="77777777" w:rsidR="00996A9A" w:rsidRDefault="00996A9A">
      <w:pPr>
        <w:rPr>
          <w:lang w:eastAsia="zh-CN"/>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DE807" w14:textId="77777777" w:rsidR="00A06FB2" w:rsidRDefault="00A06FB2">
      <w:pPr>
        <w:spacing w:after="0" w:line="240" w:lineRule="auto"/>
      </w:pPr>
      <w:r>
        <w:separator/>
      </w:r>
    </w:p>
  </w:endnote>
  <w:endnote w:type="continuationSeparator" w:id="0">
    <w:p w14:paraId="648065F1" w14:textId="77777777" w:rsidR="00A06FB2" w:rsidRDefault="00A06FB2">
      <w:pPr>
        <w:spacing w:after="0" w:line="240" w:lineRule="auto"/>
      </w:pPr>
      <w:r>
        <w:continuationSeparator/>
      </w:r>
    </w:p>
  </w:endnote>
  <w:endnote w:type="continuationNotice" w:id="1">
    <w:p w14:paraId="5259AEAF" w14:textId="77777777" w:rsidR="00A06FB2" w:rsidRDefault="00A06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A5B1E" w14:textId="77777777" w:rsidR="00901C14" w:rsidRDefault="00901C1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01C14" w:rsidRDefault="00901C1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FE8BB" w14:textId="5C033613" w:rsidR="00901C14" w:rsidRDefault="00901C1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C0C73">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C0C73">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0F926" w14:textId="77777777" w:rsidR="00A06FB2" w:rsidRDefault="00A06FB2">
      <w:pPr>
        <w:spacing w:after="0" w:line="240" w:lineRule="auto"/>
      </w:pPr>
      <w:r>
        <w:separator/>
      </w:r>
    </w:p>
  </w:footnote>
  <w:footnote w:type="continuationSeparator" w:id="0">
    <w:p w14:paraId="50A77E2A" w14:textId="77777777" w:rsidR="00A06FB2" w:rsidRDefault="00A06FB2">
      <w:pPr>
        <w:spacing w:after="0" w:line="240" w:lineRule="auto"/>
      </w:pPr>
      <w:r>
        <w:continuationSeparator/>
      </w:r>
    </w:p>
  </w:footnote>
  <w:footnote w:type="continuationNotice" w:id="1">
    <w:p w14:paraId="44FCBBE9" w14:textId="77777777" w:rsidR="00A06FB2" w:rsidRDefault="00A06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9EDAF" w14:textId="77777777" w:rsidR="00901C14" w:rsidRDefault="00901C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6251B"/>
    <w:rsid w:val="000819DD"/>
    <w:rsid w:val="00086C85"/>
    <w:rsid w:val="000A3909"/>
    <w:rsid w:val="000B1F22"/>
    <w:rsid w:val="000C102C"/>
    <w:rsid w:val="00142781"/>
    <w:rsid w:val="00160338"/>
    <w:rsid w:val="00161F8B"/>
    <w:rsid w:val="0017259F"/>
    <w:rsid w:val="001810CF"/>
    <w:rsid w:val="002971C7"/>
    <w:rsid w:val="002C0C73"/>
    <w:rsid w:val="002D59F0"/>
    <w:rsid w:val="00320C90"/>
    <w:rsid w:val="003400E4"/>
    <w:rsid w:val="00350AC1"/>
    <w:rsid w:val="003A5AA0"/>
    <w:rsid w:val="003F4A83"/>
    <w:rsid w:val="00412A33"/>
    <w:rsid w:val="00473678"/>
    <w:rsid w:val="004D4853"/>
    <w:rsid w:val="0050523A"/>
    <w:rsid w:val="00521C3E"/>
    <w:rsid w:val="00696D15"/>
    <w:rsid w:val="006D2D69"/>
    <w:rsid w:val="006F3363"/>
    <w:rsid w:val="006F452B"/>
    <w:rsid w:val="007238B5"/>
    <w:rsid w:val="007B5C36"/>
    <w:rsid w:val="008D03D3"/>
    <w:rsid w:val="008D3C9A"/>
    <w:rsid w:val="00901C14"/>
    <w:rsid w:val="00960102"/>
    <w:rsid w:val="00993EF2"/>
    <w:rsid w:val="009960FA"/>
    <w:rsid w:val="00996A9A"/>
    <w:rsid w:val="00A062EB"/>
    <w:rsid w:val="00A06FB2"/>
    <w:rsid w:val="00A75438"/>
    <w:rsid w:val="00A935E9"/>
    <w:rsid w:val="00AB3F5E"/>
    <w:rsid w:val="00AD49DF"/>
    <w:rsid w:val="00B40DBD"/>
    <w:rsid w:val="00B623B3"/>
    <w:rsid w:val="00B703B2"/>
    <w:rsid w:val="00C06439"/>
    <w:rsid w:val="00C36B3E"/>
    <w:rsid w:val="00C700B2"/>
    <w:rsid w:val="00C94E42"/>
    <w:rsid w:val="00CA0CD3"/>
    <w:rsid w:val="00CF7255"/>
    <w:rsid w:val="00D03B69"/>
    <w:rsid w:val="00D10F77"/>
    <w:rsid w:val="00D22BBC"/>
    <w:rsid w:val="00D841BF"/>
    <w:rsid w:val="00DA263B"/>
    <w:rsid w:val="00DB0ABE"/>
    <w:rsid w:val="00DB2BEE"/>
    <w:rsid w:val="00DC4E3A"/>
    <w:rsid w:val="00E83AE8"/>
    <w:rsid w:val="00EB1330"/>
    <w:rsid w:val="00EB2B75"/>
    <w:rsid w:val="00ED5E72"/>
    <w:rsid w:val="00EE20B7"/>
    <w:rsid w:val="00EF046D"/>
    <w:rsid w:val="00EF76D5"/>
    <w:rsid w:val="00F31555"/>
    <w:rsid w:val="00F556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UnresolvedMention">
    <w:name w:val="Unresolved Mention"/>
    <w:basedOn w:val="DefaultParagraphFont"/>
    <w:uiPriority w:val="99"/>
    <w:semiHidden/>
    <w:unhideWhenUsed/>
    <w:rsid w:val="00DA2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uyumin@xiaom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5721</Words>
  <Characters>32616</Characters>
  <Application>Microsoft Office Word</Application>
  <DocSecurity>0</DocSecurity>
  <Lines>271</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38261</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 (Samuli)</cp:lastModifiedBy>
  <cp:revision>2</cp:revision>
  <dcterms:created xsi:type="dcterms:W3CDTF">2022-02-11T11:09:00Z</dcterms:created>
  <dcterms:modified xsi:type="dcterms:W3CDTF">2022-02-11T11:09:00Z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