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A4D03" w14:textId="4F2FECBA" w:rsidR="00ED0BB9" w:rsidRDefault="00FA41B3">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R2-21</w:t>
      </w:r>
      <w:r w:rsidR="003B21B7">
        <w:rPr>
          <w:rFonts w:ascii="Times New Roman" w:hAnsi="Times New Roman"/>
          <w:bCs/>
          <w:sz w:val="24"/>
        </w:rPr>
        <w:t>xxxxx</w:t>
      </w:r>
    </w:p>
    <w:p w14:paraId="5D293D89" w14:textId="77777777" w:rsidR="00ED0BB9" w:rsidRDefault="00FA41B3">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22A9B9F" w14:textId="77777777" w:rsidR="00ED0BB9" w:rsidRDefault="00FA41B3">
      <w:pPr>
        <w:widowControl w:val="0"/>
        <w:tabs>
          <w:tab w:val="right" w:pos="9639"/>
        </w:tabs>
        <w:spacing w:after="0"/>
        <w:rPr>
          <w:b/>
          <w:sz w:val="24"/>
          <w:szCs w:val="24"/>
          <w:lang w:eastAsia="zh-CN"/>
        </w:rPr>
      </w:pPr>
      <w:r>
        <w:rPr>
          <w:b/>
          <w:sz w:val="24"/>
          <w:szCs w:val="24"/>
          <w:lang w:eastAsia="zh-CN"/>
        </w:rPr>
        <w:tab/>
      </w:r>
    </w:p>
    <w:p w14:paraId="07A0D6FE" w14:textId="1084E5CF" w:rsidR="00ED0BB9" w:rsidRDefault="00FA41B3">
      <w:pPr>
        <w:tabs>
          <w:tab w:val="left" w:pos="1985"/>
        </w:tabs>
        <w:spacing w:after="120"/>
        <w:rPr>
          <w:b/>
          <w:bCs/>
          <w:sz w:val="24"/>
        </w:rPr>
      </w:pPr>
      <w:r>
        <w:rPr>
          <w:b/>
          <w:bCs/>
          <w:sz w:val="24"/>
        </w:rPr>
        <w:t>Agenda item:</w:t>
      </w:r>
      <w:r>
        <w:rPr>
          <w:b/>
          <w:bCs/>
          <w:sz w:val="24"/>
        </w:rPr>
        <w:tab/>
        <w:t>8.2.</w:t>
      </w:r>
      <w:r w:rsidR="0036687B">
        <w:rPr>
          <w:b/>
          <w:bCs/>
          <w:sz w:val="24"/>
        </w:rPr>
        <w:t>5</w:t>
      </w:r>
    </w:p>
    <w:p w14:paraId="4064728A" w14:textId="77777777" w:rsidR="00ED0BB9" w:rsidRDefault="00FA41B3">
      <w:pPr>
        <w:tabs>
          <w:tab w:val="left" w:pos="1985"/>
        </w:tabs>
        <w:ind w:left="1985" w:hanging="1985"/>
        <w:rPr>
          <w:b/>
          <w:bCs/>
          <w:sz w:val="24"/>
        </w:rPr>
      </w:pPr>
      <w:r>
        <w:rPr>
          <w:b/>
          <w:bCs/>
          <w:sz w:val="24"/>
        </w:rPr>
        <w:t>Source:</w:t>
      </w:r>
      <w:r>
        <w:rPr>
          <w:b/>
          <w:bCs/>
          <w:sz w:val="24"/>
        </w:rPr>
        <w:tab/>
        <w:t>Intel Corporation</w:t>
      </w:r>
    </w:p>
    <w:p w14:paraId="688AEEAC" w14:textId="15BCDFEC" w:rsidR="00ED0BB9" w:rsidRDefault="00FA41B3">
      <w:pPr>
        <w:ind w:left="1985" w:hanging="1985"/>
        <w:rPr>
          <w:b/>
          <w:bCs/>
          <w:sz w:val="24"/>
        </w:rPr>
      </w:pPr>
      <w:r>
        <w:rPr>
          <w:b/>
          <w:bCs/>
          <w:sz w:val="24"/>
        </w:rPr>
        <w:t>Title:</w:t>
      </w:r>
      <w:r>
        <w:rPr>
          <w:b/>
          <w:bCs/>
          <w:sz w:val="24"/>
        </w:rPr>
        <w:tab/>
        <w:t>Report of email discussion [Post11</w:t>
      </w:r>
      <w:r w:rsidR="003B21B7">
        <w:rPr>
          <w:b/>
          <w:bCs/>
          <w:sz w:val="24"/>
        </w:rPr>
        <w:t>6</w:t>
      </w:r>
      <w:r>
        <w:rPr>
          <w:b/>
          <w:bCs/>
          <w:sz w:val="24"/>
        </w:rPr>
        <w:t xml:space="preserve">-e][214][R17 DCCA] </w:t>
      </w:r>
      <w:r w:rsidR="003B21B7">
        <w:rPr>
          <w:b/>
          <w:bCs/>
          <w:sz w:val="24"/>
        </w:rPr>
        <w:t>UE c</w:t>
      </w:r>
      <w:r>
        <w:rPr>
          <w:b/>
          <w:bCs/>
          <w:sz w:val="24"/>
        </w:rPr>
        <w:t>apabilities (Intel)</w:t>
      </w:r>
    </w:p>
    <w:p w14:paraId="34F334D2" w14:textId="77777777" w:rsidR="00ED0BB9" w:rsidRDefault="00FA41B3">
      <w:pPr>
        <w:tabs>
          <w:tab w:val="left" w:pos="1985"/>
        </w:tabs>
        <w:rPr>
          <w:rFonts w:ascii="Arial" w:hAnsi="Arial" w:cs="Arial"/>
          <w:b/>
          <w:bCs/>
          <w:sz w:val="24"/>
          <w:lang w:eastAsia="zh-CN"/>
        </w:rPr>
      </w:pPr>
      <w:r>
        <w:rPr>
          <w:b/>
          <w:bCs/>
          <w:sz w:val="24"/>
        </w:rPr>
        <w:t>Document for:</w:t>
      </w:r>
      <w:r>
        <w:rPr>
          <w:b/>
          <w:bCs/>
          <w:sz w:val="24"/>
        </w:rPr>
        <w:tab/>
        <w:t>Discussion and Decision</w:t>
      </w:r>
    </w:p>
    <w:p w14:paraId="713E2B30" w14:textId="77777777" w:rsidR="00ED0BB9" w:rsidRDefault="00FA41B3">
      <w:pPr>
        <w:pStyle w:val="Heading1"/>
        <w:widowControl w:val="0"/>
        <w:numPr>
          <w:ilvl w:val="0"/>
          <w:numId w:val="6"/>
        </w:numPr>
        <w:textAlignment w:val="auto"/>
      </w:pPr>
      <w:r>
        <w:t>Introduction</w:t>
      </w:r>
    </w:p>
    <w:p w14:paraId="790BB48A" w14:textId="77777777" w:rsidR="00ED0BB9" w:rsidRDefault="00FA41B3">
      <w:pPr>
        <w:spacing w:after="120"/>
        <w:jc w:val="both"/>
      </w:pPr>
      <w:r>
        <w:t>This is the email discussion report for following email discussion:</w:t>
      </w:r>
    </w:p>
    <w:p w14:paraId="5ED9ECDE" w14:textId="771B55F7" w:rsidR="003B21B7" w:rsidRPr="003B21B7" w:rsidRDefault="003B21B7" w:rsidP="003B21B7">
      <w:pPr>
        <w:numPr>
          <w:ilvl w:val="0"/>
          <w:numId w:val="24"/>
        </w:numPr>
        <w:overflowPunct/>
        <w:autoSpaceDE/>
        <w:autoSpaceDN/>
        <w:adjustRightInd/>
        <w:spacing w:before="40" w:after="0" w:line="240" w:lineRule="auto"/>
        <w:textAlignment w:val="auto"/>
        <w:rPr>
          <w:rFonts w:ascii="Arial" w:eastAsia="MS Mincho" w:hAnsi="Arial"/>
          <w:b/>
          <w:szCs w:val="24"/>
          <w:lang w:eastAsia="en-GB"/>
        </w:rPr>
      </w:pPr>
      <w:bookmarkStart w:id="1" w:name="_Hlk74226727"/>
      <w:r w:rsidRPr="003B21B7">
        <w:rPr>
          <w:rFonts w:ascii="Arial" w:eastAsia="MS Mincho" w:hAnsi="Arial"/>
          <w:b/>
          <w:szCs w:val="24"/>
          <w:lang w:eastAsia="en-GB"/>
        </w:rPr>
        <w:t>[Post11</w:t>
      </w:r>
      <w:r>
        <w:rPr>
          <w:rFonts w:ascii="Arial" w:eastAsia="MS Mincho" w:hAnsi="Arial"/>
          <w:b/>
          <w:szCs w:val="24"/>
          <w:lang w:eastAsia="en-GB"/>
        </w:rPr>
        <w:t>6</w:t>
      </w:r>
      <w:r w:rsidRPr="003B21B7">
        <w:rPr>
          <w:rFonts w:ascii="Arial" w:eastAsia="MS Mincho" w:hAnsi="Arial"/>
          <w:b/>
          <w:szCs w:val="24"/>
          <w:lang w:eastAsia="en-GB"/>
        </w:rPr>
        <w:t>-e][214][R17 DCCA] UE capabilities (Intel)</w:t>
      </w:r>
    </w:p>
    <w:p w14:paraId="6960DEAE" w14:textId="77777777" w:rsidR="003B21B7" w:rsidRPr="003B21B7" w:rsidRDefault="003B21B7" w:rsidP="003B21B7">
      <w:pPr>
        <w:tabs>
          <w:tab w:val="left" w:pos="1622"/>
        </w:tabs>
        <w:overflowPunct/>
        <w:autoSpaceDE/>
        <w:autoSpaceDN/>
        <w:adjustRightInd/>
        <w:spacing w:after="0" w:line="240" w:lineRule="auto"/>
        <w:ind w:left="1619"/>
        <w:textAlignment w:val="auto"/>
        <w:rPr>
          <w:rFonts w:ascii="Arial" w:eastAsia="MS Mincho" w:hAnsi="Arial"/>
          <w:szCs w:val="24"/>
          <w:lang w:eastAsia="en-GB"/>
        </w:rPr>
      </w:pPr>
      <w:r w:rsidRPr="003B21B7">
        <w:rPr>
          <w:rFonts w:ascii="Arial" w:eastAsia="MS Mincho" w:hAnsi="Arial"/>
          <w:szCs w:val="24"/>
          <w:lang w:eastAsia="en-GB"/>
        </w:rPr>
        <w:t xml:space="preserve">Scope: Update RRC and 38.306 CRs for UE capabilities </w:t>
      </w:r>
    </w:p>
    <w:p w14:paraId="444BB7D7" w14:textId="77777777" w:rsidR="003B21B7" w:rsidRPr="003B21B7" w:rsidRDefault="003B21B7" w:rsidP="003B21B7">
      <w:pPr>
        <w:tabs>
          <w:tab w:val="left" w:pos="1622"/>
        </w:tabs>
        <w:overflowPunct/>
        <w:autoSpaceDE/>
        <w:autoSpaceDN/>
        <w:adjustRightInd/>
        <w:spacing w:after="0" w:line="240" w:lineRule="auto"/>
        <w:ind w:left="1622" w:hanging="363"/>
        <w:textAlignment w:val="auto"/>
        <w:rPr>
          <w:rFonts w:ascii="Arial" w:eastAsia="MS Mincho" w:hAnsi="Arial"/>
          <w:szCs w:val="24"/>
          <w:lang w:eastAsia="en-GB"/>
        </w:rPr>
      </w:pPr>
      <w:r w:rsidRPr="003B21B7">
        <w:rPr>
          <w:rFonts w:ascii="Arial" w:eastAsia="MS Mincho" w:hAnsi="Arial"/>
          <w:szCs w:val="24"/>
          <w:lang w:eastAsia="en-GB"/>
        </w:rPr>
        <w:tab/>
        <w:t>Intended outcome: Running CRs for RRC and 38.306</w:t>
      </w:r>
    </w:p>
    <w:p w14:paraId="03829ADE" w14:textId="6167C5C5" w:rsidR="00ED0BB9" w:rsidRDefault="003B21B7" w:rsidP="00E11316">
      <w:pPr>
        <w:tabs>
          <w:tab w:val="left" w:pos="1622"/>
        </w:tabs>
        <w:overflowPunct/>
        <w:autoSpaceDE/>
        <w:autoSpaceDN/>
        <w:adjustRightInd/>
        <w:spacing w:after="0" w:line="240" w:lineRule="auto"/>
        <w:ind w:left="1622" w:hanging="363"/>
        <w:textAlignment w:val="auto"/>
      </w:pPr>
      <w:r w:rsidRPr="003B21B7">
        <w:rPr>
          <w:rFonts w:ascii="Arial" w:eastAsia="MS Mincho" w:hAnsi="Arial"/>
          <w:szCs w:val="24"/>
          <w:lang w:eastAsia="en-GB"/>
        </w:rPr>
        <w:tab/>
        <w:t>Deadline:  Short (not for RP)</w:t>
      </w:r>
    </w:p>
    <w:bookmarkEnd w:id="1"/>
    <w:p w14:paraId="1DBC1BB7" w14:textId="041FAE45" w:rsidR="003B21B7" w:rsidRDefault="003B21B7" w:rsidP="003B21B7">
      <w:pPr>
        <w:pStyle w:val="Heading1"/>
        <w:widowControl w:val="0"/>
        <w:numPr>
          <w:ilvl w:val="0"/>
          <w:numId w:val="6"/>
        </w:numPr>
        <w:textAlignment w:val="auto"/>
      </w:pPr>
      <w:r>
        <w:t>Discussion</w:t>
      </w:r>
    </w:p>
    <w:p w14:paraId="1C945C8E" w14:textId="7E604DDA" w:rsidR="00096BA6" w:rsidRDefault="00096BA6" w:rsidP="003B21B7">
      <w:pPr>
        <w:jc w:val="both"/>
      </w:pPr>
      <w:r>
        <w:t>In the first round of discussion on DCCA UE capabilities</w:t>
      </w:r>
      <w:r w:rsidR="00456D61">
        <w:t xml:space="preserve"> [1]</w:t>
      </w:r>
      <w:r>
        <w:t xml:space="preserve">, the following proposals are made to postpone the discussion on </w:t>
      </w:r>
      <w:r w:rsidRPr="003B21B7">
        <w:t>UE initiated SCG activation</w:t>
      </w:r>
      <w:r>
        <w:t xml:space="preserve"> and </w:t>
      </w:r>
      <w:r w:rsidRPr="00096BA6">
        <w:t>A3/A5 based execution condition for inter-SN CPC</w:t>
      </w:r>
      <w:r>
        <w:t>.</w:t>
      </w:r>
    </w:p>
    <w:tbl>
      <w:tblPr>
        <w:tblStyle w:val="TableGrid"/>
        <w:tblW w:w="0" w:type="auto"/>
        <w:tblLook w:val="04A0" w:firstRow="1" w:lastRow="0" w:firstColumn="1" w:lastColumn="0" w:noHBand="0" w:noVBand="1"/>
      </w:tblPr>
      <w:tblGrid>
        <w:gridCol w:w="9628"/>
      </w:tblGrid>
      <w:tr w:rsidR="00096BA6" w14:paraId="5AA5DF52" w14:textId="77777777" w:rsidTr="00096BA6">
        <w:tc>
          <w:tcPr>
            <w:tcW w:w="9628" w:type="dxa"/>
          </w:tcPr>
          <w:p w14:paraId="44BACA4A" w14:textId="77777777" w:rsidR="00096BA6" w:rsidRPr="00096BA6" w:rsidRDefault="00096BA6" w:rsidP="00096BA6">
            <w:pPr>
              <w:tabs>
                <w:tab w:val="left" w:pos="1259"/>
              </w:tabs>
              <w:overflowPunct/>
              <w:autoSpaceDE/>
              <w:autoSpaceDN/>
              <w:adjustRightInd/>
              <w:spacing w:after="0" w:line="240" w:lineRule="auto"/>
              <w:ind w:left="878" w:hanging="363"/>
              <w:textAlignment w:val="auto"/>
              <w:rPr>
                <w:rFonts w:eastAsia="MS Mincho"/>
                <w:i/>
                <w:iCs/>
                <w:szCs w:val="24"/>
                <w:lang w:eastAsia="en-GB"/>
              </w:rPr>
            </w:pPr>
            <w:r w:rsidRPr="00096BA6">
              <w:rPr>
                <w:rFonts w:eastAsia="MS Mincho"/>
                <w:i/>
                <w:iCs/>
                <w:szCs w:val="24"/>
                <w:lang w:eastAsia="en-GB"/>
              </w:rPr>
              <w:t>Proposal 3: the discussion on the following UE capabilities is postponed until they are agreed.</w:t>
            </w:r>
          </w:p>
          <w:p w14:paraId="4CEF5EB6" w14:textId="77777777" w:rsidR="00096BA6" w:rsidRPr="00096BA6" w:rsidRDefault="00096BA6" w:rsidP="00096BA6">
            <w:pPr>
              <w:tabs>
                <w:tab w:val="left" w:pos="1259"/>
              </w:tabs>
              <w:overflowPunct/>
              <w:autoSpaceDE/>
              <w:autoSpaceDN/>
              <w:adjustRightInd/>
              <w:spacing w:after="0" w:line="240" w:lineRule="auto"/>
              <w:ind w:left="878" w:hanging="363"/>
              <w:textAlignment w:val="auto"/>
              <w:rPr>
                <w:rFonts w:eastAsia="MS Mincho"/>
                <w:i/>
                <w:iCs/>
                <w:szCs w:val="24"/>
                <w:lang w:eastAsia="en-GB"/>
              </w:rPr>
            </w:pPr>
            <w:r w:rsidRPr="00096BA6">
              <w:rPr>
                <w:rFonts w:eastAsia="MS Mincho"/>
                <w:i/>
                <w:iCs/>
                <w:szCs w:val="24"/>
                <w:lang w:eastAsia="en-GB"/>
              </w:rPr>
              <w:t>1)</w:t>
            </w:r>
            <w:r w:rsidRPr="00096BA6">
              <w:rPr>
                <w:rFonts w:eastAsia="MS Mincho"/>
                <w:i/>
                <w:iCs/>
                <w:szCs w:val="24"/>
                <w:lang w:eastAsia="en-GB"/>
              </w:rPr>
              <w:tab/>
              <w:t>UE initiated SCG activation</w:t>
            </w:r>
          </w:p>
          <w:p w14:paraId="237F0314" w14:textId="6A25E1C5" w:rsidR="00096BA6" w:rsidRDefault="00096BA6" w:rsidP="00096BA6">
            <w:pPr>
              <w:tabs>
                <w:tab w:val="left" w:pos="1259"/>
              </w:tabs>
              <w:overflowPunct/>
              <w:autoSpaceDE/>
              <w:autoSpaceDN/>
              <w:adjustRightInd/>
              <w:spacing w:after="0" w:line="240" w:lineRule="auto"/>
              <w:ind w:left="878" w:hanging="363"/>
              <w:textAlignment w:val="auto"/>
            </w:pPr>
            <w:r w:rsidRPr="00096BA6">
              <w:rPr>
                <w:rFonts w:eastAsia="MS Mincho"/>
                <w:i/>
                <w:iCs/>
                <w:szCs w:val="24"/>
                <w:lang w:eastAsia="en-GB"/>
              </w:rPr>
              <w:t>2)</w:t>
            </w:r>
            <w:r w:rsidRPr="00096BA6">
              <w:rPr>
                <w:rFonts w:eastAsia="MS Mincho"/>
                <w:i/>
                <w:iCs/>
                <w:szCs w:val="24"/>
                <w:lang w:eastAsia="en-GB"/>
              </w:rPr>
              <w:tab/>
              <w:t>A3/A5 based execution condition for inter-SN CPC</w:t>
            </w:r>
          </w:p>
        </w:tc>
      </w:tr>
    </w:tbl>
    <w:p w14:paraId="05718721" w14:textId="77777777" w:rsidR="00096BA6" w:rsidRDefault="00096BA6" w:rsidP="003B21B7">
      <w:pPr>
        <w:jc w:val="both"/>
      </w:pPr>
    </w:p>
    <w:p w14:paraId="59A31009" w14:textId="176257CF" w:rsidR="00ED0BB9" w:rsidRDefault="003B21B7" w:rsidP="003B21B7">
      <w:pPr>
        <w:jc w:val="both"/>
      </w:pPr>
      <w:r>
        <w:t>R</w:t>
      </w:r>
      <w:r w:rsidRPr="003B21B7">
        <w:t>egarding</w:t>
      </w:r>
      <w:r>
        <w:t xml:space="preserve"> </w:t>
      </w:r>
      <w:r w:rsidRPr="003B21B7">
        <w:t>UE initiated SCG activation</w:t>
      </w:r>
      <w:r>
        <w:t xml:space="preserve">, the following agreements have been </w:t>
      </w:r>
      <w:r w:rsidR="00096BA6">
        <w:t>achieved in this meeting</w:t>
      </w:r>
      <w:r>
        <w:t>:</w:t>
      </w:r>
    </w:p>
    <w:tbl>
      <w:tblPr>
        <w:tblStyle w:val="TableGrid"/>
        <w:tblW w:w="0" w:type="auto"/>
        <w:tblLook w:val="04A0" w:firstRow="1" w:lastRow="0" w:firstColumn="1" w:lastColumn="0" w:noHBand="0" w:noVBand="1"/>
      </w:tblPr>
      <w:tblGrid>
        <w:gridCol w:w="9628"/>
      </w:tblGrid>
      <w:tr w:rsidR="003B21B7" w14:paraId="0C5E11CA" w14:textId="77777777" w:rsidTr="003B21B7">
        <w:tc>
          <w:tcPr>
            <w:tcW w:w="9628" w:type="dxa"/>
          </w:tcPr>
          <w:p w14:paraId="24547E63"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1: RAN2 will not ask RAN3 to allow SCG activation by the SN without MN's response.</w:t>
            </w:r>
          </w:p>
          <w:p w14:paraId="58815A27" w14:textId="77777777" w:rsidR="003B21B7" w:rsidRPr="003B21B7" w:rsidRDefault="003B21B7" w:rsidP="00096BA6">
            <w:pPr>
              <w:tabs>
                <w:tab w:val="num" w:pos="1259"/>
              </w:tabs>
              <w:overflowPunct/>
              <w:autoSpaceDE/>
              <w:autoSpaceDN/>
              <w:adjustRightInd/>
              <w:spacing w:after="0" w:line="240" w:lineRule="auto"/>
              <w:ind w:left="878" w:hanging="363"/>
              <w:textAlignment w:val="auto"/>
              <w:rPr>
                <w:rFonts w:eastAsia="MS Mincho"/>
                <w:i/>
                <w:iCs/>
                <w:szCs w:val="24"/>
                <w:lang w:eastAsia="en-GB"/>
              </w:rPr>
            </w:pPr>
          </w:p>
          <w:p w14:paraId="435128AE"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2: Support the following solutions for UL data arrival while the SCG is deactivated:</w:t>
            </w:r>
          </w:p>
          <w:p w14:paraId="1B926FA8"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 xml:space="preserve">1) for split bearers, send the data via the MCG leg. </w:t>
            </w:r>
            <w:r w:rsidRPr="003B21B7">
              <w:rPr>
                <w:rFonts w:eastAsia="MS Mincho"/>
                <w:b/>
                <w:szCs w:val="24"/>
                <w:highlight w:val="yellow"/>
                <w:lang w:eastAsia="en-GB"/>
              </w:rPr>
              <w:t>FFS how this can be implemented in Stage-3.</w:t>
            </w:r>
          </w:p>
          <w:p w14:paraId="5BD24EB4"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2) for SCG bearers, the UE indicates via the MCG that it has UL data to send for an SCG bearer.</w:t>
            </w:r>
          </w:p>
          <w:p w14:paraId="2E2244F4"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 FFS indication contents and format (e.g. MN RRC message, embedded SN RRC message)</w:t>
            </w:r>
          </w:p>
          <w:p w14:paraId="2E147548" w14:textId="4A8DDCA6" w:rsid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 FFS whether this indication can be used for split bearers</w:t>
            </w:r>
          </w:p>
          <w:p w14:paraId="3F56ADB6" w14:textId="77777777" w:rsidR="00096BA6" w:rsidRPr="003B21B7" w:rsidRDefault="00096BA6" w:rsidP="00096BA6">
            <w:pPr>
              <w:tabs>
                <w:tab w:val="num" w:pos="1259"/>
              </w:tabs>
              <w:overflowPunct/>
              <w:autoSpaceDE/>
              <w:autoSpaceDN/>
              <w:adjustRightInd/>
              <w:spacing w:before="60" w:after="0" w:line="240" w:lineRule="auto"/>
              <w:ind w:left="878" w:hanging="360"/>
              <w:textAlignment w:val="auto"/>
              <w:rPr>
                <w:rFonts w:eastAsia="MS Mincho"/>
                <w:szCs w:val="24"/>
                <w:u w:val="single"/>
                <w:lang w:eastAsia="en-GB"/>
              </w:rPr>
            </w:pPr>
          </w:p>
          <w:p w14:paraId="629F17B9" w14:textId="7B52FE0C" w:rsidR="003B21B7" w:rsidRDefault="003B21B7" w:rsidP="00096BA6">
            <w:pPr>
              <w:tabs>
                <w:tab w:val="num" w:pos="1259"/>
              </w:tabs>
              <w:overflowPunct/>
              <w:autoSpaceDE/>
              <w:autoSpaceDN/>
              <w:adjustRightInd/>
              <w:spacing w:before="60" w:after="0" w:line="240" w:lineRule="auto"/>
              <w:ind w:left="878" w:hanging="360"/>
              <w:textAlignment w:val="auto"/>
            </w:pPr>
            <w:r w:rsidRPr="003B21B7">
              <w:rPr>
                <w:rFonts w:eastAsia="MS Mincho"/>
                <w:b/>
                <w:szCs w:val="24"/>
                <w:highlight w:val="yellow"/>
                <w:lang w:eastAsia="en-GB"/>
              </w:rPr>
              <w:t xml:space="preserve">4: </w:t>
            </w:r>
            <w:r w:rsidRPr="003B21B7">
              <w:rPr>
                <w:rFonts w:eastAsia="MS Mincho"/>
                <w:b/>
                <w:szCs w:val="24"/>
                <w:highlight w:val="yellow"/>
                <w:lang w:eastAsia="en-GB"/>
              </w:rPr>
              <w:tab/>
              <w:t>Proponents who think MCG link recovery via the deactivated SCG should be supported should bring CR to next meeting to illustrate the needed Stage-3 details.</w:t>
            </w:r>
          </w:p>
        </w:tc>
      </w:tr>
    </w:tbl>
    <w:p w14:paraId="3E349893" w14:textId="71044C86" w:rsidR="003B21B7" w:rsidRDefault="00096BA6" w:rsidP="003B21B7">
      <w:pPr>
        <w:jc w:val="both"/>
      </w:pPr>
      <w:r>
        <w:t xml:space="preserve">Currently the </w:t>
      </w:r>
      <w:r w:rsidRPr="003B21B7">
        <w:t>UE initiated SCG activation</w:t>
      </w:r>
      <w:r>
        <w:t xml:space="preserve"> has not been agreed, so there is no need to update UE capabilities accordingly in draft CRs.</w:t>
      </w:r>
    </w:p>
    <w:p w14:paraId="4CF8A62B" w14:textId="32CF5BC5" w:rsidR="00096BA6" w:rsidRDefault="00096BA6" w:rsidP="003B21B7">
      <w:pPr>
        <w:jc w:val="both"/>
        <w:rPr>
          <w:b/>
          <w:bCs/>
        </w:rPr>
      </w:pPr>
      <w:r w:rsidRPr="00096BA6">
        <w:rPr>
          <w:b/>
          <w:bCs/>
        </w:rPr>
        <w:t>Observation 1: since UE initiated SCG activation has not been agreed, there is no need to update UE capabilities accordingly in draft CRs.</w:t>
      </w:r>
    </w:p>
    <w:p w14:paraId="5800578D" w14:textId="06B3186E" w:rsidR="00096BA6" w:rsidRDefault="00456D61" w:rsidP="003B21B7">
      <w:pPr>
        <w:jc w:val="both"/>
      </w:pPr>
      <w:r>
        <w:t>R</w:t>
      </w:r>
      <w:r w:rsidR="00096BA6" w:rsidRPr="00096BA6">
        <w:t>egarding A3/A5 based execution condition for inter-SN CPC</w:t>
      </w:r>
      <w:r w:rsidR="00096BA6">
        <w:t>, RAN2 made the agreements below in this meeting:</w:t>
      </w:r>
    </w:p>
    <w:tbl>
      <w:tblPr>
        <w:tblStyle w:val="TableGrid"/>
        <w:tblW w:w="0" w:type="auto"/>
        <w:tblLook w:val="04A0" w:firstRow="1" w:lastRow="0" w:firstColumn="1" w:lastColumn="0" w:noHBand="0" w:noVBand="1"/>
      </w:tblPr>
      <w:tblGrid>
        <w:gridCol w:w="9628"/>
      </w:tblGrid>
      <w:tr w:rsidR="00096BA6" w14:paraId="164B1722" w14:textId="77777777" w:rsidTr="00096BA6">
        <w:tc>
          <w:tcPr>
            <w:tcW w:w="9628" w:type="dxa"/>
          </w:tcPr>
          <w:p w14:paraId="15E53C68" w14:textId="4153CF92" w:rsidR="00BA66C1" w:rsidRDefault="00BA66C1" w:rsidP="00BA66C1">
            <w:pPr>
              <w:pStyle w:val="Agreement"/>
              <w:tabs>
                <w:tab w:val="clear" w:pos="1619"/>
                <w:tab w:val="num" w:pos="1259"/>
              </w:tabs>
              <w:ind w:left="878"/>
            </w:pPr>
            <w:r>
              <w:t xml:space="preserve">No consensus to support A3/A5 for </w:t>
            </w:r>
            <w:proofErr w:type="spellStart"/>
            <w:r>
              <w:t>PSCell</w:t>
            </w:r>
            <w:proofErr w:type="spellEnd"/>
            <w:r>
              <w:t xml:space="preserve"> in MN-initiated CPC.</w:t>
            </w:r>
          </w:p>
        </w:tc>
      </w:tr>
    </w:tbl>
    <w:p w14:paraId="6F3554C4" w14:textId="77777777" w:rsidR="00BA66C1" w:rsidRDefault="00BA66C1" w:rsidP="00BA66C1">
      <w:pPr>
        <w:jc w:val="both"/>
      </w:pPr>
      <w:r>
        <w:lastRenderedPageBreak/>
        <w:t xml:space="preserve">So the </w:t>
      </w:r>
      <w:bookmarkStart w:id="2" w:name="_Hlk87888452"/>
      <w:r w:rsidRPr="00096BA6">
        <w:t>A3/A5 based execution condition for inter-SN CPC</w:t>
      </w:r>
      <w:r>
        <w:t xml:space="preserve"> </w:t>
      </w:r>
      <w:bookmarkEnd w:id="2"/>
      <w:r>
        <w:t>has not been agreed, there is no need to update UE capabilities accordingly in draft CRs.</w:t>
      </w:r>
    </w:p>
    <w:p w14:paraId="3FB20BF4" w14:textId="0C5680D6" w:rsidR="00BA66C1" w:rsidRDefault="00BA66C1" w:rsidP="00BA66C1">
      <w:pPr>
        <w:jc w:val="both"/>
        <w:rPr>
          <w:b/>
          <w:bCs/>
        </w:rPr>
      </w:pPr>
      <w:r w:rsidRPr="00096BA6">
        <w:rPr>
          <w:b/>
          <w:bCs/>
        </w:rPr>
        <w:t xml:space="preserve">Observation </w:t>
      </w:r>
      <w:r>
        <w:rPr>
          <w:b/>
          <w:bCs/>
        </w:rPr>
        <w:t>2</w:t>
      </w:r>
      <w:r w:rsidRPr="00096BA6">
        <w:rPr>
          <w:b/>
          <w:bCs/>
        </w:rPr>
        <w:t xml:space="preserve">: since </w:t>
      </w:r>
      <w:r w:rsidRPr="00BA66C1">
        <w:rPr>
          <w:b/>
          <w:bCs/>
        </w:rPr>
        <w:t xml:space="preserve">A3/A5 based execution condition for inter-SN CPC </w:t>
      </w:r>
      <w:r w:rsidRPr="00096BA6">
        <w:rPr>
          <w:b/>
          <w:bCs/>
        </w:rPr>
        <w:t>has not been agreed, there is no need to update UE capabilities accordingly in draft CRs.</w:t>
      </w:r>
    </w:p>
    <w:p w14:paraId="0895B29C" w14:textId="56D87573" w:rsidR="00096BA6" w:rsidRDefault="009E605F" w:rsidP="003B21B7">
      <w:pPr>
        <w:jc w:val="both"/>
      </w:pPr>
      <w:r>
        <w:t>In the first round of discussion on DCCA UE capabilities</w:t>
      </w:r>
      <w:r w:rsidR="00456D61">
        <w:t xml:space="preserve"> [1]</w:t>
      </w:r>
      <w:r>
        <w:t>, we also have some</w:t>
      </w:r>
      <w:r w:rsidR="00E11316">
        <w:t xml:space="preserve"> open</w:t>
      </w:r>
      <w:r>
        <w:t xml:space="preserve"> issues on some UE capabilities’ prerequisite feature groups</w:t>
      </w:r>
      <w:r w:rsidR="00E11316">
        <w:t>. According to the agreements below, they are postponed to next meeting, so we don’t need to rush things in this short post-meeting email discussion.</w:t>
      </w:r>
    </w:p>
    <w:tbl>
      <w:tblPr>
        <w:tblStyle w:val="TableGrid"/>
        <w:tblW w:w="0" w:type="auto"/>
        <w:tblLook w:val="04A0" w:firstRow="1" w:lastRow="0" w:firstColumn="1" w:lastColumn="0" w:noHBand="0" w:noVBand="1"/>
      </w:tblPr>
      <w:tblGrid>
        <w:gridCol w:w="9628"/>
      </w:tblGrid>
      <w:tr w:rsidR="00E11316" w14:paraId="25FE7F0C" w14:textId="77777777" w:rsidTr="00E11316">
        <w:tc>
          <w:tcPr>
            <w:tcW w:w="9628" w:type="dxa"/>
          </w:tcPr>
          <w:p w14:paraId="0B144E80" w14:textId="77777777" w:rsidR="00E11316" w:rsidRPr="00C44A06" w:rsidRDefault="00E11316" w:rsidP="00E11316">
            <w:pPr>
              <w:pStyle w:val="Agreement"/>
              <w:tabs>
                <w:tab w:val="clear" w:pos="1619"/>
                <w:tab w:val="num" w:pos="1259"/>
              </w:tabs>
              <w:ind w:left="878"/>
            </w:pPr>
            <w:r w:rsidRPr="00C44A06">
              <w:t>2: RAN2 to further discuss the following open issues in the next meeting:</w:t>
            </w:r>
          </w:p>
          <w:p w14:paraId="25144863" w14:textId="77777777" w:rsidR="00E11316" w:rsidRPr="00C44A06" w:rsidRDefault="00E11316" w:rsidP="00E11316">
            <w:pPr>
              <w:pStyle w:val="Agreement"/>
              <w:numPr>
                <w:ilvl w:val="0"/>
                <w:numId w:val="0"/>
              </w:numPr>
              <w:tabs>
                <w:tab w:val="num" w:pos="1259"/>
              </w:tabs>
              <w:ind w:left="878"/>
            </w:pPr>
            <w:r w:rsidRPr="00C44A06">
              <w:t>1)</w:t>
            </w:r>
            <w:r w:rsidRPr="00C44A06">
              <w:tab/>
              <w:t>Whether to use condPSCellChange-r16 as the Prerequisite for R17 MN initiated CPC?</w:t>
            </w:r>
          </w:p>
          <w:p w14:paraId="1629C72C" w14:textId="77777777" w:rsidR="00E11316" w:rsidRPr="00C44A06" w:rsidRDefault="00E11316" w:rsidP="00E11316">
            <w:pPr>
              <w:pStyle w:val="Agreement"/>
              <w:numPr>
                <w:ilvl w:val="0"/>
                <w:numId w:val="0"/>
              </w:numPr>
              <w:tabs>
                <w:tab w:val="num" w:pos="1259"/>
              </w:tabs>
              <w:ind w:left="878"/>
            </w:pPr>
            <w:r w:rsidRPr="00C44A06">
              <w:t>2)</w:t>
            </w:r>
            <w:r w:rsidRPr="00C44A06">
              <w:tab/>
              <w:t>Whether to reuse R15 RLF/BFD UE capabilities for RLF/BFD monitoring on deactivated SCG?</w:t>
            </w:r>
          </w:p>
          <w:p w14:paraId="5BCAA837" w14:textId="77777777" w:rsidR="00E11316" w:rsidRPr="00C44A06" w:rsidRDefault="00E11316" w:rsidP="00E11316">
            <w:pPr>
              <w:pStyle w:val="Agreement"/>
              <w:numPr>
                <w:ilvl w:val="0"/>
                <w:numId w:val="0"/>
              </w:numPr>
              <w:tabs>
                <w:tab w:val="num" w:pos="1259"/>
              </w:tabs>
              <w:ind w:left="878"/>
            </w:pPr>
            <w:r w:rsidRPr="00C44A06">
              <w:t>3)</w:t>
            </w:r>
            <w:r w:rsidRPr="00C44A06">
              <w:tab/>
              <w:t xml:space="preserve">Whether to make support of RLM/BFD monitoring on deactivated SCG as the Prerequisite for </w:t>
            </w:r>
            <w:proofErr w:type="spellStart"/>
            <w:r w:rsidRPr="00C44A06">
              <w:t>Rachless</w:t>
            </w:r>
            <w:proofErr w:type="spellEnd"/>
            <w:r w:rsidRPr="00C44A06">
              <w:t xml:space="preserve"> SCG activation?</w:t>
            </w:r>
          </w:p>
          <w:p w14:paraId="16A729E2" w14:textId="4FEA017C" w:rsidR="00E11316" w:rsidRDefault="00E11316" w:rsidP="00E11316">
            <w:pPr>
              <w:pStyle w:val="Agreement"/>
              <w:numPr>
                <w:ilvl w:val="0"/>
                <w:numId w:val="0"/>
              </w:numPr>
              <w:tabs>
                <w:tab w:val="num" w:pos="1259"/>
              </w:tabs>
              <w:ind w:left="878"/>
            </w:pPr>
            <w:r w:rsidRPr="00C44A06">
              <w:t>4)</w:t>
            </w:r>
            <w:r w:rsidRPr="00C44A06">
              <w:tab/>
              <w:t>Whether to have separate capabilities for Activation/Deactivation of SCG in Resume and Reconfiguration cases?</w:t>
            </w:r>
          </w:p>
        </w:tc>
      </w:tr>
    </w:tbl>
    <w:p w14:paraId="79893C9E" w14:textId="53644C40" w:rsidR="00E11316" w:rsidRDefault="00E11316" w:rsidP="003B21B7">
      <w:pPr>
        <w:jc w:val="both"/>
      </w:pPr>
    </w:p>
    <w:p w14:paraId="49CE19FA" w14:textId="432747D4" w:rsidR="00E97A6A" w:rsidRDefault="00E97A6A" w:rsidP="003B21B7">
      <w:pPr>
        <w:jc w:val="both"/>
      </w:pPr>
      <w:r>
        <w:t>In this meeting, the following UE capability design has been agreed as baseline</w:t>
      </w:r>
      <w:r w:rsidR="000C710D">
        <w:t xml:space="preserve">. And the corresponding specification changes have been implemented in </w:t>
      </w:r>
      <w:r w:rsidR="000C710D" w:rsidRPr="000C710D">
        <w:t>R2-2109677 and R2-2109678.</w:t>
      </w:r>
    </w:p>
    <w:tbl>
      <w:tblPr>
        <w:tblStyle w:val="TableGrid"/>
        <w:tblW w:w="0" w:type="auto"/>
        <w:tblLook w:val="04A0" w:firstRow="1" w:lastRow="0" w:firstColumn="1" w:lastColumn="0" w:noHBand="0" w:noVBand="1"/>
      </w:tblPr>
      <w:tblGrid>
        <w:gridCol w:w="9631"/>
      </w:tblGrid>
      <w:tr w:rsidR="00E97A6A" w14:paraId="76364789" w14:textId="77777777" w:rsidTr="00E97A6A">
        <w:tc>
          <w:tcPr>
            <w:tcW w:w="9631" w:type="dxa"/>
          </w:tcPr>
          <w:p w14:paraId="7F0B1885" w14:textId="77777777" w:rsidR="00E97A6A" w:rsidRPr="00E97A6A" w:rsidRDefault="00E97A6A" w:rsidP="00D74154">
            <w:pPr>
              <w:tabs>
                <w:tab w:val="num" w:pos="1259"/>
              </w:tabs>
              <w:overflowPunct/>
              <w:autoSpaceDE/>
              <w:autoSpaceDN/>
              <w:adjustRightInd/>
              <w:spacing w:before="60" w:after="0" w:line="240" w:lineRule="auto"/>
              <w:ind w:left="1058" w:hanging="360"/>
              <w:textAlignment w:val="auto"/>
              <w:rPr>
                <w:rFonts w:eastAsia="MS Mincho"/>
                <w:b/>
                <w:szCs w:val="24"/>
                <w:lang w:eastAsia="en-GB"/>
              </w:rPr>
            </w:pPr>
            <w:r w:rsidRPr="00E97A6A">
              <w:rPr>
                <w:rFonts w:eastAsia="MS Mincho"/>
                <w:b/>
                <w:szCs w:val="24"/>
                <w:lang w:eastAsia="en-GB"/>
              </w:rPr>
              <w:t>1:  consider the following UE capabilities and corresponding descriptions as baseline (can still discuss exact details in the next meeting):</w:t>
            </w:r>
          </w:p>
          <w:p w14:paraId="67B8964B" w14:textId="77777777" w:rsidR="00E97A6A" w:rsidRPr="00E97A6A" w:rsidRDefault="00E97A6A" w:rsidP="00E97A6A">
            <w:pPr>
              <w:tabs>
                <w:tab w:val="num" w:pos="1259"/>
              </w:tabs>
              <w:overflowPunct/>
              <w:autoSpaceDE/>
              <w:autoSpaceDN/>
              <w:adjustRightInd/>
              <w:spacing w:after="0" w:line="240" w:lineRule="auto"/>
              <w:ind w:left="1622" w:hanging="363"/>
              <w:textAlignment w:val="auto"/>
              <w:rPr>
                <w:rFonts w:eastAsia="MS Mincho"/>
                <w:i/>
                <w:iCs/>
                <w:szCs w:val="24"/>
                <w:lang w:eastAsia="en-GB"/>
              </w:rPr>
            </w:pPr>
          </w:p>
          <w:tbl>
            <w:tblPr>
              <w:tblW w:w="8078"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421"/>
              <w:gridCol w:w="1450"/>
              <w:gridCol w:w="982"/>
              <w:gridCol w:w="1125"/>
              <w:gridCol w:w="1125"/>
              <w:gridCol w:w="519"/>
              <w:gridCol w:w="1502"/>
            </w:tblGrid>
            <w:tr w:rsidR="00D74154" w:rsidRPr="00E97A6A" w14:paraId="6E44C345"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tcPr>
                <w:p w14:paraId="2F6ABA1A"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Index</w:t>
                  </w:r>
                </w:p>
              </w:tc>
              <w:tc>
                <w:tcPr>
                  <w:tcW w:w="1312" w:type="dxa"/>
                  <w:tcBorders>
                    <w:top w:val="single" w:sz="4" w:space="0" w:color="auto"/>
                    <w:left w:val="single" w:sz="4" w:space="0" w:color="auto"/>
                    <w:bottom w:val="single" w:sz="4" w:space="0" w:color="auto"/>
                    <w:right w:val="single" w:sz="4" w:space="0" w:color="auto"/>
                  </w:tcBorders>
                </w:tcPr>
                <w:p w14:paraId="2C723EC7"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Feature group</w:t>
                  </w:r>
                </w:p>
              </w:tc>
              <w:tc>
                <w:tcPr>
                  <w:tcW w:w="1338" w:type="dxa"/>
                  <w:tcBorders>
                    <w:top w:val="single" w:sz="4" w:space="0" w:color="auto"/>
                    <w:left w:val="single" w:sz="4" w:space="0" w:color="auto"/>
                    <w:bottom w:val="single" w:sz="4" w:space="0" w:color="auto"/>
                    <w:right w:val="single" w:sz="4" w:space="0" w:color="auto"/>
                  </w:tcBorders>
                </w:tcPr>
                <w:p w14:paraId="35DF2F23"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Components</w:t>
                  </w:r>
                </w:p>
              </w:tc>
              <w:tc>
                <w:tcPr>
                  <w:tcW w:w="913" w:type="dxa"/>
                  <w:tcBorders>
                    <w:top w:val="single" w:sz="4" w:space="0" w:color="auto"/>
                    <w:left w:val="single" w:sz="4" w:space="0" w:color="auto"/>
                    <w:bottom w:val="single" w:sz="4" w:space="0" w:color="auto"/>
                    <w:right w:val="single" w:sz="4" w:space="0" w:color="auto"/>
                  </w:tcBorders>
                </w:tcPr>
                <w:p w14:paraId="4E201932"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Prerequisite feature groups</w:t>
                  </w:r>
                </w:p>
              </w:tc>
              <w:tc>
                <w:tcPr>
                  <w:tcW w:w="1043" w:type="dxa"/>
                  <w:tcBorders>
                    <w:top w:val="single" w:sz="4" w:space="0" w:color="auto"/>
                    <w:left w:val="single" w:sz="4" w:space="0" w:color="auto"/>
                    <w:bottom w:val="single" w:sz="4" w:space="0" w:color="auto"/>
                    <w:right w:val="single" w:sz="4" w:space="0" w:color="auto"/>
                  </w:tcBorders>
                </w:tcPr>
                <w:p w14:paraId="407377F1"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val="en-US" w:eastAsia="en-US"/>
                    </w:rPr>
                  </w:pPr>
                  <w:r w:rsidRPr="00E97A6A">
                    <w:rPr>
                      <w:rFonts w:ascii="Tahoma" w:eastAsia="MS LineDraw" w:hAnsi="Tahoma" w:cs="MS LineDraw"/>
                      <w:b/>
                      <w:sz w:val="18"/>
                      <w:lang w:val="en-US" w:eastAsia="en-US"/>
                    </w:rPr>
                    <w:t>Need of FDD/TDD differentiation</w:t>
                  </w:r>
                </w:p>
              </w:tc>
              <w:tc>
                <w:tcPr>
                  <w:tcW w:w="1043" w:type="dxa"/>
                  <w:tcBorders>
                    <w:top w:val="single" w:sz="4" w:space="0" w:color="auto"/>
                    <w:left w:val="single" w:sz="4" w:space="0" w:color="auto"/>
                    <w:bottom w:val="single" w:sz="4" w:space="0" w:color="auto"/>
                    <w:right w:val="single" w:sz="4" w:space="0" w:color="auto"/>
                  </w:tcBorders>
                </w:tcPr>
                <w:p w14:paraId="28CD3E28"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val="en-US" w:eastAsia="en-US"/>
                    </w:rPr>
                  </w:pPr>
                  <w:r w:rsidRPr="00E97A6A">
                    <w:rPr>
                      <w:rFonts w:ascii="Tahoma" w:eastAsia="MS LineDraw" w:hAnsi="Tahoma" w:cs="MS LineDraw"/>
                      <w:b/>
                      <w:sz w:val="18"/>
                      <w:lang w:val="en-US" w:eastAsia="en-US"/>
                    </w:rPr>
                    <w:t>Need of FR1/FR2 differentiation</w:t>
                  </w:r>
                </w:p>
              </w:tc>
              <w:tc>
                <w:tcPr>
                  <w:tcW w:w="492" w:type="dxa"/>
                  <w:tcBorders>
                    <w:top w:val="single" w:sz="4" w:space="0" w:color="auto"/>
                    <w:left w:val="single" w:sz="4" w:space="0" w:color="auto"/>
                    <w:bottom w:val="single" w:sz="4" w:space="0" w:color="auto"/>
                    <w:right w:val="single" w:sz="4" w:space="0" w:color="auto"/>
                  </w:tcBorders>
                </w:tcPr>
                <w:p w14:paraId="64D643B2" w14:textId="77777777" w:rsidR="00E97A6A" w:rsidRPr="00E97A6A" w:rsidRDefault="00E97A6A" w:rsidP="00E97A6A">
                  <w:pPr>
                    <w:keepNext/>
                    <w:keepLines/>
                    <w:tabs>
                      <w:tab w:val="num" w:pos="1259"/>
                    </w:tabs>
                    <w:spacing w:after="0"/>
                    <w:rPr>
                      <w:rFonts w:ascii="Tahoma" w:eastAsia="MS LineDraw" w:hAnsi="Tahoma" w:cs="MS LineDraw"/>
                      <w:b/>
                      <w:sz w:val="18"/>
                      <w:lang w:val="en-US" w:eastAsia="en-US"/>
                    </w:rPr>
                  </w:pPr>
                  <w:r w:rsidRPr="00E97A6A">
                    <w:rPr>
                      <w:rFonts w:ascii="Tahoma" w:eastAsia="MS LineDraw" w:hAnsi="Tahoma" w:cs="MS LineDraw" w:hint="eastAsia"/>
                      <w:b/>
                      <w:sz w:val="18"/>
                      <w:lang w:val="en-US" w:eastAsia="en-US"/>
                    </w:rPr>
                    <w:t>Type</w:t>
                  </w:r>
                </w:p>
                <w:p w14:paraId="0AEFE23A" w14:textId="65A136CB" w:rsidR="00E97A6A" w:rsidRPr="00E97A6A" w:rsidRDefault="00E97A6A" w:rsidP="00E97A6A">
                  <w:pPr>
                    <w:keepNext/>
                    <w:keepLines/>
                    <w:tabs>
                      <w:tab w:val="num" w:pos="1259"/>
                    </w:tabs>
                    <w:spacing w:after="0" w:line="240" w:lineRule="auto"/>
                    <w:rPr>
                      <w:rFonts w:ascii="Tahoma" w:eastAsia="MS LineDraw" w:hAnsi="Tahoma" w:cs="MS LineDraw"/>
                      <w:b/>
                      <w:sz w:val="18"/>
                      <w:lang w:val="en-US" w:eastAsia="en-US"/>
                    </w:rPr>
                  </w:pPr>
                </w:p>
              </w:tc>
              <w:tc>
                <w:tcPr>
                  <w:tcW w:w="1385" w:type="dxa"/>
                  <w:tcBorders>
                    <w:top w:val="single" w:sz="4" w:space="0" w:color="auto"/>
                    <w:left w:val="single" w:sz="4" w:space="0" w:color="auto"/>
                    <w:bottom w:val="single" w:sz="4" w:space="0" w:color="auto"/>
                    <w:right w:val="single" w:sz="4" w:space="0" w:color="auto"/>
                  </w:tcBorders>
                </w:tcPr>
                <w:p w14:paraId="2FC68764"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Mandatory/Optional</w:t>
                  </w:r>
                </w:p>
              </w:tc>
            </w:tr>
            <w:tr w:rsidR="00D74154" w:rsidRPr="00E97A6A" w14:paraId="7306C9E7"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tcPr>
                <w:p w14:paraId="5F0413E4"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Malgun Gothic" w:hAnsi="Calibri Light" w:cs="Calibri Light"/>
                      <w:sz w:val="18"/>
                      <w:szCs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-1</w:t>
                  </w:r>
                </w:p>
              </w:tc>
              <w:tc>
                <w:tcPr>
                  <w:tcW w:w="1312" w:type="dxa"/>
                  <w:tcBorders>
                    <w:top w:val="single" w:sz="4" w:space="0" w:color="auto"/>
                    <w:left w:val="single" w:sz="4" w:space="0" w:color="auto"/>
                    <w:bottom w:val="single" w:sz="4" w:space="0" w:color="auto"/>
                    <w:right w:val="single" w:sz="4" w:space="0" w:color="auto"/>
                  </w:tcBorders>
                </w:tcPr>
                <w:p w14:paraId="3A7C0C5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SimSun" w:hAnsi="Calibri Light" w:cs="Calibri Light"/>
                      <w:sz w:val="18"/>
                      <w:szCs w:val="18"/>
                      <w:lang w:val="x-none" w:eastAsia="en-US"/>
                    </w:rPr>
                  </w:pPr>
                  <w:r w:rsidRPr="00E97A6A">
                    <w:rPr>
                      <w:rFonts w:eastAsia="SimSun"/>
                      <w:sz w:val="18"/>
                      <w:lang w:val="en-US" w:eastAsia="en-US"/>
                    </w:rPr>
                    <w:t>Activation/Deactivation of SCG</w:t>
                  </w:r>
                </w:p>
              </w:tc>
              <w:tc>
                <w:tcPr>
                  <w:tcW w:w="1338" w:type="dxa"/>
                  <w:tcBorders>
                    <w:top w:val="single" w:sz="4" w:space="0" w:color="auto"/>
                    <w:left w:val="single" w:sz="4" w:space="0" w:color="auto"/>
                    <w:bottom w:val="single" w:sz="4" w:space="0" w:color="auto"/>
                    <w:right w:val="single" w:sz="4" w:space="0" w:color="auto"/>
                  </w:tcBorders>
                </w:tcPr>
                <w:p w14:paraId="43F2186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Support of activation/deactivation of SCG</w:t>
                  </w:r>
                  <w:r w:rsidRPr="00E97A6A">
                    <w:rPr>
                      <w:rFonts w:ascii="Arial" w:eastAsia="MS PGothic" w:hAnsi="Arial"/>
                      <w:sz w:val="18"/>
                      <w:lang w:val="en-US" w:eastAsia="en-US"/>
                    </w:rPr>
                    <w:t>.</w:t>
                  </w:r>
                </w:p>
              </w:tc>
              <w:tc>
                <w:tcPr>
                  <w:tcW w:w="913" w:type="dxa"/>
                  <w:tcBorders>
                    <w:top w:val="single" w:sz="4" w:space="0" w:color="auto"/>
                    <w:left w:val="single" w:sz="4" w:space="0" w:color="auto"/>
                    <w:bottom w:val="single" w:sz="4" w:space="0" w:color="auto"/>
                    <w:right w:val="single" w:sz="4" w:space="0" w:color="auto"/>
                  </w:tcBorders>
                </w:tcPr>
                <w:p w14:paraId="399F2D77"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S Mincho" w:hAnsi="Arial"/>
                      <w:sz w:val="18"/>
                      <w:lang w:val="en-US" w:eastAsia="en-US"/>
                    </w:rPr>
                  </w:pPr>
                </w:p>
              </w:tc>
              <w:tc>
                <w:tcPr>
                  <w:tcW w:w="1043" w:type="dxa"/>
                  <w:tcBorders>
                    <w:top w:val="single" w:sz="4" w:space="0" w:color="auto"/>
                    <w:left w:val="single" w:sz="4" w:space="0" w:color="auto"/>
                    <w:bottom w:val="single" w:sz="4" w:space="0" w:color="auto"/>
                    <w:right w:val="single" w:sz="4" w:space="0" w:color="auto"/>
                  </w:tcBorders>
                </w:tcPr>
                <w:p w14:paraId="2AA00659"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1043" w:type="dxa"/>
                  <w:tcBorders>
                    <w:top w:val="single" w:sz="4" w:space="0" w:color="auto"/>
                    <w:left w:val="single" w:sz="4" w:space="0" w:color="auto"/>
                    <w:bottom w:val="single" w:sz="4" w:space="0" w:color="auto"/>
                    <w:right w:val="single" w:sz="4" w:space="0" w:color="auto"/>
                  </w:tcBorders>
                </w:tcPr>
                <w:p w14:paraId="58204F2F"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DengXian" w:hAnsi="Arial"/>
                      <w:sz w:val="18"/>
                      <w:lang w:val="en-US" w:eastAsia="en-US"/>
                    </w:rPr>
                  </w:pPr>
                  <w:r w:rsidRPr="00E97A6A">
                    <w:rPr>
                      <w:rFonts w:ascii="Arial" w:eastAsia="DengXian" w:hAnsi="Arial"/>
                      <w:sz w:val="18"/>
                      <w:lang w:val="en-US" w:eastAsia="en-US"/>
                    </w:rPr>
                    <w:t>Yes</w:t>
                  </w:r>
                </w:p>
              </w:tc>
              <w:tc>
                <w:tcPr>
                  <w:tcW w:w="492" w:type="dxa"/>
                  <w:tcBorders>
                    <w:top w:val="single" w:sz="4" w:space="0" w:color="auto"/>
                    <w:left w:val="single" w:sz="4" w:space="0" w:color="auto"/>
                    <w:bottom w:val="single" w:sz="4" w:space="0" w:color="auto"/>
                    <w:right w:val="single" w:sz="4" w:space="0" w:color="auto"/>
                  </w:tcBorders>
                </w:tcPr>
                <w:p w14:paraId="6A8AA985"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x-none"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tcPr>
                <w:p w14:paraId="64963F49"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 xml:space="preserve">Optional with capability </w:t>
                  </w:r>
                  <w:proofErr w:type="spellStart"/>
                  <w:r w:rsidRPr="00E97A6A">
                    <w:rPr>
                      <w:rFonts w:ascii="Arial" w:eastAsia="Malgun Gothic" w:hAnsi="Arial"/>
                      <w:sz w:val="18"/>
                      <w:lang w:val="x-none" w:eastAsia="en-US"/>
                    </w:rPr>
                    <w:t>signalling</w:t>
                  </w:r>
                  <w:proofErr w:type="spellEnd"/>
                </w:p>
              </w:tc>
            </w:tr>
            <w:tr w:rsidR="00D74154" w:rsidRPr="00E97A6A" w14:paraId="6C7298A6"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667CA2D2"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Malgun Gothic" w:hAnsi="Calibri Light" w:cs="Calibri Light"/>
                      <w:sz w:val="18"/>
                      <w:szCs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-2</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567F2E8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SimSun" w:hAnsi="Calibri Light" w:cs="Calibri Light"/>
                      <w:sz w:val="18"/>
                      <w:szCs w:val="18"/>
                      <w:lang w:val="x-none" w:eastAsia="en-US"/>
                    </w:rPr>
                  </w:pPr>
                  <w:r w:rsidRPr="00E97A6A">
                    <w:rPr>
                      <w:rFonts w:eastAsia="SimSun"/>
                      <w:sz w:val="18"/>
                      <w:lang w:val="en-US" w:eastAsia="en-US"/>
                    </w:rPr>
                    <w:t>Activation/Deactivation of SCG</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828BB85"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x-none" w:eastAsia="en-US"/>
                    </w:rPr>
                    <w:t>RACH-less SCG activation</w:t>
                  </w:r>
                  <w:r w:rsidRPr="00E97A6A">
                    <w:rPr>
                      <w:rFonts w:ascii="Arial" w:eastAsia="Malgun Gothic" w:hAnsi="Arial"/>
                      <w:sz w:val="18"/>
                      <w:lang w:val="en-US" w:eastAsia="en-US"/>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7DAECC4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FFS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5DFE6B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9A38872"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DengXian" w:hAnsi="Arial"/>
                      <w:sz w:val="18"/>
                      <w:lang w:val="en-US" w:eastAsia="en-US"/>
                    </w:rPr>
                  </w:pPr>
                  <w:r w:rsidRPr="00E97A6A">
                    <w:rPr>
                      <w:rFonts w:ascii="Arial" w:eastAsia="Malgun Gothic" w:hAnsi="Arial"/>
                      <w:sz w:val="18"/>
                      <w:lang w:val="en-US" w:eastAsia="en-US"/>
                    </w:rPr>
                    <w:t>Yes</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1B66890"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x-none"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0DD62C6A"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 xml:space="preserve">Optional with capability </w:t>
                  </w:r>
                  <w:proofErr w:type="spellStart"/>
                  <w:r w:rsidRPr="00E97A6A">
                    <w:rPr>
                      <w:rFonts w:ascii="Arial" w:eastAsia="Malgun Gothic" w:hAnsi="Arial"/>
                      <w:sz w:val="18"/>
                      <w:lang w:val="x-none" w:eastAsia="en-US"/>
                    </w:rPr>
                    <w:t>signalling</w:t>
                  </w:r>
                  <w:proofErr w:type="spellEnd"/>
                </w:p>
              </w:tc>
            </w:tr>
            <w:tr w:rsidR="00D74154" w:rsidRPr="00E97A6A" w14:paraId="230A368B"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035716B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Malgun Gothic" w:hAnsi="Calibri Light" w:cs="Calibri Light"/>
                      <w:sz w:val="18"/>
                      <w:szCs w:val="18"/>
                      <w:lang w:val="x-none" w:eastAsia="en-US"/>
                    </w:rPr>
                  </w:pPr>
                  <w:r w:rsidRPr="00E97A6A">
                    <w:rPr>
                      <w:rFonts w:ascii="Arial" w:eastAsia="Malgun Gothic" w:hAnsi="Arial"/>
                      <w:sz w:val="18"/>
                      <w:lang w:val="en-US" w:eastAsia="en-US"/>
                    </w:rPr>
                    <w:t>x-3</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3F0F0814"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SimSun" w:hAnsi="Calibri Light" w:cs="Calibri Light"/>
                      <w:sz w:val="18"/>
                      <w:szCs w:val="18"/>
                      <w:lang w:val="en-US" w:eastAsia="en-US"/>
                    </w:rPr>
                  </w:pPr>
                  <w:r w:rsidRPr="00E97A6A">
                    <w:rPr>
                      <w:rFonts w:ascii="Arial" w:eastAsia="Malgun Gothic" w:hAnsi="Arial"/>
                      <w:sz w:val="18"/>
                      <w:lang w:val="en-US" w:eastAsia="en-US"/>
                    </w:rPr>
                    <w:t>CPAC</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EB5B770"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CPA for NR-DC</w:t>
                  </w:r>
                </w:p>
                <w:p w14:paraId="5C4B2B29"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4AC3BE2D"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263AEF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53C4C24"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541D813"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en-US"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4A0AFFF5"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 xml:space="preserve">Optional with capability </w:t>
                  </w:r>
                  <w:proofErr w:type="spellStart"/>
                  <w:r w:rsidRPr="00E97A6A">
                    <w:rPr>
                      <w:rFonts w:ascii="Arial" w:eastAsia="Malgun Gothic" w:hAnsi="Arial"/>
                      <w:sz w:val="18"/>
                      <w:lang w:val="x-none" w:eastAsia="en-US"/>
                    </w:rPr>
                    <w:t>signalling</w:t>
                  </w:r>
                  <w:proofErr w:type="spellEnd"/>
                </w:p>
              </w:tc>
            </w:tr>
            <w:tr w:rsidR="00D74154" w:rsidRPr="00E97A6A" w14:paraId="58FB38B2"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59DB327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4</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492C9D88"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CPAC</w:t>
                  </w:r>
                </w:p>
                <w:p w14:paraId="4FA4461E"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C22D353"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CPA for (NG)EN-DC</w:t>
                  </w:r>
                </w:p>
                <w:p w14:paraId="0F11FC9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40149E0D"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200271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AE8C3C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EAB46BE"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en-US"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2BC5A943"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 xml:space="preserve">Optional with capability </w:t>
                  </w:r>
                  <w:proofErr w:type="spellStart"/>
                  <w:r w:rsidRPr="00E97A6A">
                    <w:rPr>
                      <w:rFonts w:ascii="Arial" w:eastAsia="Malgun Gothic" w:hAnsi="Arial"/>
                      <w:sz w:val="18"/>
                      <w:lang w:val="x-none" w:eastAsia="en-US"/>
                    </w:rPr>
                    <w:t>signalling</w:t>
                  </w:r>
                  <w:proofErr w:type="spellEnd"/>
                </w:p>
              </w:tc>
            </w:tr>
            <w:tr w:rsidR="00D74154" w:rsidRPr="00E97A6A" w14:paraId="78ED3571"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38BAD7D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-5</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72F6F80B"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en-US" w:eastAsia="en-US"/>
                    </w:rPr>
                    <w:t>CPAC</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796ACE5"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MN initiated CPC in NR-DC</w:t>
                  </w:r>
                </w:p>
                <w:p w14:paraId="3A737A13"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eastAsia="en-US"/>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7B1EFD2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FFS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EE36BC1"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5A9C52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CFDFEC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en-US"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3723F14F"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x-none" w:eastAsia="en-US"/>
                    </w:rPr>
                    <w:t xml:space="preserve">Optional with capability </w:t>
                  </w:r>
                  <w:proofErr w:type="spellStart"/>
                  <w:r w:rsidRPr="00E97A6A">
                    <w:rPr>
                      <w:rFonts w:ascii="Arial" w:eastAsia="Malgun Gothic" w:hAnsi="Arial"/>
                      <w:sz w:val="18"/>
                      <w:lang w:val="x-none" w:eastAsia="en-US"/>
                    </w:rPr>
                    <w:t>signalling</w:t>
                  </w:r>
                  <w:proofErr w:type="spellEnd"/>
                </w:p>
              </w:tc>
            </w:tr>
            <w:tr w:rsidR="00D74154" w:rsidRPr="00E97A6A" w14:paraId="7E5BC55E"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3F2836C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Malgun Gothic" w:hAnsi="Calibri Light" w:cs="Calibri Light"/>
                      <w:sz w:val="18"/>
                      <w:szCs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-6</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04CA1430"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SimSun" w:hAnsi="Calibri Light" w:cs="Calibri Light"/>
                      <w:sz w:val="18"/>
                      <w:szCs w:val="18"/>
                      <w:lang w:val="x-none" w:eastAsia="en-US"/>
                    </w:rPr>
                  </w:pPr>
                  <w:r w:rsidRPr="00E97A6A">
                    <w:rPr>
                      <w:rFonts w:ascii="Arial" w:eastAsia="Malgun Gothic" w:hAnsi="Arial"/>
                      <w:sz w:val="18"/>
                      <w:lang w:val="en-US" w:eastAsia="en-US"/>
                    </w:rPr>
                    <w:t>CPAC</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7752923"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MN initiated CPC in (NG)EN-DC</w:t>
                  </w:r>
                </w:p>
                <w:p w14:paraId="44B80A4B"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eastAsia="en-US"/>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636FAC45"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FFS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E30C8C7"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09361D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11D765B"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x-none"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12526790"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 xml:space="preserve">Optional with capability </w:t>
                  </w:r>
                  <w:proofErr w:type="spellStart"/>
                  <w:r w:rsidRPr="00E97A6A">
                    <w:rPr>
                      <w:rFonts w:ascii="Arial" w:eastAsia="Malgun Gothic" w:hAnsi="Arial"/>
                      <w:sz w:val="18"/>
                      <w:lang w:val="x-none" w:eastAsia="en-US"/>
                    </w:rPr>
                    <w:t>signalling</w:t>
                  </w:r>
                  <w:proofErr w:type="spellEnd"/>
                </w:p>
              </w:tc>
            </w:tr>
          </w:tbl>
          <w:p w14:paraId="6CFE6359" w14:textId="77777777" w:rsidR="00E97A6A" w:rsidRDefault="00E97A6A" w:rsidP="003B21B7">
            <w:pPr>
              <w:jc w:val="both"/>
            </w:pPr>
          </w:p>
        </w:tc>
      </w:tr>
    </w:tbl>
    <w:p w14:paraId="6D0EB355" w14:textId="77777777" w:rsidR="00E97A6A" w:rsidRPr="003B21B7" w:rsidRDefault="00E97A6A" w:rsidP="003B21B7">
      <w:pPr>
        <w:jc w:val="both"/>
      </w:pPr>
    </w:p>
    <w:p w14:paraId="70C84314" w14:textId="7B490AAE" w:rsidR="00ED0BB9" w:rsidRDefault="00E11316" w:rsidP="00E11316">
      <w:r w:rsidRPr="00E11316">
        <w:t xml:space="preserve">In this </w:t>
      </w:r>
      <w:r>
        <w:t>short post-meeting email discussion, companies are invited to provide comments on</w:t>
      </w:r>
      <w:r w:rsidR="00EC6AA9">
        <w:t xml:space="preserve"> </w:t>
      </w:r>
      <w:r>
        <w:t>the</w:t>
      </w:r>
      <w:r w:rsidR="00EC6AA9">
        <w:t xml:space="preserve"> draft CRs as below. And the draft CRs can be updated based on the consensus </w:t>
      </w:r>
      <w:r w:rsidR="00D74154">
        <w:t xml:space="preserve">(if possible) </w:t>
      </w:r>
      <w:r w:rsidR="00EC6AA9">
        <w:t>we made in this email discussion.</w:t>
      </w:r>
    </w:p>
    <w:tbl>
      <w:tblPr>
        <w:tblStyle w:val="TableGrid"/>
        <w:tblW w:w="0" w:type="auto"/>
        <w:tblLook w:val="04A0" w:firstRow="1" w:lastRow="0" w:firstColumn="1" w:lastColumn="0" w:noHBand="0" w:noVBand="1"/>
      </w:tblPr>
      <w:tblGrid>
        <w:gridCol w:w="9631"/>
      </w:tblGrid>
      <w:tr w:rsidR="00EC6AA9" w14:paraId="12A1F808" w14:textId="77777777" w:rsidTr="00EC6AA9">
        <w:tc>
          <w:tcPr>
            <w:tcW w:w="9631" w:type="dxa"/>
          </w:tcPr>
          <w:p w14:paraId="59FF13B3" w14:textId="77777777" w:rsidR="00EC6AA9" w:rsidRPr="00EC6AA9" w:rsidRDefault="00534546" w:rsidP="00EC6AA9">
            <w:pPr>
              <w:overflowPunct/>
              <w:autoSpaceDE/>
              <w:autoSpaceDN/>
              <w:adjustRightInd/>
              <w:spacing w:before="60" w:after="0" w:line="240" w:lineRule="auto"/>
              <w:ind w:left="1259" w:hanging="1259"/>
              <w:textAlignment w:val="auto"/>
              <w:rPr>
                <w:rFonts w:eastAsia="MS Mincho"/>
                <w:noProof/>
                <w:szCs w:val="24"/>
                <w:lang w:eastAsia="en-GB"/>
              </w:rPr>
            </w:pPr>
            <w:hyperlink r:id="rId14" w:history="1">
              <w:r w:rsidR="00EC6AA9" w:rsidRPr="00EC6AA9">
                <w:rPr>
                  <w:rFonts w:eastAsia="MS Mincho"/>
                  <w:noProof/>
                  <w:color w:val="0000FF"/>
                  <w:szCs w:val="24"/>
                  <w:u w:val="single"/>
                  <w:lang w:eastAsia="en-GB"/>
                </w:rPr>
                <w:t>R2-2109677</w:t>
              </w:r>
            </w:hyperlink>
            <w:r w:rsidR="00EC6AA9" w:rsidRPr="00EC6AA9">
              <w:rPr>
                <w:rFonts w:eastAsia="MS Mincho"/>
                <w:noProof/>
                <w:szCs w:val="24"/>
                <w:lang w:eastAsia="en-GB"/>
              </w:rPr>
              <w:tab/>
              <w:t>draft 331 CR for DCCA UE capabilities</w:t>
            </w:r>
            <w:r w:rsidR="00EC6AA9" w:rsidRPr="00EC6AA9">
              <w:rPr>
                <w:rFonts w:eastAsia="MS Mincho"/>
                <w:noProof/>
                <w:szCs w:val="24"/>
                <w:lang w:eastAsia="en-GB"/>
              </w:rPr>
              <w:tab/>
              <w:t>Intel Corporation</w:t>
            </w:r>
            <w:r w:rsidR="00EC6AA9" w:rsidRPr="00EC6AA9">
              <w:rPr>
                <w:rFonts w:eastAsia="MS Mincho"/>
                <w:noProof/>
                <w:szCs w:val="24"/>
                <w:lang w:eastAsia="en-GB"/>
              </w:rPr>
              <w:tab/>
              <w:t>draftCR</w:t>
            </w:r>
            <w:r w:rsidR="00EC6AA9" w:rsidRPr="00EC6AA9">
              <w:rPr>
                <w:rFonts w:eastAsia="MS Mincho"/>
                <w:noProof/>
                <w:szCs w:val="24"/>
                <w:lang w:eastAsia="en-GB"/>
              </w:rPr>
              <w:tab/>
              <w:t>Rel-17</w:t>
            </w:r>
            <w:r w:rsidR="00EC6AA9" w:rsidRPr="00EC6AA9">
              <w:rPr>
                <w:rFonts w:eastAsia="MS Mincho"/>
                <w:noProof/>
                <w:szCs w:val="24"/>
                <w:lang w:eastAsia="en-GB"/>
              </w:rPr>
              <w:tab/>
              <w:t>38.331</w:t>
            </w:r>
            <w:r w:rsidR="00EC6AA9" w:rsidRPr="00EC6AA9">
              <w:rPr>
                <w:rFonts w:eastAsia="MS Mincho"/>
                <w:noProof/>
                <w:szCs w:val="24"/>
                <w:lang w:eastAsia="en-GB"/>
              </w:rPr>
              <w:tab/>
              <w:t>16.6.0</w:t>
            </w:r>
            <w:r w:rsidR="00EC6AA9" w:rsidRPr="00EC6AA9">
              <w:rPr>
                <w:rFonts w:eastAsia="MS Mincho"/>
                <w:noProof/>
                <w:szCs w:val="24"/>
                <w:lang w:eastAsia="en-GB"/>
              </w:rPr>
              <w:tab/>
              <w:t>B</w:t>
            </w:r>
            <w:r w:rsidR="00EC6AA9" w:rsidRPr="00EC6AA9">
              <w:rPr>
                <w:rFonts w:eastAsia="MS Mincho"/>
                <w:noProof/>
                <w:szCs w:val="24"/>
                <w:lang w:eastAsia="en-GB"/>
              </w:rPr>
              <w:tab/>
              <w:t>LTE_NR_DC_enh2-Core</w:t>
            </w:r>
          </w:p>
          <w:p w14:paraId="68AF4855" w14:textId="77777777" w:rsidR="00EC6AA9" w:rsidRDefault="00534546" w:rsidP="00EC6AA9">
            <w:pPr>
              <w:overflowPunct/>
              <w:autoSpaceDE/>
              <w:autoSpaceDN/>
              <w:adjustRightInd/>
              <w:spacing w:before="60" w:after="0" w:line="240" w:lineRule="auto"/>
              <w:ind w:left="1259" w:hanging="1259"/>
              <w:textAlignment w:val="auto"/>
              <w:rPr>
                <w:rFonts w:eastAsia="MS Mincho"/>
                <w:noProof/>
                <w:szCs w:val="24"/>
                <w:lang w:eastAsia="en-GB"/>
              </w:rPr>
            </w:pPr>
            <w:hyperlink r:id="rId15" w:history="1">
              <w:r w:rsidR="00EC6AA9" w:rsidRPr="00EC6AA9">
                <w:rPr>
                  <w:rFonts w:eastAsia="MS Mincho"/>
                  <w:noProof/>
                  <w:color w:val="0000FF"/>
                  <w:szCs w:val="24"/>
                  <w:u w:val="single"/>
                  <w:lang w:eastAsia="en-GB"/>
                </w:rPr>
                <w:t>R2-2109678</w:t>
              </w:r>
            </w:hyperlink>
            <w:r w:rsidR="00EC6AA9" w:rsidRPr="00EC6AA9">
              <w:rPr>
                <w:rFonts w:eastAsia="MS Mincho"/>
                <w:noProof/>
                <w:szCs w:val="24"/>
                <w:lang w:eastAsia="en-GB"/>
              </w:rPr>
              <w:tab/>
              <w:t>draft 306 CR for DCCA UE capabilities</w:t>
            </w:r>
            <w:r w:rsidR="00EC6AA9" w:rsidRPr="00EC6AA9">
              <w:rPr>
                <w:rFonts w:eastAsia="MS Mincho"/>
                <w:noProof/>
                <w:szCs w:val="24"/>
                <w:lang w:eastAsia="en-GB"/>
              </w:rPr>
              <w:tab/>
              <w:t>Intel Corporation</w:t>
            </w:r>
            <w:r w:rsidR="00EC6AA9" w:rsidRPr="00EC6AA9">
              <w:rPr>
                <w:rFonts w:eastAsia="MS Mincho"/>
                <w:noProof/>
                <w:szCs w:val="24"/>
                <w:lang w:eastAsia="en-GB"/>
              </w:rPr>
              <w:tab/>
              <w:t>draftCR</w:t>
            </w:r>
            <w:r w:rsidR="00EC6AA9" w:rsidRPr="00EC6AA9">
              <w:rPr>
                <w:rFonts w:eastAsia="MS Mincho"/>
                <w:noProof/>
                <w:szCs w:val="24"/>
                <w:lang w:eastAsia="en-GB"/>
              </w:rPr>
              <w:tab/>
              <w:t>Rel-17</w:t>
            </w:r>
            <w:r w:rsidR="00EC6AA9" w:rsidRPr="00EC6AA9">
              <w:rPr>
                <w:rFonts w:eastAsia="MS Mincho"/>
                <w:noProof/>
                <w:szCs w:val="24"/>
                <w:lang w:eastAsia="en-GB"/>
              </w:rPr>
              <w:tab/>
              <w:t>38.306</w:t>
            </w:r>
            <w:r w:rsidR="00EC6AA9" w:rsidRPr="00EC6AA9">
              <w:rPr>
                <w:rFonts w:eastAsia="MS Mincho"/>
                <w:noProof/>
                <w:szCs w:val="24"/>
                <w:lang w:eastAsia="en-GB"/>
              </w:rPr>
              <w:tab/>
              <w:t>16.6.0</w:t>
            </w:r>
            <w:r w:rsidR="00EC6AA9" w:rsidRPr="00EC6AA9">
              <w:rPr>
                <w:rFonts w:eastAsia="MS Mincho"/>
                <w:noProof/>
                <w:szCs w:val="24"/>
                <w:lang w:eastAsia="en-GB"/>
              </w:rPr>
              <w:tab/>
              <w:t>B</w:t>
            </w:r>
            <w:r w:rsidR="00EC6AA9" w:rsidRPr="00EC6AA9">
              <w:rPr>
                <w:rFonts w:eastAsia="MS Mincho"/>
                <w:noProof/>
                <w:szCs w:val="24"/>
                <w:lang w:eastAsia="en-GB"/>
              </w:rPr>
              <w:tab/>
              <w:t>LTE_NR_DC_enh2-Core</w:t>
            </w:r>
          </w:p>
          <w:p w14:paraId="6AEC9F23" w14:textId="4D7C83BB" w:rsidR="00A11E27" w:rsidRDefault="00A11E27" w:rsidP="00A11E27">
            <w:pPr>
              <w:pStyle w:val="Agreement"/>
            </w:pPr>
            <w:r>
              <w:rPr>
                <w:highlight w:val="yellow"/>
              </w:rPr>
              <w:t xml:space="preserve">Can be considered as baseline for </w:t>
            </w:r>
            <w:r w:rsidRPr="000B3DD7">
              <w:rPr>
                <w:highlight w:val="yellow"/>
              </w:rPr>
              <w:t xml:space="preserve">CRs </w:t>
            </w:r>
            <w:r>
              <w:rPr>
                <w:highlight w:val="yellow"/>
              </w:rPr>
              <w:t xml:space="preserve">on </w:t>
            </w:r>
            <w:r w:rsidRPr="000B3DD7">
              <w:rPr>
                <w:highlight w:val="yellow"/>
              </w:rPr>
              <w:t>DCCA UE capabilities</w:t>
            </w:r>
            <w:r>
              <w:rPr>
                <w:highlight w:val="yellow"/>
              </w:rPr>
              <w:t xml:space="preserve"> in the next meeting</w:t>
            </w:r>
          </w:p>
        </w:tc>
      </w:tr>
    </w:tbl>
    <w:p w14:paraId="0F7158E8" w14:textId="77777777" w:rsidR="00EC6AA9" w:rsidRDefault="00EC6AA9" w:rsidP="00E11316"/>
    <w:p w14:paraId="4DC24D1A" w14:textId="458BAEB5" w:rsidR="00ED0BB9" w:rsidRPr="00EC6AA9" w:rsidRDefault="00EC6AA9">
      <w:pPr>
        <w:jc w:val="both"/>
        <w:rPr>
          <w:b/>
          <w:bCs/>
        </w:rPr>
      </w:pPr>
      <w:r w:rsidRPr="00EC6AA9">
        <w:rPr>
          <w:b/>
          <w:bCs/>
        </w:rPr>
        <w:t>Question</w:t>
      </w:r>
      <w:r w:rsidR="00A11E27">
        <w:rPr>
          <w:b/>
          <w:bCs/>
        </w:rPr>
        <w:t xml:space="preserve"> 1</w:t>
      </w:r>
      <w:r w:rsidRPr="00EC6AA9">
        <w:rPr>
          <w:b/>
          <w:bCs/>
        </w:rPr>
        <w:t>: Companies are invited to provide comments here on current UE capabilities draft CRs, i.e., R2-2109677 and R2-2109678.</w:t>
      </w:r>
    </w:p>
    <w:tbl>
      <w:tblPr>
        <w:tblStyle w:val="TableGrid"/>
        <w:tblW w:w="0" w:type="auto"/>
        <w:tblLook w:val="04A0" w:firstRow="1" w:lastRow="0" w:firstColumn="1" w:lastColumn="0" w:noHBand="0" w:noVBand="1"/>
      </w:tblPr>
      <w:tblGrid>
        <w:gridCol w:w="1795"/>
        <w:gridCol w:w="7836"/>
      </w:tblGrid>
      <w:tr w:rsidR="00EC6AA9" w14:paraId="04FCE0CF" w14:textId="77777777" w:rsidTr="00EC6AA9">
        <w:tc>
          <w:tcPr>
            <w:tcW w:w="1795" w:type="dxa"/>
          </w:tcPr>
          <w:p w14:paraId="6B632223" w14:textId="3948D4CD" w:rsidR="00EC6AA9" w:rsidRPr="00A629D4" w:rsidRDefault="00EC6AA9">
            <w:pPr>
              <w:jc w:val="both"/>
              <w:rPr>
                <w:b/>
                <w:bCs/>
              </w:rPr>
            </w:pPr>
            <w:r w:rsidRPr="00A629D4">
              <w:rPr>
                <w:b/>
                <w:bCs/>
              </w:rPr>
              <w:t>Company</w:t>
            </w:r>
          </w:p>
        </w:tc>
        <w:tc>
          <w:tcPr>
            <w:tcW w:w="7836" w:type="dxa"/>
          </w:tcPr>
          <w:p w14:paraId="55219924" w14:textId="45A5795A" w:rsidR="00EC6AA9" w:rsidRPr="00A629D4" w:rsidRDefault="00EC6AA9">
            <w:pPr>
              <w:jc w:val="both"/>
              <w:rPr>
                <w:b/>
                <w:bCs/>
              </w:rPr>
            </w:pPr>
            <w:r w:rsidRPr="00A629D4">
              <w:rPr>
                <w:b/>
                <w:bCs/>
              </w:rPr>
              <w:t>Comments</w:t>
            </w:r>
          </w:p>
        </w:tc>
      </w:tr>
      <w:tr w:rsidR="00EC6AA9" w14:paraId="5AA3DA24" w14:textId="77777777" w:rsidTr="00EC6AA9">
        <w:tc>
          <w:tcPr>
            <w:tcW w:w="1795" w:type="dxa"/>
          </w:tcPr>
          <w:p w14:paraId="744919CC" w14:textId="47434194" w:rsidR="00EC6AA9" w:rsidRDefault="008E0629">
            <w:pPr>
              <w:jc w:val="both"/>
            </w:pPr>
            <w:r>
              <w:t>Nokia</w:t>
            </w:r>
          </w:p>
        </w:tc>
        <w:tc>
          <w:tcPr>
            <w:tcW w:w="7836" w:type="dxa"/>
          </w:tcPr>
          <w:p w14:paraId="789AB32F" w14:textId="77777777" w:rsidR="00EC6AA9" w:rsidRDefault="008E0629">
            <w:pPr>
              <w:jc w:val="both"/>
              <w:rPr>
                <w:lang w:eastAsia="en-US"/>
              </w:rPr>
            </w:pPr>
            <w:r>
              <w:rPr>
                <w:lang w:eastAsia="en-US"/>
              </w:rPr>
              <w:t>Regarding the per-UE capability for the DC-related features e.g. Is it assumed understanding such that when CPA/CPC support is indicated per UE, this is supported in the bands/band combinations for which the UE supports DC?</w:t>
            </w:r>
          </w:p>
          <w:p w14:paraId="336F9495" w14:textId="1B710900" w:rsidR="0032776E" w:rsidRDefault="0032776E">
            <w:pPr>
              <w:jc w:val="both"/>
            </w:pPr>
            <w:r>
              <w:rPr>
                <w:lang w:eastAsia="en-US"/>
              </w:rPr>
              <w:t>There are capabilities for CPA (x-3, x-4) and MN-initiated CPC (x-5, x-6). However, how is the support for ‘SN-initiated CPC indicated’?</w:t>
            </w:r>
          </w:p>
        </w:tc>
      </w:tr>
      <w:tr w:rsidR="00EC6AA9" w14:paraId="270714F7" w14:textId="77777777" w:rsidTr="00EC6AA9">
        <w:tc>
          <w:tcPr>
            <w:tcW w:w="1795" w:type="dxa"/>
          </w:tcPr>
          <w:p w14:paraId="5AF471E4" w14:textId="2C1D1688" w:rsidR="00EC6AA9" w:rsidRDefault="008E53B5">
            <w:pPr>
              <w:jc w:val="both"/>
            </w:pPr>
            <w:r>
              <w:t xml:space="preserve">Huawei, </w:t>
            </w:r>
            <w:proofErr w:type="spellStart"/>
            <w:r>
              <w:t>HiSilicon</w:t>
            </w:r>
            <w:proofErr w:type="spellEnd"/>
          </w:p>
        </w:tc>
        <w:tc>
          <w:tcPr>
            <w:tcW w:w="7836" w:type="dxa"/>
          </w:tcPr>
          <w:p w14:paraId="145DDB43" w14:textId="77777777" w:rsidR="00EC6AA9" w:rsidRDefault="008E53B5" w:rsidP="008E53B5">
            <w:pPr>
              <w:jc w:val="both"/>
            </w:pPr>
            <w:r>
              <w:t>We suggest adding a note saying that the FR/XDD differentiation is TBC.</w:t>
            </w:r>
          </w:p>
          <w:p w14:paraId="6EC2175C" w14:textId="1820ED63" w:rsidR="008E53B5" w:rsidRDefault="008E53B5" w:rsidP="008E53B5">
            <w:r>
              <w:t>On "MN-initiated", we suggest rewording the definition from UE perspective (based on RRC message reception and contents) rather than from network perspective. Could add an editor's note now like "Need to clarify from UE perspective what this refers to exactly".</w:t>
            </w:r>
          </w:p>
        </w:tc>
      </w:tr>
      <w:tr w:rsidR="00EC6AA9" w14:paraId="090D4C22" w14:textId="77777777" w:rsidTr="00EC6AA9">
        <w:tc>
          <w:tcPr>
            <w:tcW w:w="1795" w:type="dxa"/>
          </w:tcPr>
          <w:p w14:paraId="55BC1AFA" w14:textId="66158CA2" w:rsidR="00EC6AA9" w:rsidRDefault="00287136">
            <w:pPr>
              <w:jc w:val="both"/>
            </w:pPr>
            <w:r>
              <w:t>Intel</w:t>
            </w:r>
          </w:p>
        </w:tc>
        <w:tc>
          <w:tcPr>
            <w:tcW w:w="7836" w:type="dxa"/>
          </w:tcPr>
          <w:p w14:paraId="0F24BB7F" w14:textId="77777777" w:rsidR="00EC6AA9" w:rsidRDefault="00287136">
            <w:pPr>
              <w:jc w:val="both"/>
            </w:pPr>
            <w:r>
              <w:t>For Nokia’s questions:</w:t>
            </w:r>
          </w:p>
          <w:p w14:paraId="7693A998" w14:textId="77777777" w:rsidR="00287136" w:rsidRDefault="00287136">
            <w:pPr>
              <w:jc w:val="both"/>
              <w:rPr>
                <w:lang w:eastAsia="en-US"/>
              </w:rPr>
            </w:pPr>
            <w:r>
              <w:t xml:space="preserve">In our understanding, yes, per UE CPAC capabilities means </w:t>
            </w:r>
            <w:r>
              <w:rPr>
                <w:lang w:eastAsia="en-US"/>
              </w:rPr>
              <w:t>this is supported in the bands/band combinations for which the UE supports DC</w:t>
            </w:r>
            <w:r>
              <w:rPr>
                <w:lang w:eastAsia="en-US"/>
              </w:rPr>
              <w:t>.</w:t>
            </w:r>
          </w:p>
          <w:p w14:paraId="4F49C58F" w14:textId="23D5D705" w:rsidR="00287136" w:rsidRDefault="00287136">
            <w:pPr>
              <w:jc w:val="both"/>
              <w:rPr>
                <w:lang w:eastAsia="en-US"/>
              </w:rPr>
            </w:pPr>
            <w:r>
              <w:rPr>
                <w:lang w:eastAsia="en-US"/>
              </w:rPr>
              <w:t xml:space="preserve">In R16, the UE capabilities </w:t>
            </w:r>
            <w:r>
              <w:rPr>
                <w:lang w:eastAsia="en-US"/>
              </w:rPr>
              <w:t>for ‘SN-initiated CPC</w:t>
            </w:r>
            <w:r>
              <w:rPr>
                <w:lang w:eastAsia="en-US"/>
              </w:rPr>
              <w:t>’ have been specified as ‘</w:t>
            </w:r>
            <w:r w:rsidRPr="00287136">
              <w:rPr>
                <w:lang w:eastAsia="en-US"/>
              </w:rPr>
              <w:t>condPSCellChange-r16</w:t>
            </w:r>
            <w:r>
              <w:rPr>
                <w:lang w:eastAsia="en-US"/>
              </w:rPr>
              <w:t>’. And in TS 37.340, we made it clear “</w:t>
            </w:r>
            <w:r w:rsidRPr="00287136">
              <w:rPr>
                <w:lang w:eastAsia="en-US"/>
              </w:rPr>
              <w:t>Only intra-SN CPC without MN involvement is supported</w:t>
            </w:r>
            <w:r w:rsidR="00E25EAA">
              <w:rPr>
                <w:lang w:eastAsia="en-US"/>
              </w:rPr>
              <w:t>”</w:t>
            </w:r>
            <w:r>
              <w:rPr>
                <w:lang w:eastAsia="en-US"/>
              </w:rPr>
              <w:t>.</w:t>
            </w:r>
            <w:r w:rsidR="003C1803">
              <w:rPr>
                <w:lang w:eastAsia="en-US"/>
              </w:rPr>
              <w:t xml:space="preserve"> But for “</w:t>
            </w:r>
            <w:r w:rsidR="003C1803">
              <w:rPr>
                <w:lang w:eastAsia="en-US"/>
              </w:rPr>
              <w:t>SN-initiated CPC</w:t>
            </w:r>
            <w:r w:rsidR="003C1803">
              <w:rPr>
                <w:lang w:eastAsia="en-US"/>
              </w:rPr>
              <w:t xml:space="preserve"> with MN involvement”</w:t>
            </w:r>
            <w:r w:rsidR="00EF1F8E">
              <w:rPr>
                <w:lang w:eastAsia="en-US"/>
              </w:rPr>
              <w:t xml:space="preserve"> introduced in R17</w:t>
            </w:r>
            <w:r w:rsidR="003C1803">
              <w:rPr>
                <w:lang w:eastAsia="en-US"/>
              </w:rPr>
              <w:t xml:space="preserve">, we can further </w:t>
            </w:r>
            <w:r w:rsidR="00EF1F8E">
              <w:rPr>
                <w:lang w:eastAsia="en-US"/>
              </w:rPr>
              <w:t>discuss</w:t>
            </w:r>
            <w:r w:rsidR="003C1803">
              <w:rPr>
                <w:lang w:eastAsia="en-US"/>
              </w:rPr>
              <w:t xml:space="preserve"> if from UE perspective it is the same as </w:t>
            </w:r>
            <w:r w:rsidR="003C1803" w:rsidRPr="003C1803">
              <w:t>"MN-initiated CPC"</w:t>
            </w:r>
            <w:r w:rsidR="003C1803">
              <w:t>.</w:t>
            </w:r>
          </w:p>
          <w:p w14:paraId="205E0864" w14:textId="77777777" w:rsidR="009557F6" w:rsidRDefault="009557F6">
            <w:pPr>
              <w:jc w:val="both"/>
            </w:pPr>
            <w:r>
              <w:t xml:space="preserve">For </w:t>
            </w:r>
            <w:proofErr w:type="spellStart"/>
            <w:r>
              <w:t>Huawe’s</w:t>
            </w:r>
            <w:proofErr w:type="spellEnd"/>
            <w:r>
              <w:t xml:space="preserve"> comments: </w:t>
            </w:r>
          </w:p>
          <w:p w14:paraId="20FC4501" w14:textId="77777777" w:rsidR="003C1803" w:rsidRDefault="003C1803">
            <w:pPr>
              <w:jc w:val="both"/>
              <w:rPr>
                <w:lang w:val="en-US"/>
              </w:rPr>
            </w:pPr>
            <w:r>
              <w:rPr>
                <w:lang w:val="en-US"/>
              </w:rPr>
              <w:t>Ok to further discuss the following two issues:</w:t>
            </w:r>
          </w:p>
          <w:p w14:paraId="726A429B" w14:textId="688D5D48" w:rsidR="003C1803" w:rsidRPr="003C1803" w:rsidRDefault="003C1803" w:rsidP="003C1803">
            <w:pPr>
              <w:pStyle w:val="ListParagraph"/>
              <w:numPr>
                <w:ilvl w:val="0"/>
                <w:numId w:val="26"/>
              </w:numPr>
              <w:jc w:val="both"/>
            </w:pPr>
            <w:r w:rsidRPr="003C1803">
              <w:t>FR</w:t>
            </w:r>
            <w:r w:rsidRPr="003C1803">
              <w:t>X</w:t>
            </w:r>
            <w:r w:rsidRPr="003C1803">
              <w:t>/XDD differentiation</w:t>
            </w:r>
            <w:r w:rsidRPr="003C1803">
              <w:t>;</w:t>
            </w:r>
          </w:p>
          <w:p w14:paraId="2C63BB18" w14:textId="6FB44A98" w:rsidR="003C1803" w:rsidRPr="003C1803" w:rsidRDefault="003C1803" w:rsidP="003C1803">
            <w:pPr>
              <w:pStyle w:val="ListParagraph"/>
              <w:numPr>
                <w:ilvl w:val="0"/>
                <w:numId w:val="26"/>
              </w:numPr>
              <w:jc w:val="both"/>
              <w:rPr>
                <w:lang w:val="en-US"/>
              </w:rPr>
            </w:pPr>
            <w:r w:rsidRPr="003C1803">
              <w:t xml:space="preserve">Further clarify </w:t>
            </w:r>
            <w:r w:rsidRPr="003C1803">
              <w:t>from UE perspective what "MN-initiated CPC" refers to exactly</w:t>
            </w:r>
            <w:r w:rsidRPr="003C1803">
              <w:t>.</w:t>
            </w:r>
          </w:p>
        </w:tc>
      </w:tr>
      <w:tr w:rsidR="00EC6AA9" w14:paraId="65434166" w14:textId="77777777" w:rsidTr="00EC6AA9">
        <w:tc>
          <w:tcPr>
            <w:tcW w:w="1795" w:type="dxa"/>
          </w:tcPr>
          <w:p w14:paraId="5E2E619B" w14:textId="77777777" w:rsidR="00EC6AA9" w:rsidRDefault="00EC6AA9">
            <w:pPr>
              <w:jc w:val="both"/>
            </w:pPr>
          </w:p>
        </w:tc>
        <w:tc>
          <w:tcPr>
            <w:tcW w:w="7836" w:type="dxa"/>
          </w:tcPr>
          <w:p w14:paraId="34636C6C" w14:textId="77777777" w:rsidR="00EC6AA9" w:rsidRDefault="00EC6AA9">
            <w:pPr>
              <w:jc w:val="both"/>
            </w:pPr>
          </w:p>
        </w:tc>
      </w:tr>
      <w:tr w:rsidR="00EC6AA9" w14:paraId="0F82130A" w14:textId="77777777" w:rsidTr="00EC6AA9">
        <w:tc>
          <w:tcPr>
            <w:tcW w:w="1795" w:type="dxa"/>
          </w:tcPr>
          <w:p w14:paraId="6030E1E9" w14:textId="77777777" w:rsidR="00EC6AA9" w:rsidRDefault="00EC6AA9">
            <w:pPr>
              <w:jc w:val="both"/>
            </w:pPr>
          </w:p>
        </w:tc>
        <w:tc>
          <w:tcPr>
            <w:tcW w:w="7836" w:type="dxa"/>
          </w:tcPr>
          <w:p w14:paraId="4E578B26" w14:textId="77777777" w:rsidR="00EC6AA9" w:rsidRDefault="00EC6AA9">
            <w:pPr>
              <w:jc w:val="both"/>
            </w:pPr>
          </w:p>
        </w:tc>
      </w:tr>
      <w:tr w:rsidR="00EC6AA9" w14:paraId="2F6A6F89" w14:textId="77777777" w:rsidTr="00EC6AA9">
        <w:tc>
          <w:tcPr>
            <w:tcW w:w="1795" w:type="dxa"/>
          </w:tcPr>
          <w:p w14:paraId="0C211F22" w14:textId="77777777" w:rsidR="00EC6AA9" w:rsidRDefault="00EC6AA9">
            <w:pPr>
              <w:jc w:val="both"/>
            </w:pPr>
          </w:p>
        </w:tc>
        <w:tc>
          <w:tcPr>
            <w:tcW w:w="7836" w:type="dxa"/>
          </w:tcPr>
          <w:p w14:paraId="6DB40D2D" w14:textId="77777777" w:rsidR="00EC6AA9" w:rsidRDefault="00EC6AA9">
            <w:pPr>
              <w:jc w:val="both"/>
            </w:pPr>
          </w:p>
        </w:tc>
      </w:tr>
      <w:tr w:rsidR="00EC6AA9" w14:paraId="34F933A9" w14:textId="77777777" w:rsidTr="00EC6AA9">
        <w:tc>
          <w:tcPr>
            <w:tcW w:w="1795" w:type="dxa"/>
          </w:tcPr>
          <w:p w14:paraId="21459BBC" w14:textId="77777777" w:rsidR="00EC6AA9" w:rsidRDefault="00EC6AA9">
            <w:pPr>
              <w:jc w:val="both"/>
            </w:pPr>
          </w:p>
        </w:tc>
        <w:tc>
          <w:tcPr>
            <w:tcW w:w="7836" w:type="dxa"/>
          </w:tcPr>
          <w:p w14:paraId="06744149" w14:textId="77777777" w:rsidR="00EC6AA9" w:rsidRDefault="00EC6AA9">
            <w:pPr>
              <w:jc w:val="both"/>
            </w:pPr>
          </w:p>
        </w:tc>
      </w:tr>
    </w:tbl>
    <w:p w14:paraId="3C82C80F" w14:textId="77777777" w:rsidR="00EC6AA9" w:rsidRDefault="00EC6AA9">
      <w:pPr>
        <w:jc w:val="both"/>
      </w:pPr>
    </w:p>
    <w:p w14:paraId="61FFE261" w14:textId="0731EC82" w:rsidR="00A11E27" w:rsidRPr="00EC6AA9" w:rsidRDefault="00A11E27" w:rsidP="00A11E27">
      <w:pPr>
        <w:jc w:val="both"/>
        <w:rPr>
          <w:b/>
          <w:bCs/>
        </w:rPr>
      </w:pPr>
      <w:r w:rsidRPr="00EC6AA9">
        <w:rPr>
          <w:b/>
          <w:bCs/>
        </w:rPr>
        <w:t>Question</w:t>
      </w:r>
      <w:r>
        <w:rPr>
          <w:b/>
          <w:bCs/>
        </w:rPr>
        <w:t xml:space="preserve"> 2</w:t>
      </w:r>
      <w:r w:rsidRPr="00EC6AA9">
        <w:rPr>
          <w:b/>
          <w:bCs/>
        </w:rPr>
        <w:t xml:space="preserve">: </w:t>
      </w:r>
      <w:r>
        <w:rPr>
          <w:b/>
          <w:bCs/>
        </w:rPr>
        <w:t>Whether</w:t>
      </w:r>
      <w:r w:rsidRPr="00EC6AA9">
        <w:rPr>
          <w:b/>
          <w:bCs/>
        </w:rPr>
        <w:t xml:space="preserve"> current UE capabilities draft CRs, i.e., </w:t>
      </w:r>
      <w:bookmarkStart w:id="3" w:name="_Hlk88209375"/>
      <w:r w:rsidRPr="00EC6AA9">
        <w:rPr>
          <w:b/>
          <w:bCs/>
        </w:rPr>
        <w:t>R2-2109677 and R2-2109678</w:t>
      </w:r>
      <w:bookmarkEnd w:id="3"/>
      <w:r>
        <w:rPr>
          <w:b/>
          <w:bCs/>
        </w:rPr>
        <w:t>, can be endorsed</w:t>
      </w:r>
      <w:r w:rsidR="00456D61">
        <w:rPr>
          <w:b/>
          <w:bCs/>
        </w:rPr>
        <w:t xml:space="preserve"> as running CR</w:t>
      </w:r>
      <w:r>
        <w:rPr>
          <w:b/>
          <w:bCs/>
        </w:rPr>
        <w:t xml:space="preserve">, </w:t>
      </w:r>
      <w:r w:rsidRPr="00A11E27">
        <w:rPr>
          <w:b/>
          <w:bCs/>
          <w:highlight w:val="yellow"/>
        </w:rPr>
        <w:t>OR</w:t>
      </w:r>
      <w:r>
        <w:rPr>
          <w:b/>
          <w:bCs/>
        </w:rPr>
        <w:t xml:space="preserve"> keep current agreement unchanged, i.e., “</w:t>
      </w:r>
      <w:r w:rsidRPr="00A11E27">
        <w:rPr>
          <w:b/>
          <w:bCs/>
        </w:rPr>
        <w:t>Can be considered as baseline for CRs on DCCA UE capabilities in the next meeting</w:t>
      </w:r>
      <w:r>
        <w:rPr>
          <w:b/>
          <w:bCs/>
        </w:rPr>
        <w:t>”</w:t>
      </w:r>
      <w:r w:rsidRPr="00EC6AA9">
        <w:rPr>
          <w:b/>
          <w:bCs/>
        </w:rPr>
        <w:t>.</w:t>
      </w:r>
    </w:p>
    <w:tbl>
      <w:tblPr>
        <w:tblStyle w:val="TableGrid"/>
        <w:tblW w:w="0" w:type="auto"/>
        <w:tblLook w:val="04A0" w:firstRow="1" w:lastRow="0" w:firstColumn="1" w:lastColumn="0" w:noHBand="0" w:noVBand="1"/>
      </w:tblPr>
      <w:tblGrid>
        <w:gridCol w:w="1795"/>
        <w:gridCol w:w="7836"/>
      </w:tblGrid>
      <w:tr w:rsidR="00A11E27" w14:paraId="10C9C1F9" w14:textId="77777777" w:rsidTr="00E17481">
        <w:tc>
          <w:tcPr>
            <w:tcW w:w="1795" w:type="dxa"/>
          </w:tcPr>
          <w:p w14:paraId="309CA072" w14:textId="77777777" w:rsidR="00A11E27" w:rsidRPr="00A629D4" w:rsidRDefault="00A11E27" w:rsidP="00E17481">
            <w:pPr>
              <w:jc w:val="both"/>
              <w:rPr>
                <w:b/>
                <w:bCs/>
              </w:rPr>
            </w:pPr>
            <w:r w:rsidRPr="00A629D4">
              <w:rPr>
                <w:b/>
                <w:bCs/>
              </w:rPr>
              <w:t>Company</w:t>
            </w:r>
          </w:p>
        </w:tc>
        <w:tc>
          <w:tcPr>
            <w:tcW w:w="7836" w:type="dxa"/>
          </w:tcPr>
          <w:p w14:paraId="03C3FCE6" w14:textId="29B59BDC" w:rsidR="00A11E27" w:rsidRPr="00A629D4" w:rsidRDefault="00A11E27" w:rsidP="00E17481">
            <w:pPr>
              <w:jc w:val="both"/>
              <w:rPr>
                <w:b/>
                <w:bCs/>
              </w:rPr>
            </w:pPr>
            <w:r w:rsidRPr="00A629D4">
              <w:rPr>
                <w:b/>
                <w:bCs/>
              </w:rPr>
              <w:t>Views</w:t>
            </w:r>
          </w:p>
        </w:tc>
      </w:tr>
      <w:tr w:rsidR="00A11E27" w14:paraId="5E39CC5C" w14:textId="77777777" w:rsidTr="00E17481">
        <w:tc>
          <w:tcPr>
            <w:tcW w:w="1795" w:type="dxa"/>
          </w:tcPr>
          <w:p w14:paraId="27232CB3" w14:textId="76CD6760" w:rsidR="00A11E27" w:rsidRDefault="002A44D3" w:rsidP="00E17481">
            <w:pPr>
              <w:jc w:val="both"/>
            </w:pPr>
            <w:r>
              <w:lastRenderedPageBreak/>
              <w:t>Nokia</w:t>
            </w:r>
          </w:p>
        </w:tc>
        <w:tc>
          <w:tcPr>
            <w:tcW w:w="7836" w:type="dxa"/>
          </w:tcPr>
          <w:p w14:paraId="0B768E32" w14:textId="6A8B1070" w:rsidR="00A11E27" w:rsidRDefault="002A44D3" w:rsidP="00E17481">
            <w:pPr>
              <w:jc w:val="both"/>
            </w:pPr>
            <w:r>
              <w:t>It might be too much to say that this is running CR but no strong view. Of course these are fine as baseline but if we agree them as running CR we have concern that there is no way to discuss anything on UE capabilities anymore</w:t>
            </w:r>
            <w:r w:rsidR="007C4CAC">
              <w:t>.</w:t>
            </w:r>
          </w:p>
        </w:tc>
      </w:tr>
      <w:tr w:rsidR="00A11E27" w14:paraId="5D39FE93" w14:textId="77777777" w:rsidTr="00E17481">
        <w:tc>
          <w:tcPr>
            <w:tcW w:w="1795" w:type="dxa"/>
          </w:tcPr>
          <w:p w14:paraId="6A61C81A" w14:textId="59287035" w:rsidR="00A11E27" w:rsidRDefault="008E53B5" w:rsidP="00E17481">
            <w:pPr>
              <w:jc w:val="both"/>
            </w:pPr>
            <w:r>
              <w:t xml:space="preserve">Huawei, </w:t>
            </w:r>
            <w:proofErr w:type="spellStart"/>
            <w:r>
              <w:t>HiSilicon</w:t>
            </w:r>
            <w:proofErr w:type="spellEnd"/>
          </w:p>
        </w:tc>
        <w:tc>
          <w:tcPr>
            <w:tcW w:w="7836" w:type="dxa"/>
          </w:tcPr>
          <w:p w14:paraId="44466FC0" w14:textId="7EA802D4" w:rsidR="00A11E27" w:rsidRDefault="008E53B5" w:rsidP="008E53B5">
            <w:r>
              <w:t>Agree with Nokia. We could say this is a baseline but does not forbid any later discussion.</w:t>
            </w:r>
          </w:p>
        </w:tc>
      </w:tr>
      <w:tr w:rsidR="00A11E27" w14:paraId="03FC10FF" w14:textId="77777777" w:rsidTr="00E17481">
        <w:tc>
          <w:tcPr>
            <w:tcW w:w="1795" w:type="dxa"/>
          </w:tcPr>
          <w:p w14:paraId="14E847D7" w14:textId="511113B4" w:rsidR="00A11E27" w:rsidRPr="00287136" w:rsidRDefault="00287136" w:rsidP="00E17481">
            <w:pPr>
              <w:jc w:val="both"/>
              <w:rPr>
                <w:lang w:val="en-US"/>
              </w:rPr>
            </w:pPr>
            <w:r>
              <w:rPr>
                <w:lang w:val="en-US"/>
              </w:rPr>
              <w:t>Intel</w:t>
            </w:r>
          </w:p>
        </w:tc>
        <w:tc>
          <w:tcPr>
            <w:tcW w:w="7836" w:type="dxa"/>
          </w:tcPr>
          <w:p w14:paraId="2E18AEF1" w14:textId="004BEFB2" w:rsidR="00A11E27" w:rsidRDefault="00287136" w:rsidP="00E17481">
            <w:pPr>
              <w:jc w:val="both"/>
            </w:pPr>
            <w:r>
              <w:t>Ok to keep current agreement unchanged.</w:t>
            </w:r>
          </w:p>
        </w:tc>
      </w:tr>
      <w:tr w:rsidR="00A11E27" w14:paraId="250181DB" w14:textId="77777777" w:rsidTr="00E17481">
        <w:tc>
          <w:tcPr>
            <w:tcW w:w="1795" w:type="dxa"/>
          </w:tcPr>
          <w:p w14:paraId="7824B803" w14:textId="77777777" w:rsidR="00A11E27" w:rsidRDefault="00A11E27" w:rsidP="00E17481">
            <w:pPr>
              <w:jc w:val="both"/>
            </w:pPr>
          </w:p>
        </w:tc>
        <w:tc>
          <w:tcPr>
            <w:tcW w:w="7836" w:type="dxa"/>
          </w:tcPr>
          <w:p w14:paraId="33B43FD4" w14:textId="77777777" w:rsidR="00A11E27" w:rsidRDefault="00A11E27" w:rsidP="00E17481">
            <w:pPr>
              <w:jc w:val="both"/>
            </w:pPr>
          </w:p>
        </w:tc>
      </w:tr>
      <w:tr w:rsidR="00A11E27" w14:paraId="0828DCE2" w14:textId="77777777" w:rsidTr="00E17481">
        <w:tc>
          <w:tcPr>
            <w:tcW w:w="1795" w:type="dxa"/>
          </w:tcPr>
          <w:p w14:paraId="45DF803B" w14:textId="77777777" w:rsidR="00A11E27" w:rsidRDefault="00A11E27" w:rsidP="00E17481">
            <w:pPr>
              <w:jc w:val="both"/>
            </w:pPr>
          </w:p>
        </w:tc>
        <w:tc>
          <w:tcPr>
            <w:tcW w:w="7836" w:type="dxa"/>
          </w:tcPr>
          <w:p w14:paraId="2A4730D3" w14:textId="77777777" w:rsidR="00A11E27" w:rsidRDefault="00A11E27" w:rsidP="00E17481">
            <w:pPr>
              <w:jc w:val="both"/>
            </w:pPr>
          </w:p>
        </w:tc>
      </w:tr>
      <w:tr w:rsidR="00A11E27" w14:paraId="7D41A6A1" w14:textId="77777777" w:rsidTr="00E17481">
        <w:tc>
          <w:tcPr>
            <w:tcW w:w="1795" w:type="dxa"/>
          </w:tcPr>
          <w:p w14:paraId="22AE6F7E" w14:textId="77777777" w:rsidR="00A11E27" w:rsidRDefault="00A11E27" w:rsidP="00E17481">
            <w:pPr>
              <w:jc w:val="both"/>
            </w:pPr>
          </w:p>
        </w:tc>
        <w:tc>
          <w:tcPr>
            <w:tcW w:w="7836" w:type="dxa"/>
          </w:tcPr>
          <w:p w14:paraId="18F800C1" w14:textId="77777777" w:rsidR="00A11E27" w:rsidRDefault="00A11E27" w:rsidP="00E17481">
            <w:pPr>
              <w:jc w:val="both"/>
            </w:pPr>
          </w:p>
        </w:tc>
      </w:tr>
      <w:tr w:rsidR="00A11E27" w14:paraId="609DC49C" w14:textId="77777777" w:rsidTr="00E17481">
        <w:tc>
          <w:tcPr>
            <w:tcW w:w="1795" w:type="dxa"/>
          </w:tcPr>
          <w:p w14:paraId="5AA2695F" w14:textId="77777777" w:rsidR="00A11E27" w:rsidRDefault="00A11E27" w:rsidP="00E17481">
            <w:pPr>
              <w:jc w:val="both"/>
            </w:pPr>
          </w:p>
        </w:tc>
        <w:tc>
          <w:tcPr>
            <w:tcW w:w="7836" w:type="dxa"/>
          </w:tcPr>
          <w:p w14:paraId="23B13728" w14:textId="77777777" w:rsidR="00A11E27" w:rsidRDefault="00A11E27" w:rsidP="00E17481">
            <w:pPr>
              <w:jc w:val="both"/>
            </w:pPr>
          </w:p>
        </w:tc>
      </w:tr>
    </w:tbl>
    <w:p w14:paraId="3294B5E0" w14:textId="02559924" w:rsidR="00ED0BB9" w:rsidRDefault="00ED0BB9"/>
    <w:p w14:paraId="28E09FEB" w14:textId="696D19BE" w:rsidR="009A6499" w:rsidRPr="009A6499" w:rsidRDefault="009A6499">
      <w:pPr>
        <w:rPr>
          <w:b/>
          <w:bCs/>
          <w:u w:val="single"/>
        </w:rPr>
      </w:pPr>
      <w:r w:rsidRPr="009A6499">
        <w:rPr>
          <w:b/>
          <w:bCs/>
          <w:u w:val="single"/>
        </w:rPr>
        <w:t>Summary:</w:t>
      </w:r>
    </w:p>
    <w:p w14:paraId="19817EB8" w14:textId="5BCFC182" w:rsidR="009A6499" w:rsidRDefault="009A6499">
      <w:r>
        <w:t xml:space="preserve">According to companies’ comments, the following two </w:t>
      </w:r>
      <w:r w:rsidR="003C1803">
        <w:t>issues</w:t>
      </w:r>
      <w:r>
        <w:t xml:space="preserve"> can be </w:t>
      </w:r>
      <w:r w:rsidR="003C1803">
        <w:t>further discussed</w:t>
      </w:r>
      <w:r w:rsidR="00EF1F8E">
        <w:t xml:space="preserve"> for DCCA UE capabilities</w:t>
      </w:r>
      <w:r>
        <w:t>:</w:t>
      </w:r>
    </w:p>
    <w:p w14:paraId="42D2A4A6" w14:textId="46593A2D" w:rsidR="00EF1F8E" w:rsidRDefault="00EF1F8E" w:rsidP="00EF1F8E">
      <w:pPr>
        <w:pStyle w:val="ListParagraph"/>
        <w:numPr>
          <w:ilvl w:val="0"/>
          <w:numId w:val="27"/>
        </w:numPr>
      </w:pPr>
      <w:r>
        <w:t>FRX/XDD differentiation;</w:t>
      </w:r>
    </w:p>
    <w:p w14:paraId="673DBBC4" w14:textId="25FD227F" w:rsidR="00EF1F8E" w:rsidRDefault="00EF1F8E" w:rsidP="00EF1F8E">
      <w:pPr>
        <w:pStyle w:val="ListParagraph"/>
        <w:numPr>
          <w:ilvl w:val="0"/>
          <w:numId w:val="27"/>
        </w:numPr>
      </w:pPr>
      <w:r>
        <w:t>Further clarify from UE perspective what "MN-initiated CPC" refers to exactly.</w:t>
      </w:r>
    </w:p>
    <w:p w14:paraId="31ED8320" w14:textId="56EE6688" w:rsidR="0066054E" w:rsidRDefault="00EF1F8E">
      <w:r>
        <w:t xml:space="preserve">And there is no need to update current draft CRs for UE capabilities, i.e. </w:t>
      </w:r>
      <w:r w:rsidRPr="00EF1F8E">
        <w:t>keep current agreement unchanged, i.e., R2-2109677 and R2-2109678</w:t>
      </w:r>
      <w:r>
        <w:t xml:space="preserve"> “</w:t>
      </w:r>
      <w:r w:rsidRPr="00EF1F8E">
        <w:t>Can be considered as baseline for CRs on DCCA UE capabilities in the next meeting”.</w:t>
      </w:r>
    </w:p>
    <w:p w14:paraId="244297CD" w14:textId="326DCE82" w:rsidR="00EF1F8E" w:rsidRPr="00EF1F8E" w:rsidRDefault="0066054E" w:rsidP="00EF1F8E">
      <w:pPr>
        <w:rPr>
          <w:b/>
          <w:bCs/>
        </w:rPr>
      </w:pPr>
      <w:r w:rsidRPr="0066054E">
        <w:rPr>
          <w:b/>
          <w:bCs/>
        </w:rPr>
        <w:t xml:space="preserve">Proposal 1: </w:t>
      </w:r>
      <w:r w:rsidR="00EF1F8E" w:rsidRPr="00EF1F8E">
        <w:rPr>
          <w:b/>
          <w:bCs/>
        </w:rPr>
        <w:t>the following two issues can be further discussed for DCCA UE capabilities:</w:t>
      </w:r>
    </w:p>
    <w:p w14:paraId="29C655F0" w14:textId="77777777" w:rsidR="00EF1F8E" w:rsidRPr="00EF1F8E" w:rsidRDefault="00EF1F8E" w:rsidP="00EF1F8E">
      <w:pPr>
        <w:rPr>
          <w:b/>
          <w:bCs/>
        </w:rPr>
      </w:pPr>
      <w:r w:rsidRPr="00EF1F8E">
        <w:rPr>
          <w:b/>
          <w:bCs/>
        </w:rPr>
        <w:t>1.</w:t>
      </w:r>
      <w:r w:rsidRPr="00EF1F8E">
        <w:rPr>
          <w:b/>
          <w:bCs/>
        </w:rPr>
        <w:tab/>
        <w:t>FRX/XDD differentiation;</w:t>
      </w:r>
    </w:p>
    <w:p w14:paraId="5DD46AB3" w14:textId="38DB9016" w:rsidR="0066054E" w:rsidRPr="0066054E" w:rsidRDefault="00EF1F8E" w:rsidP="00EF1F8E">
      <w:pPr>
        <w:rPr>
          <w:b/>
          <w:bCs/>
        </w:rPr>
      </w:pPr>
      <w:r w:rsidRPr="00EF1F8E">
        <w:rPr>
          <w:b/>
          <w:bCs/>
        </w:rPr>
        <w:t>2.</w:t>
      </w:r>
      <w:r w:rsidRPr="00EF1F8E">
        <w:rPr>
          <w:b/>
          <w:bCs/>
        </w:rPr>
        <w:tab/>
        <w:t>Further clarify from UE perspective what "MN-initiated CPC" refers to exactly.</w:t>
      </w:r>
    </w:p>
    <w:p w14:paraId="0E122613" w14:textId="77777777" w:rsidR="00ED0BB9" w:rsidRDefault="00ED0BB9">
      <w:pPr>
        <w:rPr>
          <w:lang w:val="en-US"/>
        </w:rPr>
      </w:pPr>
    </w:p>
    <w:p w14:paraId="694B5641" w14:textId="77777777" w:rsidR="00ED0BB9" w:rsidRDefault="00FA41B3">
      <w:pPr>
        <w:pStyle w:val="Heading1"/>
        <w:widowControl w:val="0"/>
        <w:numPr>
          <w:ilvl w:val="0"/>
          <w:numId w:val="6"/>
        </w:numPr>
        <w:textAlignment w:val="auto"/>
      </w:pPr>
      <w:r>
        <w:t>Conclusion</w:t>
      </w:r>
    </w:p>
    <w:p w14:paraId="2325430C" w14:textId="46102E14" w:rsidR="009476BD" w:rsidRPr="00E11316" w:rsidRDefault="009476BD" w:rsidP="009476BD">
      <w:pPr>
        <w:snapToGrid w:val="0"/>
        <w:spacing w:afterLines="50" w:after="120"/>
        <w:jc w:val="both"/>
      </w:pPr>
      <w:r w:rsidRPr="00E11316">
        <w:t>Based on companies’ views, the following proposals are made.</w:t>
      </w:r>
    </w:p>
    <w:p w14:paraId="2DF3BB5C" w14:textId="77777777" w:rsidR="00EF1F8E" w:rsidRPr="00EF1F8E" w:rsidRDefault="00EF1F8E" w:rsidP="00EF1F8E">
      <w:pPr>
        <w:rPr>
          <w:b/>
          <w:bCs/>
        </w:rPr>
      </w:pPr>
      <w:r w:rsidRPr="0066054E">
        <w:rPr>
          <w:b/>
          <w:bCs/>
        </w:rPr>
        <w:t xml:space="preserve">Proposal 1: </w:t>
      </w:r>
      <w:r w:rsidRPr="00EF1F8E">
        <w:rPr>
          <w:b/>
          <w:bCs/>
        </w:rPr>
        <w:t>the following two issues can be further discussed for DCCA UE capabilities:</w:t>
      </w:r>
    </w:p>
    <w:p w14:paraId="7A677376" w14:textId="77777777" w:rsidR="00EF1F8E" w:rsidRPr="00EF1F8E" w:rsidRDefault="00EF1F8E" w:rsidP="00EF1F8E">
      <w:pPr>
        <w:rPr>
          <w:b/>
          <w:bCs/>
        </w:rPr>
      </w:pPr>
      <w:r w:rsidRPr="00EF1F8E">
        <w:rPr>
          <w:b/>
          <w:bCs/>
        </w:rPr>
        <w:t>1.</w:t>
      </w:r>
      <w:r w:rsidRPr="00EF1F8E">
        <w:rPr>
          <w:b/>
          <w:bCs/>
        </w:rPr>
        <w:tab/>
        <w:t>FRX/XDD differentiation;</w:t>
      </w:r>
    </w:p>
    <w:p w14:paraId="6DC57B2A" w14:textId="77777777" w:rsidR="00EF1F8E" w:rsidRPr="0066054E" w:rsidRDefault="00EF1F8E" w:rsidP="00EF1F8E">
      <w:pPr>
        <w:rPr>
          <w:b/>
          <w:bCs/>
        </w:rPr>
      </w:pPr>
      <w:r w:rsidRPr="00EF1F8E">
        <w:rPr>
          <w:b/>
          <w:bCs/>
        </w:rPr>
        <w:t>2.</w:t>
      </w:r>
      <w:r w:rsidRPr="00EF1F8E">
        <w:rPr>
          <w:b/>
          <w:bCs/>
        </w:rPr>
        <w:tab/>
        <w:t>Further clarify from UE perspective what "MN-initiated CPC" refers to exactly.</w:t>
      </w:r>
    </w:p>
    <w:p w14:paraId="4BC01653" w14:textId="4611EDF1" w:rsidR="009476BD" w:rsidRDefault="009476BD">
      <w:pPr>
        <w:jc w:val="both"/>
        <w:rPr>
          <w:lang w:eastAsia="zh-CN"/>
        </w:rPr>
      </w:pPr>
    </w:p>
    <w:p w14:paraId="38E21DBA" w14:textId="559B46FB" w:rsidR="00456D61" w:rsidRDefault="00456D61">
      <w:pPr>
        <w:jc w:val="both"/>
        <w:rPr>
          <w:lang w:eastAsia="zh-CN"/>
        </w:rPr>
      </w:pPr>
    </w:p>
    <w:p w14:paraId="40FEDFEE" w14:textId="26FF1105" w:rsidR="00456D61" w:rsidRDefault="00456D61" w:rsidP="0066054E">
      <w:pPr>
        <w:pStyle w:val="Heading1"/>
        <w:widowControl w:val="0"/>
        <w:numPr>
          <w:ilvl w:val="0"/>
          <w:numId w:val="6"/>
        </w:numPr>
        <w:textAlignment w:val="auto"/>
      </w:pPr>
      <w:r>
        <w:t>References</w:t>
      </w:r>
    </w:p>
    <w:p w14:paraId="48BB8AE0" w14:textId="6D8D442A" w:rsidR="00456D61" w:rsidRPr="00456D61" w:rsidRDefault="00456D61" w:rsidP="00456D61">
      <w:pPr>
        <w:overflowPunct/>
        <w:autoSpaceDE/>
        <w:autoSpaceDN/>
        <w:adjustRightInd/>
        <w:spacing w:before="60" w:after="0" w:line="240" w:lineRule="auto"/>
        <w:ind w:left="1259" w:hanging="1259"/>
        <w:textAlignment w:val="auto"/>
        <w:rPr>
          <w:rFonts w:ascii="Arial" w:eastAsia="MS Mincho" w:hAnsi="Arial"/>
          <w:noProof/>
          <w:szCs w:val="24"/>
          <w:lang w:eastAsia="en-GB"/>
        </w:rPr>
      </w:pPr>
      <w:r>
        <w:rPr>
          <w:rFonts w:ascii="Arial" w:eastAsia="MS Mincho" w:hAnsi="Arial"/>
          <w:noProof/>
          <w:szCs w:val="24"/>
          <w:lang w:eastAsia="en-GB"/>
        </w:rPr>
        <w:t xml:space="preserve">[1] </w:t>
      </w:r>
      <w:hyperlink r:id="rId16" w:history="1">
        <w:r w:rsidRPr="00456D61">
          <w:rPr>
            <w:rFonts w:ascii="Arial" w:eastAsia="MS Mincho" w:hAnsi="Arial"/>
            <w:noProof/>
            <w:color w:val="0000FF"/>
            <w:szCs w:val="24"/>
            <w:u w:val="single"/>
            <w:lang w:eastAsia="en-GB"/>
          </w:rPr>
          <w:t>R2-2109676</w:t>
        </w:r>
      </w:hyperlink>
      <w:r w:rsidRPr="00456D61">
        <w:rPr>
          <w:rFonts w:ascii="Arial" w:eastAsia="MS Mincho" w:hAnsi="Arial"/>
          <w:noProof/>
          <w:szCs w:val="24"/>
          <w:lang w:eastAsia="en-GB"/>
        </w:rPr>
        <w:tab/>
        <w:t>Report of email discussion [Post115-e][214][R17 DCCA] Capabilities (Intel)</w:t>
      </w:r>
      <w:r w:rsidRPr="00456D61">
        <w:rPr>
          <w:rFonts w:ascii="Arial" w:eastAsia="MS Mincho" w:hAnsi="Arial"/>
          <w:noProof/>
          <w:szCs w:val="24"/>
          <w:lang w:eastAsia="en-GB"/>
        </w:rPr>
        <w:tab/>
        <w:t>Intel Corporation</w:t>
      </w:r>
      <w:r w:rsidRPr="00456D61">
        <w:rPr>
          <w:rFonts w:ascii="Arial" w:eastAsia="MS Mincho" w:hAnsi="Arial"/>
          <w:noProof/>
          <w:szCs w:val="24"/>
          <w:lang w:eastAsia="en-GB"/>
        </w:rPr>
        <w:tab/>
      </w:r>
    </w:p>
    <w:p w14:paraId="3FD1AC05" w14:textId="77777777" w:rsidR="00456D61" w:rsidRDefault="00456D61">
      <w:pPr>
        <w:jc w:val="both"/>
        <w:rPr>
          <w:lang w:eastAsia="zh-CN"/>
        </w:rPr>
      </w:pPr>
    </w:p>
    <w:sectPr w:rsidR="00456D61" w:rsidSect="00B6720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A462A" w14:textId="77777777" w:rsidR="00534546" w:rsidRDefault="00534546">
      <w:pPr>
        <w:spacing w:after="0" w:line="240" w:lineRule="auto"/>
      </w:pPr>
      <w:r>
        <w:separator/>
      </w:r>
    </w:p>
  </w:endnote>
  <w:endnote w:type="continuationSeparator" w:id="0">
    <w:p w14:paraId="77BE2FAD" w14:textId="77777777" w:rsidR="00534546" w:rsidRDefault="0053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8775" w14:textId="77777777" w:rsidR="00287136" w:rsidRDefault="00287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913D" w14:textId="14CBFB6A" w:rsidR="003B21B7" w:rsidRDefault="003B21B7">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B8055" w14:textId="77777777" w:rsidR="00287136" w:rsidRDefault="00287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604C6" w14:textId="77777777" w:rsidR="00534546" w:rsidRDefault="00534546">
      <w:pPr>
        <w:spacing w:after="0" w:line="240" w:lineRule="auto"/>
      </w:pPr>
      <w:r>
        <w:separator/>
      </w:r>
    </w:p>
  </w:footnote>
  <w:footnote w:type="continuationSeparator" w:id="0">
    <w:p w14:paraId="2A9E381F" w14:textId="77777777" w:rsidR="00534546" w:rsidRDefault="0053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A5225" w14:textId="77777777" w:rsidR="00287136" w:rsidRDefault="00287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6720" w14:textId="5654025F" w:rsidR="003B21B7" w:rsidRDefault="003B21B7">
    <w:pPr>
      <w:framePr w:h="284" w:hRule="exact" w:wrap="around" w:vAnchor="text" w:hAnchor="margin" w:xAlign="center" w:y="7"/>
      <w:rPr>
        <w:rFonts w:ascii="Arial" w:hAnsi="Arial" w:cs="Arial"/>
        <w:b/>
        <w:sz w:val="18"/>
        <w:szCs w:val="18"/>
      </w:rPr>
    </w:pPr>
  </w:p>
  <w:p w14:paraId="4B714418" w14:textId="77777777" w:rsidR="003B21B7" w:rsidRDefault="003B21B7" w:rsidP="00456D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A4390" w14:textId="77777777" w:rsidR="00287136" w:rsidRDefault="00287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0772"/>
    <w:multiLevelType w:val="hybridMultilevel"/>
    <w:tmpl w:val="8D30F15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5B5D5B"/>
    <w:multiLevelType w:val="multilevel"/>
    <w:tmpl w:val="005B5D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8220392"/>
    <w:multiLevelType w:val="hybridMultilevel"/>
    <w:tmpl w:val="5C860F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6" w15:restartNumberingAfterBreak="0">
    <w:nsid w:val="31E569E9"/>
    <w:multiLevelType w:val="multilevel"/>
    <w:tmpl w:val="31E569E9"/>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E06661"/>
    <w:multiLevelType w:val="multilevel"/>
    <w:tmpl w:val="32E066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09615A"/>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613EE3"/>
    <w:multiLevelType w:val="multilevel"/>
    <w:tmpl w:val="9544C5D8"/>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2" w15:restartNumberingAfterBreak="0">
    <w:nsid w:val="49C312B3"/>
    <w:multiLevelType w:val="hybridMultilevel"/>
    <w:tmpl w:val="062ACB3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75484"/>
    <w:multiLevelType w:val="multilevel"/>
    <w:tmpl w:val="AE9885DA"/>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6" w15:restartNumberingAfterBreak="0">
    <w:nsid w:val="53066297"/>
    <w:multiLevelType w:val="multilevel"/>
    <w:tmpl w:val="077EA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621BD3"/>
    <w:multiLevelType w:val="multilevel"/>
    <w:tmpl w:val="7C66D7A6"/>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8"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BEF3364"/>
    <w:multiLevelType w:val="multilevel"/>
    <w:tmpl w:val="AE9885DA"/>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0" w15:restartNumberingAfterBreak="0">
    <w:nsid w:val="5ECA3C7F"/>
    <w:multiLevelType w:val="multilevel"/>
    <w:tmpl w:val="5ECA3C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8183A29"/>
    <w:multiLevelType w:val="hybridMultilevel"/>
    <w:tmpl w:val="D4E4C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81D49"/>
    <w:multiLevelType w:val="multilevel"/>
    <w:tmpl w:val="AFBEA8C4"/>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3"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9D4A18"/>
    <w:multiLevelType w:val="hybridMultilevel"/>
    <w:tmpl w:val="6CDA7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26" w15:restartNumberingAfterBreak="0">
    <w:nsid w:val="7E6C3D69"/>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4"/>
  </w:num>
  <w:num w:numId="4">
    <w:abstractNumId w:val="3"/>
  </w:num>
  <w:num w:numId="5">
    <w:abstractNumId w:val="25"/>
  </w:num>
  <w:num w:numId="6">
    <w:abstractNumId w:val="9"/>
  </w:num>
  <w:num w:numId="7">
    <w:abstractNumId w:val="13"/>
  </w:num>
  <w:num w:numId="8">
    <w:abstractNumId w:val="18"/>
  </w:num>
  <w:num w:numId="9">
    <w:abstractNumId w:val="6"/>
  </w:num>
  <w:num w:numId="10">
    <w:abstractNumId w:val="20"/>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num>
  <w:num w:numId="15">
    <w:abstractNumId w:val="22"/>
  </w:num>
  <w:num w:numId="16">
    <w:abstractNumId w:val="11"/>
  </w:num>
  <w:num w:numId="17">
    <w:abstractNumId w:val="15"/>
  </w:num>
  <w:num w:numId="18">
    <w:abstractNumId w:val="19"/>
  </w:num>
  <w:num w:numId="19">
    <w:abstractNumId w:val="8"/>
  </w:num>
  <w:num w:numId="20">
    <w:abstractNumId w:val="16"/>
  </w:num>
  <w:num w:numId="21">
    <w:abstractNumId w:val="12"/>
  </w:num>
  <w:num w:numId="22">
    <w:abstractNumId w:val="2"/>
  </w:num>
  <w:num w:numId="23">
    <w:abstractNumId w:val="17"/>
  </w:num>
  <w:num w:numId="24">
    <w:abstractNumId w:val="14"/>
  </w:num>
  <w:num w:numId="25">
    <w:abstractNumId w:val="23"/>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6F"/>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5EBB"/>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2FD"/>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17F"/>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BA6"/>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A97"/>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10D"/>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4C6D"/>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5E"/>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6BB"/>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B36"/>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0ECB"/>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A1"/>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A89"/>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01A"/>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AEC"/>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36"/>
    <w:rsid w:val="00287A05"/>
    <w:rsid w:val="00287F57"/>
    <w:rsid w:val="002903BF"/>
    <w:rsid w:val="00290E79"/>
    <w:rsid w:val="00290F35"/>
    <w:rsid w:val="002912BD"/>
    <w:rsid w:val="00291C60"/>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12A"/>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4D3"/>
    <w:rsid w:val="002A4B07"/>
    <w:rsid w:val="002A552F"/>
    <w:rsid w:val="002A5977"/>
    <w:rsid w:val="002A5CA2"/>
    <w:rsid w:val="002A63C1"/>
    <w:rsid w:val="002A653E"/>
    <w:rsid w:val="002A675F"/>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3E9"/>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497"/>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6E"/>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5DEB"/>
    <w:rsid w:val="00336ADE"/>
    <w:rsid w:val="00336BC0"/>
    <w:rsid w:val="00336DB3"/>
    <w:rsid w:val="00337153"/>
    <w:rsid w:val="003373AB"/>
    <w:rsid w:val="0033741D"/>
    <w:rsid w:val="003374B2"/>
    <w:rsid w:val="003376D3"/>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754"/>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4B"/>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87B"/>
    <w:rsid w:val="00366AFB"/>
    <w:rsid w:val="00366BDE"/>
    <w:rsid w:val="00366CC2"/>
    <w:rsid w:val="003674D6"/>
    <w:rsid w:val="0036751E"/>
    <w:rsid w:val="00367DE0"/>
    <w:rsid w:val="00370241"/>
    <w:rsid w:val="0037051E"/>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4CE"/>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0E03"/>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1B7"/>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03"/>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E61"/>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5F5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F4"/>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3D43"/>
    <w:rsid w:val="00434AC5"/>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458"/>
    <w:rsid w:val="004416CD"/>
    <w:rsid w:val="0044194E"/>
    <w:rsid w:val="00441A51"/>
    <w:rsid w:val="00441A69"/>
    <w:rsid w:val="0044266D"/>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61"/>
    <w:rsid w:val="00457448"/>
    <w:rsid w:val="004576C2"/>
    <w:rsid w:val="00457755"/>
    <w:rsid w:val="00457BE4"/>
    <w:rsid w:val="00457C24"/>
    <w:rsid w:val="00457C6C"/>
    <w:rsid w:val="00457D20"/>
    <w:rsid w:val="00460047"/>
    <w:rsid w:val="004602FF"/>
    <w:rsid w:val="00460D58"/>
    <w:rsid w:val="00460F22"/>
    <w:rsid w:val="004610DF"/>
    <w:rsid w:val="0046142F"/>
    <w:rsid w:val="00461856"/>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577"/>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1F9"/>
    <w:rsid w:val="004A0359"/>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98C"/>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1F92"/>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54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28E"/>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505"/>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390"/>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4941"/>
    <w:rsid w:val="005E536F"/>
    <w:rsid w:val="005E5612"/>
    <w:rsid w:val="005E56ED"/>
    <w:rsid w:val="005E574F"/>
    <w:rsid w:val="005E5A98"/>
    <w:rsid w:val="005E5D7D"/>
    <w:rsid w:val="005E6655"/>
    <w:rsid w:val="005E7100"/>
    <w:rsid w:val="005E7324"/>
    <w:rsid w:val="005E795D"/>
    <w:rsid w:val="005F076A"/>
    <w:rsid w:val="005F09FB"/>
    <w:rsid w:val="005F0A0D"/>
    <w:rsid w:val="005F0DBA"/>
    <w:rsid w:val="005F0F79"/>
    <w:rsid w:val="005F11B8"/>
    <w:rsid w:val="005F1372"/>
    <w:rsid w:val="005F1871"/>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761"/>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54E"/>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3E"/>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1794"/>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297"/>
    <w:rsid w:val="006B3DF2"/>
    <w:rsid w:val="006B40B7"/>
    <w:rsid w:val="006B460E"/>
    <w:rsid w:val="006B4644"/>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00F"/>
    <w:rsid w:val="006C51F9"/>
    <w:rsid w:val="006C580E"/>
    <w:rsid w:val="006C6189"/>
    <w:rsid w:val="006C62FA"/>
    <w:rsid w:val="006C63FE"/>
    <w:rsid w:val="006C6721"/>
    <w:rsid w:val="006C6FEE"/>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4AE"/>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3A"/>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A7D"/>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B5"/>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7D"/>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148"/>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4CAC"/>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B44"/>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31"/>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4FF"/>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088B"/>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786"/>
    <w:rsid w:val="008B78D8"/>
    <w:rsid w:val="008C0387"/>
    <w:rsid w:val="008C03EB"/>
    <w:rsid w:val="008C044E"/>
    <w:rsid w:val="008C047A"/>
    <w:rsid w:val="008C0A69"/>
    <w:rsid w:val="008C0AFE"/>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9FF"/>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5EA"/>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629"/>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291"/>
    <w:rsid w:val="008E36BF"/>
    <w:rsid w:val="008E3966"/>
    <w:rsid w:val="008E4421"/>
    <w:rsid w:val="008E4F68"/>
    <w:rsid w:val="008E510A"/>
    <w:rsid w:val="008E515B"/>
    <w:rsid w:val="008E53B5"/>
    <w:rsid w:val="008E5BC2"/>
    <w:rsid w:val="008E6052"/>
    <w:rsid w:val="008E652E"/>
    <w:rsid w:val="008E6833"/>
    <w:rsid w:val="008E6C0F"/>
    <w:rsid w:val="008E6CF7"/>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1DB5"/>
    <w:rsid w:val="00911FFD"/>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6BD"/>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7F6"/>
    <w:rsid w:val="00955A44"/>
    <w:rsid w:val="00955F45"/>
    <w:rsid w:val="009561A6"/>
    <w:rsid w:val="009561BE"/>
    <w:rsid w:val="00956449"/>
    <w:rsid w:val="009564A6"/>
    <w:rsid w:val="009567F3"/>
    <w:rsid w:val="0095697F"/>
    <w:rsid w:val="00956DAC"/>
    <w:rsid w:val="00956F6D"/>
    <w:rsid w:val="009571FD"/>
    <w:rsid w:val="00957561"/>
    <w:rsid w:val="009575F9"/>
    <w:rsid w:val="00957711"/>
    <w:rsid w:val="00957F64"/>
    <w:rsid w:val="00960020"/>
    <w:rsid w:val="00960041"/>
    <w:rsid w:val="009601C7"/>
    <w:rsid w:val="009602AB"/>
    <w:rsid w:val="0096141A"/>
    <w:rsid w:val="0096148E"/>
    <w:rsid w:val="0096177C"/>
    <w:rsid w:val="00961C14"/>
    <w:rsid w:val="00961FF8"/>
    <w:rsid w:val="009623B3"/>
    <w:rsid w:val="009625F8"/>
    <w:rsid w:val="009626CE"/>
    <w:rsid w:val="00962B61"/>
    <w:rsid w:val="00963233"/>
    <w:rsid w:val="009632DB"/>
    <w:rsid w:val="0096338D"/>
    <w:rsid w:val="0096341C"/>
    <w:rsid w:val="009634A0"/>
    <w:rsid w:val="009635D9"/>
    <w:rsid w:val="00963E3C"/>
    <w:rsid w:val="0096427B"/>
    <w:rsid w:val="0096493F"/>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D6E"/>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1C18"/>
    <w:rsid w:val="009A2678"/>
    <w:rsid w:val="009A267C"/>
    <w:rsid w:val="009A2DD1"/>
    <w:rsid w:val="009A3261"/>
    <w:rsid w:val="009A38DE"/>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499"/>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A8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1A6"/>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05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E2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0B5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61B"/>
    <w:rsid w:val="00A57993"/>
    <w:rsid w:val="00A57D1B"/>
    <w:rsid w:val="00A57DC1"/>
    <w:rsid w:val="00A602FB"/>
    <w:rsid w:val="00A60555"/>
    <w:rsid w:val="00A61252"/>
    <w:rsid w:val="00A61287"/>
    <w:rsid w:val="00A617A2"/>
    <w:rsid w:val="00A61B30"/>
    <w:rsid w:val="00A61BCA"/>
    <w:rsid w:val="00A6219C"/>
    <w:rsid w:val="00A6221F"/>
    <w:rsid w:val="00A62812"/>
    <w:rsid w:val="00A629D4"/>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162"/>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4B5"/>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0F65"/>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2E8"/>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2BF"/>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6D08"/>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20A"/>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69D"/>
    <w:rsid w:val="00B749FC"/>
    <w:rsid w:val="00B74A60"/>
    <w:rsid w:val="00B74C51"/>
    <w:rsid w:val="00B74FDF"/>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6C1"/>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2FB9"/>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473"/>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C33"/>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FD9"/>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47F"/>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BEF"/>
    <w:rsid w:val="00CC3D3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23B"/>
    <w:rsid w:val="00D063EE"/>
    <w:rsid w:val="00D0658E"/>
    <w:rsid w:val="00D06794"/>
    <w:rsid w:val="00D06D51"/>
    <w:rsid w:val="00D071FB"/>
    <w:rsid w:val="00D07309"/>
    <w:rsid w:val="00D0751A"/>
    <w:rsid w:val="00D07730"/>
    <w:rsid w:val="00D07A78"/>
    <w:rsid w:val="00D1002B"/>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D92"/>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154"/>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21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A21"/>
    <w:rsid w:val="00DA2DD4"/>
    <w:rsid w:val="00DA2DD8"/>
    <w:rsid w:val="00DA3B83"/>
    <w:rsid w:val="00DA3D2E"/>
    <w:rsid w:val="00DA441C"/>
    <w:rsid w:val="00DA455C"/>
    <w:rsid w:val="00DA46AC"/>
    <w:rsid w:val="00DA4BD8"/>
    <w:rsid w:val="00DA4D23"/>
    <w:rsid w:val="00DA4FAD"/>
    <w:rsid w:val="00DA5708"/>
    <w:rsid w:val="00DA589A"/>
    <w:rsid w:val="00DA6340"/>
    <w:rsid w:val="00DA69E9"/>
    <w:rsid w:val="00DA69F2"/>
    <w:rsid w:val="00DA6C9C"/>
    <w:rsid w:val="00DA6DA9"/>
    <w:rsid w:val="00DA6DDD"/>
    <w:rsid w:val="00DA73EC"/>
    <w:rsid w:val="00DA7885"/>
    <w:rsid w:val="00DA78EF"/>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8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6C"/>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675"/>
    <w:rsid w:val="00DE4E4B"/>
    <w:rsid w:val="00DE53F0"/>
    <w:rsid w:val="00DE577F"/>
    <w:rsid w:val="00DE5C3C"/>
    <w:rsid w:val="00DE5D29"/>
    <w:rsid w:val="00DE67D1"/>
    <w:rsid w:val="00DE69DA"/>
    <w:rsid w:val="00DE7180"/>
    <w:rsid w:val="00DE72F1"/>
    <w:rsid w:val="00DE73D4"/>
    <w:rsid w:val="00DE7A03"/>
    <w:rsid w:val="00DE7B28"/>
    <w:rsid w:val="00DF0252"/>
    <w:rsid w:val="00DF0349"/>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316"/>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78D"/>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5EAA"/>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09E"/>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9DD"/>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D37"/>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A6A"/>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10E"/>
    <w:rsid w:val="00EC69AD"/>
    <w:rsid w:val="00EC6AA9"/>
    <w:rsid w:val="00EC6C08"/>
    <w:rsid w:val="00EC6E1B"/>
    <w:rsid w:val="00EC701B"/>
    <w:rsid w:val="00EC70B5"/>
    <w:rsid w:val="00EC71CA"/>
    <w:rsid w:val="00EC74D2"/>
    <w:rsid w:val="00EC75A8"/>
    <w:rsid w:val="00EC7D21"/>
    <w:rsid w:val="00ED01BD"/>
    <w:rsid w:val="00ED0236"/>
    <w:rsid w:val="00ED0BB9"/>
    <w:rsid w:val="00ED0CBC"/>
    <w:rsid w:val="00ED0E22"/>
    <w:rsid w:val="00ED0EDF"/>
    <w:rsid w:val="00ED1110"/>
    <w:rsid w:val="00ED1351"/>
    <w:rsid w:val="00ED1C49"/>
    <w:rsid w:val="00ED1EB4"/>
    <w:rsid w:val="00ED206C"/>
    <w:rsid w:val="00ED21E7"/>
    <w:rsid w:val="00ED21FE"/>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1F8E"/>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19F"/>
    <w:rsid w:val="00F2086A"/>
    <w:rsid w:val="00F20915"/>
    <w:rsid w:val="00F20B6F"/>
    <w:rsid w:val="00F20B97"/>
    <w:rsid w:val="00F212FE"/>
    <w:rsid w:val="00F213BD"/>
    <w:rsid w:val="00F213CF"/>
    <w:rsid w:val="00F213E2"/>
    <w:rsid w:val="00F214EE"/>
    <w:rsid w:val="00F21548"/>
    <w:rsid w:val="00F215A3"/>
    <w:rsid w:val="00F217B7"/>
    <w:rsid w:val="00F218F6"/>
    <w:rsid w:val="00F21E83"/>
    <w:rsid w:val="00F2241B"/>
    <w:rsid w:val="00F2245D"/>
    <w:rsid w:val="00F226FD"/>
    <w:rsid w:val="00F228C9"/>
    <w:rsid w:val="00F22950"/>
    <w:rsid w:val="00F22EC7"/>
    <w:rsid w:val="00F22FC0"/>
    <w:rsid w:val="00F231AB"/>
    <w:rsid w:val="00F2325B"/>
    <w:rsid w:val="00F23893"/>
    <w:rsid w:val="00F23943"/>
    <w:rsid w:val="00F23CD7"/>
    <w:rsid w:val="00F240BA"/>
    <w:rsid w:val="00F2420A"/>
    <w:rsid w:val="00F2467F"/>
    <w:rsid w:val="00F2516E"/>
    <w:rsid w:val="00F251DD"/>
    <w:rsid w:val="00F25275"/>
    <w:rsid w:val="00F25BE2"/>
    <w:rsid w:val="00F25D79"/>
    <w:rsid w:val="00F25D98"/>
    <w:rsid w:val="00F25E05"/>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D5F"/>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11"/>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685"/>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1B3"/>
    <w:rsid w:val="00FA4988"/>
    <w:rsid w:val="00FA4E7D"/>
    <w:rsid w:val="00FA50FF"/>
    <w:rsid w:val="00FA55BE"/>
    <w:rsid w:val="00FA5AA4"/>
    <w:rsid w:val="00FA5AD5"/>
    <w:rsid w:val="00FA612E"/>
    <w:rsid w:val="00FA66D3"/>
    <w:rsid w:val="00FA676B"/>
    <w:rsid w:val="00FA68B6"/>
    <w:rsid w:val="00FA69F7"/>
    <w:rsid w:val="00FA6F15"/>
    <w:rsid w:val="00FA701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31"/>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4F47"/>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3E99"/>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06BAF384"/>
    <w:rsid w:val="13239F06"/>
    <w:rsid w:val="36CF317B"/>
    <w:rsid w:val="3ABF0D6E"/>
    <w:rsid w:val="4FDED8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7514D"/>
  <w15:docId w15:val="{F9B5EA14-B390-4E43-9425-741ECAA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qFormat/>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paragraph" w:styleId="CommentSubject">
    <w:name w:val="annotation subject"/>
    <w:basedOn w:val="CommentText"/>
    <w:next w:val="CommentText"/>
    <w:link w:val="CommentSubjectChar"/>
    <w:qFormat/>
    <w:rPr>
      <w:rFonts w:ascii="Arial" w:eastAsia="MS Mincho" w:hAnsi="Arial"/>
      <w:lang w:val="zh-CN"/>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 w:type="paragraph" w:customStyle="1" w:styleId="Agreement">
    <w:name w:val="Agreement"/>
    <w:basedOn w:val="Normal"/>
    <w:next w:val="Doc-text2"/>
    <w:uiPriority w:val="99"/>
    <w:qFormat/>
    <w:rsid w:val="00BA66C1"/>
    <w:pPr>
      <w:numPr>
        <w:numId w:val="25"/>
      </w:numPr>
      <w:overflowPunct/>
      <w:autoSpaceDE/>
      <w:autoSpaceDN/>
      <w:adjustRightInd/>
      <w:spacing w:before="60" w:after="0" w:line="240"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6-e/Docs/R2-210967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678.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09677.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5AIRPNAIUNRU-859666464-10161</_dlc_DocId>
    <_dlc_DocIdPersistId xmlns="71c5aaf6-e6ce-465b-b873-5148d2a4c105">false</_dlc_DocIdPersistId>
    <_dlc_DocIdUrl xmlns="71c5aaf6-e6ce-465b-b873-5148d2a4c105">
      <Url>https://nokia.sharepoint.com/sites/c5g/e2earch/_layouts/15/DocIdRedir.aspx?ID=5AIRPNAIUNRU-859666464-10161</Url>
      <Description>5AIRPNAIUNRU-859666464-10161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B45C7-5A4A-4415-B08D-C70FDA747B95}">
  <ds:schemaRefs>
    <ds:schemaRef ds:uri="Microsoft.SharePoint.Taxonomy.ContentTypeSync"/>
  </ds:schemaRefs>
</ds:datastoreItem>
</file>

<file path=customXml/itemProps2.xml><?xml version="1.0" encoding="utf-8"?>
<ds:datastoreItem xmlns:ds="http://schemas.openxmlformats.org/officeDocument/2006/customXml" ds:itemID="{940AF01D-9401-469E-A063-9DD34753810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BD35DA1-4BAD-4E8B-8092-BD2085E49E1D}">
  <ds:schemaRefs>
    <ds:schemaRef ds:uri="http://schemas.openxmlformats.org/officeDocument/2006/bibliography"/>
  </ds:schemaRefs>
</ds:datastoreItem>
</file>

<file path=customXml/itemProps7.xml><?xml version="1.0" encoding="utf-8"?>
<ds:datastoreItem xmlns:ds="http://schemas.openxmlformats.org/officeDocument/2006/customXml" ds:itemID="{9C320E74-F30D-4DA6-AB2D-1976BBF6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 38.331</vt:lpstr>
    </vt:vector>
  </TitlesOfParts>
  <Company>ZTE</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RAN2#116</cp:lastModifiedBy>
  <cp:revision>3</cp:revision>
  <cp:lastPrinted>2017-05-09T01:55:00Z</cp:lastPrinted>
  <dcterms:created xsi:type="dcterms:W3CDTF">2021-11-19T01:21:00Z</dcterms:created>
  <dcterms:modified xsi:type="dcterms:W3CDTF">2021-11-19T02:16:00Z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0x01010054371E7EC0F13943B87F9D9F2BE005B3</vt:lpwstr>
  </property>
  <property fmtid="{D5CDD505-2E9C-101B-9397-08002B2CF9AE}" pid="11" name="_dlc_DocIdItemGuid">
    <vt:lpwstr>d6f3b438-a2b7-45b2-9134-7450dfce6a2f</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6"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7" name="CTPClassification">
    <vt:lpwstr>CTP_NT</vt:lpwstr>
  </property>
  <property fmtid="{D5CDD505-2E9C-101B-9397-08002B2CF9AE}" pid="68" name="KSOProductBuildVer">
    <vt:lpwstr>2052-11.8.2.9022</vt:lpwstr>
  </property>
  <property fmtid="{D5CDD505-2E9C-101B-9397-08002B2CF9AE}" pid="69" name="_readonly">
    <vt:lpwstr/>
  </property>
  <property fmtid="{D5CDD505-2E9C-101B-9397-08002B2CF9AE}" pid="70" name="_change">
    <vt:lpwstr/>
  </property>
  <property fmtid="{D5CDD505-2E9C-101B-9397-08002B2CF9AE}" pid="71" name="_full-control">
    <vt:lpwstr/>
  </property>
  <property fmtid="{D5CDD505-2E9C-101B-9397-08002B2CF9AE}" pid="72" name="sflag">
    <vt:lpwstr>1637225161</vt:lpwstr>
  </property>
</Properties>
</file>