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22D8E432" w:rsidR="0082140E" w:rsidRDefault="00E820A3" w:rsidP="00F23B3C">
            <w:pPr>
              <w:spacing w:after="0"/>
              <w:rPr>
                <w:sz w:val="20"/>
                <w:szCs w:val="20"/>
                <w:lang w:eastAsia="ja-JP"/>
              </w:rPr>
            </w:pPr>
            <w:r>
              <w:rPr>
                <w:sz w:val="20"/>
                <w:szCs w:val="20"/>
                <w:lang w:eastAsia="ja-JP"/>
              </w:rPr>
              <w:t>Qualcomm</w:t>
            </w:r>
          </w:p>
        </w:tc>
        <w:tc>
          <w:tcPr>
            <w:tcW w:w="2687" w:type="dxa"/>
          </w:tcPr>
          <w:p w14:paraId="04D4F35F" w14:textId="39B3B9AD" w:rsidR="0082140E" w:rsidRDefault="00E820A3" w:rsidP="00F23B3C">
            <w:pPr>
              <w:spacing w:after="0"/>
              <w:rPr>
                <w:sz w:val="20"/>
                <w:szCs w:val="20"/>
                <w:lang w:eastAsia="ja-JP"/>
              </w:rPr>
            </w:pPr>
            <w:r>
              <w:rPr>
                <w:sz w:val="20"/>
                <w:szCs w:val="20"/>
                <w:lang w:eastAsia="ja-JP"/>
              </w:rPr>
              <w:t>Linhai He</w:t>
            </w:r>
          </w:p>
        </w:tc>
        <w:tc>
          <w:tcPr>
            <w:tcW w:w="4903" w:type="dxa"/>
          </w:tcPr>
          <w:p w14:paraId="78893E8D" w14:textId="4154DE61" w:rsidR="0082140E" w:rsidRDefault="00E820A3" w:rsidP="00F23B3C">
            <w:pPr>
              <w:spacing w:after="0"/>
              <w:rPr>
                <w:sz w:val="20"/>
                <w:szCs w:val="20"/>
                <w:lang w:eastAsia="ja-JP"/>
              </w:rPr>
            </w:pPr>
            <w:r>
              <w:rPr>
                <w:sz w:val="20"/>
                <w:szCs w:val="20"/>
                <w:lang w:eastAsia="ja-JP"/>
              </w:rPr>
              <w:t>linhaihe@qti.qualcomm.com</w:t>
            </w:r>
          </w:p>
        </w:tc>
      </w:tr>
      <w:tr w:rsidR="0082140E" w14:paraId="69605EFA" w14:textId="77777777" w:rsidTr="00F23B3C">
        <w:tc>
          <w:tcPr>
            <w:tcW w:w="1760" w:type="dxa"/>
          </w:tcPr>
          <w:p w14:paraId="40B4498D" w14:textId="69CDD552" w:rsidR="0082140E" w:rsidRDefault="003A0B9F" w:rsidP="00F23B3C">
            <w:pPr>
              <w:spacing w:after="0"/>
              <w:rPr>
                <w:sz w:val="20"/>
                <w:szCs w:val="20"/>
                <w:lang w:eastAsia="zh-CN"/>
              </w:rPr>
            </w:pPr>
            <w:r>
              <w:rPr>
                <w:rFonts w:hint="eastAsia"/>
                <w:sz w:val="20"/>
                <w:szCs w:val="20"/>
                <w:lang w:eastAsia="zh-CN"/>
              </w:rPr>
              <w:t>Huawei</w:t>
            </w:r>
            <w:r>
              <w:rPr>
                <w:sz w:val="20"/>
                <w:szCs w:val="20"/>
                <w:lang w:eastAsia="zh-CN"/>
              </w:rPr>
              <w:t>, HiSilicon</w:t>
            </w:r>
          </w:p>
        </w:tc>
        <w:tc>
          <w:tcPr>
            <w:tcW w:w="2687" w:type="dxa"/>
          </w:tcPr>
          <w:p w14:paraId="5F767AE4" w14:textId="0C7E6ED1" w:rsidR="0082140E" w:rsidRDefault="003A0B9F" w:rsidP="00F23B3C">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5F556068" w14:textId="03FD57D0" w:rsidR="0082140E" w:rsidRDefault="003A0B9F" w:rsidP="00F23B3C">
            <w:pPr>
              <w:spacing w:after="0"/>
              <w:rPr>
                <w:sz w:val="20"/>
                <w:szCs w:val="20"/>
                <w:lang w:eastAsia="zh-CN"/>
              </w:rPr>
            </w:pPr>
            <w:r>
              <w:rPr>
                <w:sz w:val="20"/>
                <w:szCs w:val="20"/>
                <w:lang w:eastAsia="zh-CN"/>
              </w:rPr>
              <w:t>Shiyulong5@huawei.com</w:t>
            </w:r>
          </w:p>
        </w:tc>
      </w:tr>
      <w:tr w:rsidR="0082140E" w14:paraId="622ABF39" w14:textId="77777777" w:rsidTr="00F23B3C">
        <w:tc>
          <w:tcPr>
            <w:tcW w:w="1760" w:type="dxa"/>
          </w:tcPr>
          <w:p w14:paraId="31289DEC" w14:textId="12CABE9B" w:rsidR="0082140E" w:rsidRDefault="00696AE2" w:rsidP="00F23B3C">
            <w:pPr>
              <w:spacing w:after="0"/>
              <w:rPr>
                <w:sz w:val="20"/>
                <w:szCs w:val="20"/>
                <w:lang w:eastAsia="ja-JP"/>
              </w:rPr>
            </w:pPr>
            <w:r>
              <w:rPr>
                <w:sz w:val="20"/>
                <w:szCs w:val="20"/>
                <w:lang w:eastAsia="ja-JP"/>
              </w:rPr>
              <w:t>Sequans</w:t>
            </w:r>
          </w:p>
        </w:tc>
        <w:tc>
          <w:tcPr>
            <w:tcW w:w="2687" w:type="dxa"/>
          </w:tcPr>
          <w:p w14:paraId="7E3F3F4C" w14:textId="5A18051A" w:rsidR="0082140E" w:rsidRDefault="00696AE2" w:rsidP="00F23B3C">
            <w:pPr>
              <w:spacing w:after="0"/>
              <w:rPr>
                <w:sz w:val="20"/>
                <w:szCs w:val="20"/>
                <w:lang w:eastAsia="ja-JP"/>
              </w:rPr>
            </w:pPr>
            <w:r>
              <w:rPr>
                <w:sz w:val="20"/>
                <w:szCs w:val="20"/>
                <w:lang w:eastAsia="ja-JP"/>
              </w:rPr>
              <w:t>Noam Cayron</w:t>
            </w:r>
          </w:p>
        </w:tc>
        <w:tc>
          <w:tcPr>
            <w:tcW w:w="4903" w:type="dxa"/>
          </w:tcPr>
          <w:p w14:paraId="5B6C3B45" w14:textId="421842B3" w:rsidR="0082140E" w:rsidRDefault="00696AE2" w:rsidP="00F23B3C">
            <w:pPr>
              <w:spacing w:after="0"/>
              <w:rPr>
                <w:sz w:val="20"/>
                <w:szCs w:val="20"/>
                <w:lang w:eastAsia="ja-JP"/>
              </w:rPr>
            </w:pPr>
            <w:r>
              <w:rPr>
                <w:sz w:val="20"/>
                <w:szCs w:val="20"/>
                <w:lang w:eastAsia="ja-JP"/>
              </w:rPr>
              <w:t>noam.cayron@sequans.com</w:t>
            </w:r>
          </w:p>
        </w:tc>
      </w:tr>
      <w:tr w:rsidR="0082140E" w14:paraId="6F16DB57" w14:textId="77777777" w:rsidTr="00F23B3C">
        <w:tc>
          <w:tcPr>
            <w:tcW w:w="1760" w:type="dxa"/>
          </w:tcPr>
          <w:p w14:paraId="1CF6E2E6" w14:textId="6210F983" w:rsidR="0082140E" w:rsidRDefault="001C65EA" w:rsidP="00F23B3C">
            <w:pPr>
              <w:spacing w:after="0"/>
              <w:rPr>
                <w:sz w:val="20"/>
                <w:szCs w:val="20"/>
                <w:lang w:eastAsia="ja-JP"/>
              </w:rPr>
            </w:pPr>
            <w:r>
              <w:rPr>
                <w:sz w:val="20"/>
                <w:szCs w:val="20"/>
                <w:lang w:eastAsia="ja-JP"/>
              </w:rPr>
              <w:t>Ericsson</w:t>
            </w:r>
          </w:p>
        </w:tc>
        <w:tc>
          <w:tcPr>
            <w:tcW w:w="2687" w:type="dxa"/>
          </w:tcPr>
          <w:p w14:paraId="466B4854" w14:textId="3468E17C" w:rsidR="0082140E" w:rsidRDefault="001C65EA" w:rsidP="00F23B3C">
            <w:pPr>
              <w:spacing w:after="0"/>
              <w:rPr>
                <w:sz w:val="20"/>
                <w:szCs w:val="20"/>
                <w:lang w:eastAsia="ja-JP"/>
              </w:rPr>
            </w:pPr>
            <w:r>
              <w:rPr>
                <w:sz w:val="20"/>
                <w:szCs w:val="20"/>
                <w:lang w:eastAsia="ja-JP"/>
              </w:rPr>
              <w:t>Tuomas Tirronen</w:t>
            </w:r>
          </w:p>
        </w:tc>
        <w:tc>
          <w:tcPr>
            <w:tcW w:w="4903" w:type="dxa"/>
          </w:tcPr>
          <w:p w14:paraId="1CC28FE4" w14:textId="45533CD6" w:rsidR="0082140E" w:rsidRDefault="001C65EA" w:rsidP="00F23B3C">
            <w:pPr>
              <w:spacing w:after="0"/>
              <w:rPr>
                <w:sz w:val="20"/>
                <w:szCs w:val="20"/>
                <w:lang w:eastAsia="ja-JP"/>
              </w:rPr>
            </w:pPr>
            <w:r>
              <w:rPr>
                <w:sz w:val="20"/>
                <w:szCs w:val="20"/>
                <w:lang w:eastAsia="ja-JP"/>
              </w:rPr>
              <w:t>tuomas.tirronen@ericsson.com</w:t>
            </w: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feature can be supported by non RedCap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Post115-e][108][RedCap]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r w:rsidRPr="000A3446">
        <w:rPr>
          <w:b/>
          <w:bCs/>
          <w:i/>
          <w:iCs/>
        </w:rPr>
        <w:t>channelBWs-DL/UL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r w:rsidRPr="0017545B">
        <w:rPr>
          <w:i/>
          <w:iCs/>
        </w:rPr>
        <w:t>channelBWs</w:t>
      </w:r>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RedCap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0EA63919" w:rsidR="00226A89" w:rsidRPr="000A3446" w:rsidRDefault="0091724B" w:rsidP="00BA0659">
            <w:pPr>
              <w:spacing w:after="0"/>
              <w:rPr>
                <w:sz w:val="20"/>
                <w:szCs w:val="20"/>
                <w:lang w:eastAsia="zh-CN"/>
              </w:rPr>
            </w:pPr>
            <w:r>
              <w:rPr>
                <w:sz w:val="20"/>
                <w:szCs w:val="20"/>
                <w:lang w:eastAsia="zh-CN"/>
              </w:rPr>
              <w:t>Qualcomm</w:t>
            </w:r>
          </w:p>
        </w:tc>
        <w:tc>
          <w:tcPr>
            <w:tcW w:w="1288" w:type="dxa"/>
          </w:tcPr>
          <w:p w14:paraId="0AE3495A" w14:textId="13718868" w:rsidR="00226A89" w:rsidRPr="000A3446" w:rsidRDefault="0091724B" w:rsidP="00BA0659">
            <w:pPr>
              <w:spacing w:after="0"/>
              <w:rPr>
                <w:sz w:val="20"/>
                <w:szCs w:val="20"/>
                <w:lang w:eastAsia="zh-CN"/>
              </w:rPr>
            </w:pPr>
            <w:r>
              <w:rPr>
                <w:sz w:val="20"/>
                <w:szCs w:val="20"/>
                <w:lang w:eastAsia="zh-CN"/>
              </w:rPr>
              <w:t>Agree</w:t>
            </w:r>
          </w:p>
        </w:tc>
        <w:tc>
          <w:tcPr>
            <w:tcW w:w="5060" w:type="dxa"/>
          </w:tcPr>
          <w:p w14:paraId="4C81B4DF" w14:textId="77777777" w:rsidR="00226A89" w:rsidRPr="000A3446" w:rsidRDefault="00226A89" w:rsidP="00BA0659">
            <w:pPr>
              <w:spacing w:after="0"/>
              <w:rPr>
                <w:sz w:val="20"/>
                <w:szCs w:val="20"/>
                <w:lang w:eastAsia="zh-CN"/>
              </w:rPr>
            </w:pPr>
          </w:p>
        </w:tc>
      </w:tr>
      <w:tr w:rsidR="003A0B9F" w:rsidRPr="000A3446" w14:paraId="20CBF31E" w14:textId="77777777" w:rsidTr="00BA0659">
        <w:tc>
          <w:tcPr>
            <w:tcW w:w="1938" w:type="dxa"/>
          </w:tcPr>
          <w:p w14:paraId="7927A0DB" w14:textId="6069D67F" w:rsidR="003A0B9F" w:rsidRPr="000A3446" w:rsidRDefault="003A0B9F" w:rsidP="003A0B9F">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052E4A7" w14:textId="5756ADD6"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ither way</w:t>
            </w:r>
          </w:p>
        </w:tc>
        <w:tc>
          <w:tcPr>
            <w:tcW w:w="5060" w:type="dxa"/>
          </w:tcPr>
          <w:p w14:paraId="071A8E26" w14:textId="4B5C3FEF" w:rsidR="003A0B9F" w:rsidRPr="000A3446" w:rsidRDefault="003A0B9F" w:rsidP="003A0B9F">
            <w:pPr>
              <w:spacing w:after="0"/>
              <w:rPr>
                <w:sz w:val="20"/>
                <w:szCs w:val="20"/>
                <w:lang w:eastAsia="ja-JP"/>
              </w:rPr>
            </w:pPr>
            <w:r>
              <w:rPr>
                <w:rFonts w:hint="eastAsia"/>
                <w:sz w:val="20"/>
                <w:szCs w:val="20"/>
                <w:lang w:eastAsia="zh-CN"/>
              </w:rPr>
              <w:t>E</w:t>
            </w:r>
            <w:r>
              <w:rPr>
                <w:sz w:val="20"/>
                <w:szCs w:val="20"/>
                <w:lang w:eastAsia="zh-CN"/>
              </w:rPr>
              <w:t>ven though it is redundant, it is true that this field does not apply to RedCapp. We are fine either to keep or remove it.</w:t>
            </w:r>
          </w:p>
        </w:tc>
      </w:tr>
      <w:tr w:rsidR="003A0B9F" w:rsidRPr="000A3446" w14:paraId="2A179356" w14:textId="77777777" w:rsidTr="00BA0659">
        <w:tc>
          <w:tcPr>
            <w:tcW w:w="1938" w:type="dxa"/>
          </w:tcPr>
          <w:p w14:paraId="4B3A874D" w14:textId="770DF608" w:rsidR="003A0B9F" w:rsidRPr="000A3446" w:rsidRDefault="00696AE2" w:rsidP="003A0B9F">
            <w:pPr>
              <w:spacing w:after="0"/>
              <w:rPr>
                <w:sz w:val="20"/>
                <w:szCs w:val="20"/>
                <w:lang w:eastAsia="ja-JP"/>
              </w:rPr>
            </w:pPr>
            <w:r>
              <w:rPr>
                <w:sz w:val="20"/>
                <w:szCs w:val="20"/>
                <w:lang w:eastAsia="ja-JP"/>
              </w:rPr>
              <w:t>Sequans</w:t>
            </w:r>
          </w:p>
        </w:tc>
        <w:tc>
          <w:tcPr>
            <w:tcW w:w="1288" w:type="dxa"/>
          </w:tcPr>
          <w:p w14:paraId="1F657585" w14:textId="49F58C40" w:rsidR="003A0B9F" w:rsidRPr="000A3446" w:rsidRDefault="00696AE2" w:rsidP="003A0B9F">
            <w:pPr>
              <w:spacing w:after="0"/>
              <w:rPr>
                <w:sz w:val="20"/>
                <w:szCs w:val="20"/>
                <w:lang w:eastAsia="ja-JP"/>
              </w:rPr>
            </w:pPr>
            <w:r>
              <w:rPr>
                <w:sz w:val="20"/>
                <w:szCs w:val="20"/>
                <w:lang w:eastAsia="ja-JP"/>
              </w:rPr>
              <w:t>Agree</w:t>
            </w:r>
            <w:r w:rsidR="00DD3204">
              <w:rPr>
                <w:sz w:val="20"/>
                <w:szCs w:val="20"/>
                <w:lang w:eastAsia="ja-JP"/>
              </w:rPr>
              <w:t>, but</w:t>
            </w:r>
          </w:p>
        </w:tc>
        <w:tc>
          <w:tcPr>
            <w:tcW w:w="5060" w:type="dxa"/>
          </w:tcPr>
          <w:p w14:paraId="2D45997B" w14:textId="79446C33" w:rsidR="00DD3204" w:rsidRDefault="00DD3204" w:rsidP="003A0B9F">
            <w:pPr>
              <w:spacing w:after="0"/>
              <w:rPr>
                <w:sz w:val="20"/>
                <w:szCs w:val="20"/>
                <w:lang w:eastAsia="zh-CN"/>
              </w:rPr>
            </w:pPr>
            <w:r>
              <w:rPr>
                <w:sz w:val="20"/>
                <w:szCs w:val="20"/>
                <w:lang w:eastAsia="zh-CN"/>
              </w:rPr>
              <w:t>W</w:t>
            </w:r>
            <w:r w:rsidR="00696AE2">
              <w:rPr>
                <w:sz w:val="20"/>
                <w:szCs w:val="20"/>
                <w:lang w:eastAsia="zh-CN"/>
              </w:rPr>
              <w:t xml:space="preserve">e are fine to go with majority. </w:t>
            </w:r>
          </w:p>
          <w:p w14:paraId="125A37B3" w14:textId="2B311ACA" w:rsidR="003A0B9F" w:rsidRPr="000A3446" w:rsidRDefault="00DD3204" w:rsidP="003A0B9F">
            <w:pPr>
              <w:spacing w:after="0"/>
              <w:rPr>
                <w:sz w:val="20"/>
                <w:szCs w:val="20"/>
                <w:lang w:eastAsia="zh-CN"/>
              </w:rPr>
            </w:pPr>
            <w:r>
              <w:rPr>
                <w:sz w:val="20"/>
                <w:szCs w:val="20"/>
                <w:lang w:eastAsia="zh-CN"/>
              </w:rPr>
              <w:t xml:space="preserve">To avoid any possible confusion the sentence </w:t>
            </w:r>
            <w:r w:rsidR="00696AE2">
              <w:rPr>
                <w:sz w:val="20"/>
                <w:szCs w:val="20"/>
                <w:lang w:eastAsia="zh-CN"/>
              </w:rPr>
              <w:t xml:space="preserve"> can also be changed to a forward</w:t>
            </w:r>
            <w:r>
              <w:rPr>
                <w:sz w:val="20"/>
                <w:szCs w:val="20"/>
                <w:lang w:eastAsia="zh-CN"/>
              </w:rPr>
              <w:t>-</w:t>
            </w:r>
            <w:r w:rsidR="00696AE2">
              <w:rPr>
                <w:sz w:val="20"/>
                <w:szCs w:val="20"/>
                <w:lang w:eastAsia="zh-CN"/>
              </w:rPr>
              <w:t xml:space="preserve">compatible wording, </w:t>
            </w:r>
            <w:r w:rsidR="00696AE2" w:rsidRPr="00696AE2">
              <w:rPr>
                <w:i/>
                <w:iCs/>
                <w:sz w:val="20"/>
                <w:szCs w:val="20"/>
                <w:lang w:eastAsia="zh-CN"/>
              </w:rPr>
              <w:t>e.g.</w:t>
            </w:r>
            <w:r w:rsidR="00696AE2">
              <w:rPr>
                <w:sz w:val="20"/>
                <w:szCs w:val="20"/>
                <w:lang w:eastAsia="zh-CN"/>
              </w:rPr>
              <w:t xml:space="preserve">, “all or some of the possible values of </w:t>
            </w:r>
            <w:r w:rsidR="00696AE2" w:rsidRPr="00696AE2">
              <w:rPr>
                <w:i/>
                <w:iCs/>
                <w:sz w:val="20"/>
                <w:szCs w:val="20"/>
                <w:lang w:eastAsia="zh-CN"/>
              </w:rPr>
              <w:t>channelBWs-DL-v1590</w:t>
            </w:r>
            <w:r w:rsidR="00696AE2">
              <w:rPr>
                <w:sz w:val="20"/>
                <w:szCs w:val="20"/>
                <w:lang w:eastAsia="zh-CN"/>
              </w:rPr>
              <w:t xml:space="preserve"> are applicable to RedCap UEs”</w:t>
            </w:r>
          </w:p>
        </w:tc>
      </w:tr>
      <w:tr w:rsidR="001C65EA" w:rsidRPr="000A3446" w14:paraId="65D8DD04" w14:textId="77777777" w:rsidTr="00BA0659">
        <w:tc>
          <w:tcPr>
            <w:tcW w:w="1938" w:type="dxa"/>
          </w:tcPr>
          <w:p w14:paraId="7B4FAE27" w14:textId="48943E74" w:rsidR="001C65EA" w:rsidRDefault="001C65EA" w:rsidP="003A0B9F">
            <w:pPr>
              <w:spacing w:after="0"/>
              <w:rPr>
                <w:sz w:val="20"/>
                <w:szCs w:val="20"/>
                <w:lang w:eastAsia="ja-JP"/>
              </w:rPr>
            </w:pPr>
            <w:r>
              <w:rPr>
                <w:sz w:val="20"/>
                <w:szCs w:val="20"/>
                <w:lang w:eastAsia="ja-JP"/>
              </w:rPr>
              <w:t>Ericsson</w:t>
            </w:r>
          </w:p>
        </w:tc>
        <w:tc>
          <w:tcPr>
            <w:tcW w:w="1288" w:type="dxa"/>
          </w:tcPr>
          <w:p w14:paraId="3AD905AE" w14:textId="0ADB276E" w:rsidR="001C65EA" w:rsidRDefault="001C65EA" w:rsidP="003A0B9F">
            <w:pPr>
              <w:spacing w:after="0"/>
              <w:rPr>
                <w:sz w:val="20"/>
                <w:szCs w:val="20"/>
                <w:lang w:eastAsia="ja-JP"/>
              </w:rPr>
            </w:pPr>
            <w:r>
              <w:rPr>
                <w:sz w:val="20"/>
                <w:szCs w:val="20"/>
                <w:lang w:eastAsia="ja-JP"/>
              </w:rPr>
              <w:t>Agree</w:t>
            </w:r>
          </w:p>
        </w:tc>
        <w:tc>
          <w:tcPr>
            <w:tcW w:w="5060" w:type="dxa"/>
          </w:tcPr>
          <w:p w14:paraId="32BBB343" w14:textId="706B3008" w:rsidR="001C65EA" w:rsidRDefault="001C65EA" w:rsidP="003A0B9F">
            <w:pPr>
              <w:spacing w:after="0"/>
              <w:rPr>
                <w:sz w:val="20"/>
                <w:szCs w:val="20"/>
                <w:lang w:eastAsia="zh-CN"/>
              </w:rPr>
            </w:pPr>
            <w:r>
              <w:rPr>
                <w:sz w:val="20"/>
                <w:szCs w:val="20"/>
                <w:lang w:eastAsia="zh-CN"/>
              </w:rPr>
              <w:t xml:space="preserve">No strong view, but it should be clear this doesn’t apply to RedCap based on the max UE BW. </w:t>
            </w:r>
          </w:p>
        </w:tc>
      </w:tr>
    </w:tbl>
    <w:p w14:paraId="0EA025E5" w14:textId="5F156A20" w:rsidR="00226A89" w:rsidRPr="000A3446" w:rsidRDefault="00226A89"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3D593662" w:rsidR="00F76606" w:rsidRDefault="00F76606" w:rsidP="270B4DBC">
      <w:pPr>
        <w:jc w:val="both"/>
        <w:rPr>
          <w:i/>
          <w:iCs/>
        </w:rPr>
      </w:pPr>
      <w:r w:rsidRPr="270B4DBC">
        <w:rPr>
          <w:i/>
          <w:iCs/>
        </w:rPr>
        <w:t>RedCap UEs shall the maximum channel bandwidth defined for the respective band up to 20 MHz for FR1 and up to 100 Mhz for FR2. channelBWs-DL-v1590 is not applicable to RedCap UEs.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77777777" w:rsidR="00645375" w:rsidRPr="00645375" w:rsidRDefault="00645375" w:rsidP="00645375">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56906ADB"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 xml:space="preserve">RedCap UEs shall the maximum channel bandwidth defined for the respective band up to 20 MHz for FR1 and up to 100 Mhz for FR2. channelBWs-DL-v1590 is not applicable to RedCap UEs. For FR1 RedCap UE, the bit which indicates 20MHz shall be set to 1 </w:t>
      </w:r>
      <w:r w:rsidR="00FD5696" w:rsidRPr="270B4DBC">
        <w:rPr>
          <w:i/>
          <w:iCs/>
          <w:color w:val="FF0000"/>
        </w:rPr>
        <w:t xml:space="preserve">if 20MHz is supported for the respective band as </w:t>
      </w:r>
      <w:r w:rsidR="00FD5696" w:rsidRPr="270B4DBC">
        <w:rPr>
          <w:i/>
          <w:iCs/>
          <w:color w:val="FF0000"/>
        </w:rPr>
        <w:lastRenderedPageBreak/>
        <w:t>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3650D5B7" w:rsidR="00FD5696" w:rsidRPr="00645375" w:rsidRDefault="00FD5696" w:rsidP="00FD5696">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t>Agree or 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t>Comments, if any</w:t>
            </w:r>
          </w:p>
        </w:tc>
      </w:tr>
      <w:tr w:rsidR="00324FDA" w14:paraId="3EA6CAEE" w14:textId="77777777" w:rsidTr="00BA0659">
        <w:tc>
          <w:tcPr>
            <w:tcW w:w="1938" w:type="dxa"/>
          </w:tcPr>
          <w:p w14:paraId="1D131928" w14:textId="3BEC4098" w:rsidR="00324FDA" w:rsidRDefault="0035143F" w:rsidP="00BA0659">
            <w:pPr>
              <w:spacing w:after="0"/>
              <w:rPr>
                <w:sz w:val="20"/>
                <w:szCs w:val="20"/>
                <w:lang w:eastAsia="zh-CN"/>
              </w:rPr>
            </w:pPr>
            <w:r>
              <w:rPr>
                <w:sz w:val="20"/>
                <w:szCs w:val="20"/>
                <w:lang w:eastAsia="zh-CN"/>
              </w:rPr>
              <w:t>Qualcomm</w:t>
            </w:r>
          </w:p>
        </w:tc>
        <w:tc>
          <w:tcPr>
            <w:tcW w:w="1288" w:type="dxa"/>
          </w:tcPr>
          <w:p w14:paraId="00B8C8BC" w14:textId="49FFE112" w:rsidR="00324FDA" w:rsidRDefault="0035143F" w:rsidP="00BA0659">
            <w:pPr>
              <w:spacing w:after="0"/>
              <w:rPr>
                <w:sz w:val="20"/>
                <w:szCs w:val="20"/>
                <w:lang w:eastAsia="zh-CN"/>
              </w:rPr>
            </w:pPr>
            <w:r>
              <w:rPr>
                <w:sz w:val="20"/>
                <w:szCs w:val="20"/>
                <w:lang w:eastAsia="zh-CN"/>
              </w:rPr>
              <w:t>Agree</w:t>
            </w:r>
          </w:p>
        </w:tc>
        <w:tc>
          <w:tcPr>
            <w:tcW w:w="5060" w:type="dxa"/>
          </w:tcPr>
          <w:p w14:paraId="6F3DAB00" w14:textId="77777777" w:rsidR="00324FDA" w:rsidRDefault="0035143F" w:rsidP="00BA0659">
            <w:pPr>
              <w:spacing w:after="0"/>
              <w:rPr>
                <w:sz w:val="20"/>
                <w:szCs w:val="20"/>
                <w:lang w:eastAsia="zh-CN"/>
              </w:rPr>
            </w:pPr>
            <w:r>
              <w:rPr>
                <w:sz w:val="20"/>
                <w:szCs w:val="20"/>
                <w:lang w:eastAsia="zh-CN"/>
              </w:rPr>
              <w:t xml:space="preserve">We suggest a minor change:  “if </w:t>
            </w:r>
            <w:r w:rsidRPr="00AD7FF8">
              <w:rPr>
                <w:color w:val="C00000"/>
                <w:sz w:val="20"/>
                <w:szCs w:val="20"/>
                <w:lang w:eastAsia="zh-CN"/>
              </w:rPr>
              <w:t xml:space="preserve">UE channel bandwidth </w:t>
            </w:r>
            <w:r w:rsidR="00AD7FF8">
              <w:rPr>
                <w:sz w:val="20"/>
                <w:szCs w:val="20"/>
                <w:lang w:eastAsia="zh-CN"/>
              </w:rPr>
              <w:t>of 20MHz is supported for the respective band …”</w:t>
            </w:r>
          </w:p>
          <w:p w14:paraId="28F4EC3D" w14:textId="77777777" w:rsidR="00AD7FF8" w:rsidRDefault="00AD7FF8" w:rsidP="00BA0659">
            <w:pPr>
              <w:spacing w:after="0"/>
              <w:rPr>
                <w:sz w:val="20"/>
                <w:szCs w:val="20"/>
                <w:lang w:eastAsia="zh-CN"/>
              </w:rPr>
            </w:pPr>
            <w:r>
              <w:rPr>
                <w:sz w:val="20"/>
                <w:szCs w:val="20"/>
                <w:lang w:eastAsia="zh-CN"/>
              </w:rPr>
              <w:t xml:space="preserve">By the way, it seems the work “support” is missing from </w:t>
            </w:r>
            <w:r w:rsidR="000F5B9C">
              <w:rPr>
                <w:sz w:val="20"/>
                <w:szCs w:val="20"/>
                <w:lang w:eastAsia="zh-CN"/>
              </w:rPr>
              <w:t>the first sentence, i.e.</w:t>
            </w:r>
          </w:p>
          <w:p w14:paraId="4BF9866C" w14:textId="18795604" w:rsidR="000F5B9C" w:rsidRDefault="000F5B9C" w:rsidP="00BA0659">
            <w:pPr>
              <w:spacing w:after="0"/>
              <w:rPr>
                <w:sz w:val="20"/>
                <w:szCs w:val="20"/>
                <w:lang w:eastAsia="zh-CN"/>
              </w:rPr>
            </w:pPr>
            <w:r>
              <w:rPr>
                <w:sz w:val="20"/>
                <w:szCs w:val="20"/>
                <w:lang w:eastAsia="zh-CN"/>
              </w:rPr>
              <w:t>“</w:t>
            </w:r>
            <w:r w:rsidRPr="000F5B9C">
              <w:rPr>
                <w:sz w:val="20"/>
                <w:szCs w:val="20"/>
                <w:lang w:eastAsia="zh-CN"/>
              </w:rPr>
              <w:t xml:space="preserve">RedCap UEs shall </w:t>
            </w:r>
            <w:r w:rsidR="00510775" w:rsidRPr="00510775">
              <w:rPr>
                <w:color w:val="C00000"/>
                <w:sz w:val="20"/>
                <w:szCs w:val="20"/>
                <w:lang w:eastAsia="zh-CN"/>
              </w:rPr>
              <w:t xml:space="preserve">support </w:t>
            </w:r>
            <w:r w:rsidRPr="000F5B9C">
              <w:rPr>
                <w:sz w:val="20"/>
                <w:szCs w:val="20"/>
                <w:lang w:eastAsia="zh-CN"/>
              </w:rPr>
              <w:t>the maximum channel bandwidth defined for the respective band up to 20 MHz for FR1 and up to 100 Mhz for FR2.</w:t>
            </w:r>
            <w:r>
              <w:rPr>
                <w:sz w:val="20"/>
                <w:szCs w:val="20"/>
                <w:lang w:eastAsia="zh-CN"/>
              </w:rPr>
              <w:t>”</w:t>
            </w:r>
          </w:p>
        </w:tc>
      </w:tr>
      <w:tr w:rsidR="00C05FD2" w14:paraId="63134A04" w14:textId="77777777" w:rsidTr="00BA0659">
        <w:tc>
          <w:tcPr>
            <w:tcW w:w="1938" w:type="dxa"/>
          </w:tcPr>
          <w:p w14:paraId="1FC3EEC5" w14:textId="4CE1A77D" w:rsidR="00C05FD2" w:rsidRDefault="00C05FD2" w:rsidP="00C05FD2">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AABBB08" w14:textId="07E335D7" w:rsidR="00C05FD2" w:rsidRDefault="00C05FD2" w:rsidP="00C05FD2">
            <w:pPr>
              <w:spacing w:after="0"/>
              <w:rPr>
                <w:sz w:val="20"/>
                <w:szCs w:val="20"/>
                <w:lang w:eastAsia="ja-JP"/>
              </w:rPr>
            </w:pPr>
            <w:r>
              <w:rPr>
                <w:rFonts w:hint="eastAsia"/>
                <w:sz w:val="20"/>
                <w:szCs w:val="20"/>
                <w:lang w:eastAsia="zh-CN"/>
              </w:rPr>
              <w:t>Y</w:t>
            </w:r>
            <w:r>
              <w:rPr>
                <w:sz w:val="20"/>
                <w:szCs w:val="20"/>
                <w:lang w:eastAsia="zh-CN"/>
              </w:rPr>
              <w:t>es, but</w:t>
            </w:r>
          </w:p>
        </w:tc>
        <w:tc>
          <w:tcPr>
            <w:tcW w:w="5060" w:type="dxa"/>
          </w:tcPr>
          <w:p w14:paraId="32951AE6" w14:textId="77777777" w:rsidR="00C05FD2" w:rsidRDefault="00C05FD2" w:rsidP="00C05FD2">
            <w:pPr>
              <w:spacing w:after="0"/>
              <w:rPr>
                <w:sz w:val="20"/>
                <w:szCs w:val="20"/>
                <w:lang w:eastAsia="zh-CN"/>
              </w:rPr>
            </w:pPr>
            <w:r>
              <w:rPr>
                <w:rFonts w:hint="eastAsia"/>
                <w:sz w:val="20"/>
                <w:szCs w:val="20"/>
                <w:lang w:eastAsia="zh-CN"/>
              </w:rPr>
              <w:t>T</w:t>
            </w:r>
            <w:r>
              <w:rPr>
                <w:sz w:val="20"/>
                <w:szCs w:val="20"/>
                <w:lang w:eastAsia="zh-CN"/>
              </w:rPr>
              <w:t>he intention is correct. We suggest to use below wording to make it simple:</w:t>
            </w:r>
          </w:p>
          <w:p w14:paraId="6932F5F9" w14:textId="1D35C053" w:rsidR="00C05FD2" w:rsidRDefault="00C05FD2" w:rsidP="00C05FD2">
            <w:pPr>
              <w:spacing w:after="0"/>
              <w:rPr>
                <w:sz w:val="20"/>
                <w:szCs w:val="20"/>
                <w:lang w:eastAsia="ja-JP"/>
              </w:rPr>
            </w:pPr>
            <w:r w:rsidRPr="00F16DB8">
              <w:rPr>
                <w:sz w:val="20"/>
                <w:szCs w:val="20"/>
                <w:lang w:eastAsia="zh-CN"/>
              </w:rPr>
              <w:t>For FR1 RedCap UE, the bit which indicates 20MHz shall be set to 1</w:t>
            </w:r>
            <w:r w:rsidRPr="00F16DB8">
              <w:rPr>
                <w:color w:val="FF0000"/>
                <w:sz w:val="20"/>
                <w:szCs w:val="20"/>
                <w:u w:val="single"/>
                <w:lang w:eastAsia="zh-CN"/>
              </w:rPr>
              <w:t xml:space="preserve">, </w:t>
            </w:r>
            <w:r w:rsidRPr="00F16DB8">
              <w:rPr>
                <w:color w:val="FF0000"/>
                <w:u w:val="single"/>
              </w:rPr>
              <w:t xml:space="preserve">according to TS 38.101-1 [2] </w:t>
            </w:r>
            <w:r w:rsidRPr="00F16DB8">
              <w:rPr>
                <w:color w:val="FF0000"/>
                <w:highlight w:val="yellow"/>
                <w:u w:val="single"/>
              </w:rPr>
              <w:t>and TS 38.101-2 [3]</w:t>
            </w:r>
            <w:r w:rsidRPr="00F16DB8">
              <w:rPr>
                <w:sz w:val="20"/>
                <w:szCs w:val="20"/>
                <w:lang w:eastAsia="zh-CN"/>
              </w:rPr>
              <w:t>. For FR2 RedCap UE, the bit which indicates 100MHz shall be set to 1</w:t>
            </w:r>
            <w:r>
              <w:rPr>
                <w:sz w:val="20"/>
                <w:szCs w:val="20"/>
                <w:lang w:eastAsia="zh-CN"/>
              </w:rPr>
              <w:t>,</w:t>
            </w:r>
            <w:r w:rsidRPr="00F16DB8">
              <w:rPr>
                <w:color w:val="FF0000"/>
                <w:u w:val="single"/>
              </w:rPr>
              <w:t xml:space="preserve"> </w:t>
            </w:r>
            <w:r w:rsidRPr="00F16DB8">
              <w:rPr>
                <w:color w:val="FF0000"/>
                <w:sz w:val="20"/>
                <w:szCs w:val="20"/>
                <w:u w:val="single"/>
                <w:lang w:eastAsia="zh-CN"/>
              </w:rPr>
              <w:t xml:space="preserve">according to TS 38.101-1 [2] </w:t>
            </w:r>
            <w:r w:rsidRPr="00F16DB8">
              <w:rPr>
                <w:color w:val="FF0000"/>
                <w:sz w:val="20"/>
                <w:szCs w:val="20"/>
                <w:highlight w:val="yellow"/>
                <w:u w:val="single"/>
                <w:lang w:eastAsia="zh-CN"/>
              </w:rPr>
              <w:t>and TS 38.101-2 [3]</w:t>
            </w:r>
            <w:r w:rsidRPr="00F16DB8">
              <w:rPr>
                <w:sz w:val="20"/>
                <w:szCs w:val="20"/>
                <w:lang w:eastAsia="zh-CN"/>
              </w:rPr>
              <w:t>.</w:t>
            </w:r>
          </w:p>
        </w:tc>
      </w:tr>
      <w:tr w:rsidR="00C05FD2" w14:paraId="068208E8" w14:textId="77777777" w:rsidTr="00BA0659">
        <w:tc>
          <w:tcPr>
            <w:tcW w:w="1938" w:type="dxa"/>
          </w:tcPr>
          <w:p w14:paraId="760B5F41" w14:textId="5B73CE0B" w:rsidR="00C05FD2" w:rsidRDefault="00DD3204" w:rsidP="00C05FD2">
            <w:pPr>
              <w:spacing w:after="0"/>
              <w:rPr>
                <w:sz w:val="20"/>
                <w:szCs w:val="20"/>
                <w:lang w:eastAsia="ja-JP"/>
              </w:rPr>
            </w:pPr>
            <w:r>
              <w:rPr>
                <w:sz w:val="20"/>
                <w:szCs w:val="20"/>
                <w:lang w:eastAsia="ja-JP"/>
              </w:rPr>
              <w:t>Sequans</w:t>
            </w:r>
          </w:p>
        </w:tc>
        <w:tc>
          <w:tcPr>
            <w:tcW w:w="1288" w:type="dxa"/>
          </w:tcPr>
          <w:p w14:paraId="2D523EB8" w14:textId="735F06C0" w:rsidR="00C05FD2" w:rsidRDefault="00DD3204" w:rsidP="00C05FD2">
            <w:pPr>
              <w:spacing w:after="0"/>
              <w:rPr>
                <w:sz w:val="20"/>
                <w:szCs w:val="20"/>
                <w:lang w:eastAsia="ja-JP"/>
              </w:rPr>
            </w:pPr>
            <w:r>
              <w:rPr>
                <w:sz w:val="20"/>
                <w:szCs w:val="20"/>
                <w:lang w:eastAsia="ja-JP"/>
              </w:rPr>
              <w:t>Agree</w:t>
            </w:r>
          </w:p>
        </w:tc>
        <w:tc>
          <w:tcPr>
            <w:tcW w:w="5060" w:type="dxa"/>
          </w:tcPr>
          <w:p w14:paraId="3D099B6B" w14:textId="77777777" w:rsidR="00DD3204" w:rsidRDefault="00DD3204" w:rsidP="00C05FD2">
            <w:pPr>
              <w:spacing w:after="0"/>
              <w:rPr>
                <w:sz w:val="20"/>
                <w:szCs w:val="20"/>
                <w:lang w:eastAsia="zh-CN"/>
              </w:rPr>
            </w:pPr>
            <w:r>
              <w:rPr>
                <w:sz w:val="20"/>
                <w:szCs w:val="20"/>
                <w:lang w:eastAsia="zh-CN"/>
              </w:rPr>
              <w:t xml:space="preserve">Prefer original wording by rapporteur. </w:t>
            </w:r>
          </w:p>
          <w:p w14:paraId="655D199C" w14:textId="77777777" w:rsidR="00C05FD2" w:rsidRDefault="00DD3204" w:rsidP="00C05FD2">
            <w:pPr>
              <w:spacing w:after="0"/>
              <w:rPr>
                <w:sz w:val="20"/>
                <w:szCs w:val="20"/>
                <w:lang w:eastAsia="zh-CN"/>
              </w:rPr>
            </w:pPr>
            <w:r>
              <w:rPr>
                <w:sz w:val="20"/>
                <w:szCs w:val="20"/>
                <w:lang w:eastAsia="zh-CN"/>
              </w:rPr>
              <w:t>“support” is missing at the start of the sentence as suggested by QC.</w:t>
            </w:r>
          </w:p>
          <w:p w14:paraId="473CE74B" w14:textId="502FA1BD" w:rsidR="00DD3204" w:rsidRDefault="00DD3204" w:rsidP="00C05FD2">
            <w:pPr>
              <w:spacing w:after="0"/>
              <w:rPr>
                <w:sz w:val="20"/>
                <w:szCs w:val="20"/>
                <w:lang w:eastAsia="zh-CN"/>
              </w:rPr>
            </w:pPr>
            <w:r>
              <w:rPr>
                <w:sz w:val="20"/>
                <w:szCs w:val="20"/>
                <w:lang w:eastAsia="zh-CN"/>
              </w:rPr>
              <w:t>The second reference should be changed to TS 38.101-2</w:t>
            </w:r>
          </w:p>
        </w:tc>
      </w:tr>
      <w:tr w:rsidR="001C65EA" w14:paraId="7108889A" w14:textId="77777777" w:rsidTr="00BA0659">
        <w:tc>
          <w:tcPr>
            <w:tcW w:w="1938" w:type="dxa"/>
          </w:tcPr>
          <w:p w14:paraId="36E03543" w14:textId="2A871CEB" w:rsidR="001C65EA" w:rsidRDefault="003C0B55" w:rsidP="00C05FD2">
            <w:pPr>
              <w:spacing w:after="0"/>
              <w:rPr>
                <w:sz w:val="20"/>
                <w:szCs w:val="20"/>
                <w:lang w:eastAsia="ja-JP"/>
              </w:rPr>
            </w:pPr>
            <w:r>
              <w:rPr>
                <w:sz w:val="20"/>
                <w:szCs w:val="20"/>
                <w:lang w:eastAsia="ja-JP"/>
              </w:rPr>
              <w:t>Ericsson</w:t>
            </w:r>
          </w:p>
        </w:tc>
        <w:tc>
          <w:tcPr>
            <w:tcW w:w="1288" w:type="dxa"/>
          </w:tcPr>
          <w:p w14:paraId="52681E8C" w14:textId="7789F15B" w:rsidR="001C65EA" w:rsidRDefault="003C0B55" w:rsidP="00C05FD2">
            <w:pPr>
              <w:spacing w:after="0"/>
              <w:rPr>
                <w:sz w:val="20"/>
                <w:szCs w:val="20"/>
                <w:lang w:eastAsia="ja-JP"/>
              </w:rPr>
            </w:pPr>
            <w:r>
              <w:rPr>
                <w:sz w:val="20"/>
                <w:szCs w:val="20"/>
                <w:lang w:eastAsia="ja-JP"/>
              </w:rPr>
              <w:t>Agree with comments</w:t>
            </w:r>
          </w:p>
        </w:tc>
        <w:tc>
          <w:tcPr>
            <w:tcW w:w="5060" w:type="dxa"/>
          </w:tcPr>
          <w:p w14:paraId="4944595D" w14:textId="7DD0F8F2" w:rsidR="003C0B55" w:rsidRDefault="003C0B55" w:rsidP="00C05FD2">
            <w:pPr>
              <w:spacing w:after="0"/>
              <w:rPr>
                <w:sz w:val="20"/>
                <w:szCs w:val="20"/>
                <w:lang w:eastAsia="zh-CN"/>
              </w:rPr>
            </w:pPr>
            <w:r>
              <w:rPr>
                <w:sz w:val="20"/>
                <w:szCs w:val="20"/>
                <w:lang w:eastAsia="zh-CN"/>
              </w:rPr>
              <w:t>We are OK</w:t>
            </w:r>
            <w:r w:rsidR="001C65EA">
              <w:rPr>
                <w:sz w:val="20"/>
                <w:szCs w:val="20"/>
                <w:lang w:eastAsia="zh-CN"/>
              </w:rPr>
              <w:t xml:space="preserve"> with Qualcomm suggestions</w:t>
            </w:r>
            <w:r>
              <w:rPr>
                <w:sz w:val="20"/>
                <w:szCs w:val="20"/>
                <w:lang w:eastAsia="zh-CN"/>
              </w:rPr>
              <w:t xml:space="preserve"> on wording.</w:t>
            </w:r>
          </w:p>
          <w:p w14:paraId="50039E15" w14:textId="77777777" w:rsidR="003C0B55" w:rsidRDefault="003C0B55" w:rsidP="00C05FD2">
            <w:pPr>
              <w:spacing w:after="0"/>
              <w:rPr>
                <w:sz w:val="20"/>
                <w:szCs w:val="20"/>
                <w:lang w:eastAsia="zh-CN"/>
              </w:rPr>
            </w:pPr>
          </w:p>
          <w:p w14:paraId="7F68C2DD" w14:textId="4E2C35E5" w:rsidR="001C65EA" w:rsidRDefault="003C0B55" w:rsidP="00C05FD2">
            <w:pPr>
              <w:spacing w:after="0"/>
              <w:rPr>
                <w:sz w:val="20"/>
                <w:szCs w:val="20"/>
                <w:lang w:eastAsia="zh-CN"/>
              </w:rPr>
            </w:pPr>
            <w:r>
              <w:rPr>
                <w:sz w:val="20"/>
                <w:szCs w:val="20"/>
                <w:lang w:eastAsia="zh-CN"/>
              </w:rPr>
              <w:t xml:space="preserve">Related to HW suggestion, FR2 is defined in TS 38.101-2 so the second reference should be corrected. The first one is fine.  </w:t>
            </w: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5"/>
        <w:gridCol w:w="1648"/>
        <w:gridCol w:w="5649"/>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[108]Running 38.331 CR for the RedCap WI on capablities</w:t>
      </w:r>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lastRenderedPageBreak/>
        <w:t>R2-2109668</w:t>
      </w:r>
      <w:r w:rsidRPr="00DC43A7">
        <w:rPr>
          <w:rFonts w:ascii="Times New Roman" w:hAnsi="Times New Roman" w:cs="Times New Roman"/>
          <w:sz w:val="20"/>
        </w:rPr>
        <w:tab/>
        <w:t>Email discussion [108]Running 38.306 CR for the RedCap WI on capablities</w:t>
      </w:r>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4FC7" w14:textId="77777777" w:rsidR="00EE08D8" w:rsidRDefault="00EE08D8">
      <w:pPr>
        <w:spacing w:line="240" w:lineRule="auto"/>
      </w:pPr>
      <w:r>
        <w:separator/>
      </w:r>
    </w:p>
  </w:endnote>
  <w:endnote w:type="continuationSeparator" w:id="0">
    <w:p w14:paraId="41C59EFC" w14:textId="77777777" w:rsidR="00EE08D8" w:rsidRDefault="00EE08D8">
      <w:pPr>
        <w:spacing w:line="240" w:lineRule="auto"/>
      </w:pPr>
      <w:r>
        <w:continuationSeparator/>
      </w:r>
    </w:p>
  </w:endnote>
  <w:endnote w:type="continuationNotice" w:id="1">
    <w:p w14:paraId="6D452B7E" w14:textId="77777777" w:rsidR="00EE08D8" w:rsidRDefault="00EE0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DC07" w14:textId="77777777" w:rsidR="00EE08D8" w:rsidRDefault="00EE08D8">
      <w:pPr>
        <w:spacing w:after="0" w:line="240" w:lineRule="auto"/>
      </w:pPr>
      <w:r>
        <w:separator/>
      </w:r>
    </w:p>
  </w:footnote>
  <w:footnote w:type="continuationSeparator" w:id="0">
    <w:p w14:paraId="60B12571" w14:textId="77777777" w:rsidR="00EE08D8" w:rsidRDefault="00EE08D8">
      <w:pPr>
        <w:spacing w:after="0" w:line="240" w:lineRule="auto"/>
      </w:pPr>
      <w:r>
        <w:continuationSeparator/>
      </w:r>
    </w:p>
  </w:footnote>
  <w:footnote w:type="continuationNotice" w:id="1">
    <w:p w14:paraId="33AC7CBC" w14:textId="77777777" w:rsidR="00EE08D8" w:rsidRDefault="00EE0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5B9C"/>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5E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43F"/>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0B9F"/>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B55"/>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278F"/>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775"/>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1D4"/>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AE2"/>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24B"/>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D7FF8"/>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2FEE"/>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5FD2"/>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5C2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7DD"/>
    <w:rsid w:val="00DD3204"/>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0A3"/>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08D8"/>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1D7A4-453D-4D47-B59C-20C9BCF952BA}">
  <ds:schemaRefs>
    <ds:schemaRef ds:uri="http://schemas.openxmlformats.org/officeDocument/2006/bibliography"/>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Tuomas Tirronen</cp:lastModifiedBy>
  <cp:revision>8</cp:revision>
  <dcterms:created xsi:type="dcterms:W3CDTF">2021-11-17T08:37:00Z</dcterms:created>
  <dcterms:modified xsi:type="dcterms:W3CDTF">2021-11-17T19:23:00Z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