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w:t>
      </w:r>
      <w:proofErr w:type="gramStart"/>
      <w:r>
        <w:rPr>
          <w:rFonts w:eastAsiaTheme="minorEastAsia" w:hint="eastAsia"/>
          <w:lang w:val="en-US" w:eastAsia="zh-CN"/>
        </w:rPr>
        <w:t>issues</w:t>
      </w:r>
      <w:proofErr w:type="gramEnd"/>
      <w:r>
        <w:rPr>
          <w:rFonts w:eastAsiaTheme="minorEastAsia" w:hint="eastAsia"/>
          <w:lang w:val="en-US" w:eastAsia="zh-CN"/>
        </w:rPr>
        <w:t xml:space="preserve">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691"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1D7148A3"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proofErr w:type="spellStart"/>
            <w:r>
              <w:rPr>
                <w:rFonts w:eastAsiaTheme="minorEastAsia"/>
                <w:lang w:val="en-US" w:eastAsia="zh-CN"/>
              </w:rPr>
              <w:t>Ruiming</w:t>
            </w:r>
            <w:proofErr w:type="spellEnd"/>
            <w:r>
              <w:rPr>
                <w:rFonts w:eastAsiaTheme="minorEastAsia"/>
                <w:lang w:val="en-US" w:eastAsia="zh-CN"/>
              </w:rPr>
              <w:t xml:space="preserve"> Zheng</w:t>
            </w:r>
          </w:p>
        </w:tc>
        <w:tc>
          <w:tcPr>
            <w:tcW w:w="4691" w:type="dxa"/>
          </w:tcPr>
          <w:p w14:paraId="27D1540E" w14:textId="3A75E9C4" w:rsidR="00045322" w:rsidRDefault="00204F37" w:rsidP="00045322">
            <w:pPr>
              <w:spacing w:after="0" w:line="240" w:lineRule="auto"/>
              <w:jc w:val="both"/>
              <w:rPr>
                <w:rFonts w:eastAsiaTheme="minorEastAsia"/>
                <w:lang w:val="en-US" w:eastAsia="zh-CN"/>
              </w:rPr>
            </w:pPr>
            <w:r>
              <w:rPr>
                <w:rFonts w:eastAsiaTheme="minorEastAsia"/>
                <w:lang w:val="en-US" w:eastAsia="zh-CN"/>
              </w:rPr>
              <w:t>rzheng@qti.qualcomm.com</w:t>
            </w:r>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proofErr w:type="spellStart"/>
            <w:r>
              <w:rPr>
                <w:rFonts w:eastAsiaTheme="minorEastAsia"/>
                <w:lang w:val="en-US" w:eastAsia="zh-CN"/>
              </w:rPr>
              <w:t>Yujian</w:t>
            </w:r>
            <w:proofErr w:type="spellEnd"/>
            <w:r>
              <w:rPr>
                <w:rFonts w:eastAsiaTheme="minorEastAsia"/>
                <w:lang w:val="en-US" w:eastAsia="zh-CN"/>
              </w:rPr>
              <w:t xml:space="preserve"> Zhang</w:t>
            </w:r>
          </w:p>
        </w:tc>
        <w:tc>
          <w:tcPr>
            <w:tcW w:w="4691" w:type="dxa"/>
          </w:tcPr>
          <w:p w14:paraId="1DF5CE87" w14:textId="5ED771EB" w:rsidR="002D0D00" w:rsidRDefault="002D0D00" w:rsidP="002D0D00">
            <w:pPr>
              <w:spacing w:after="0" w:line="240" w:lineRule="auto"/>
              <w:jc w:val="both"/>
              <w:rPr>
                <w:rFonts w:eastAsiaTheme="minorEastAsia"/>
                <w:lang w:val="en-US" w:eastAsia="zh-CN"/>
              </w:rPr>
            </w:pPr>
            <w:r>
              <w:rPr>
                <w:rFonts w:eastAsiaTheme="minorEastAsia"/>
                <w:lang w:val="en-US" w:eastAsia="zh-CN"/>
              </w:rPr>
              <w:t>yujian.zhang@intel.com</w:t>
            </w:r>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53D366C5" w14:textId="38D4F596" w:rsidR="00BA2E4F" w:rsidRDefault="00BA2E4F" w:rsidP="00BA2E4F">
            <w:pPr>
              <w:spacing w:after="0" w:line="240" w:lineRule="auto"/>
              <w:jc w:val="both"/>
              <w:rPr>
                <w:rFonts w:eastAsiaTheme="minorEastAsia"/>
                <w:lang w:val="en-US" w:eastAsia="zh-CN"/>
              </w:rPr>
            </w:pPr>
            <w:r>
              <w:rPr>
                <w:rFonts w:eastAsia="Malgun Gothic"/>
                <w:lang w:val="en-US" w:eastAsia="ko-KR"/>
              </w:rPr>
              <w:t>s_dg.kim@samsung.com</w:t>
            </w:r>
          </w:p>
        </w:tc>
      </w:tr>
      <w:tr w:rsidR="00BA2E4F" w14:paraId="22133B89" w14:textId="77777777" w:rsidTr="001C2AED">
        <w:tc>
          <w:tcPr>
            <w:tcW w:w="1934" w:type="dxa"/>
          </w:tcPr>
          <w:p w14:paraId="408DC455" w14:textId="77777777" w:rsidR="00BA2E4F" w:rsidRDefault="00BA2E4F" w:rsidP="00BA2E4F">
            <w:pPr>
              <w:spacing w:after="0" w:line="240" w:lineRule="auto"/>
              <w:jc w:val="both"/>
              <w:rPr>
                <w:rFonts w:eastAsiaTheme="minorEastAsia"/>
                <w:lang w:val="en-US" w:eastAsia="zh-CN"/>
              </w:rPr>
            </w:pPr>
          </w:p>
        </w:tc>
        <w:tc>
          <w:tcPr>
            <w:tcW w:w="2448" w:type="dxa"/>
          </w:tcPr>
          <w:p w14:paraId="19B1D2D0" w14:textId="77777777" w:rsidR="00BA2E4F" w:rsidRDefault="00BA2E4F" w:rsidP="00BA2E4F">
            <w:pPr>
              <w:spacing w:after="0" w:line="240" w:lineRule="auto"/>
              <w:jc w:val="both"/>
              <w:rPr>
                <w:rFonts w:eastAsiaTheme="minorEastAsia"/>
                <w:lang w:val="en-US" w:eastAsia="zh-CN"/>
              </w:rPr>
            </w:pPr>
          </w:p>
        </w:tc>
        <w:tc>
          <w:tcPr>
            <w:tcW w:w="4691" w:type="dxa"/>
          </w:tcPr>
          <w:p w14:paraId="55F1388C" w14:textId="77777777" w:rsidR="00BA2E4F" w:rsidRDefault="00BA2E4F" w:rsidP="00BA2E4F">
            <w:pPr>
              <w:spacing w:after="0" w:line="240" w:lineRule="auto"/>
              <w:jc w:val="both"/>
              <w:rPr>
                <w:rFonts w:eastAsiaTheme="minorEastAsia"/>
                <w:lang w:val="en-US" w:eastAsia="zh-CN"/>
              </w:rPr>
            </w:pPr>
          </w:p>
        </w:tc>
      </w:tr>
      <w:tr w:rsidR="00BA2E4F" w14:paraId="013E64E6" w14:textId="77777777" w:rsidTr="001C2AED">
        <w:tc>
          <w:tcPr>
            <w:tcW w:w="1934" w:type="dxa"/>
          </w:tcPr>
          <w:p w14:paraId="56DFC717" w14:textId="77777777" w:rsidR="00BA2E4F" w:rsidRDefault="00BA2E4F" w:rsidP="00BA2E4F">
            <w:pPr>
              <w:spacing w:after="0" w:line="240" w:lineRule="auto"/>
              <w:jc w:val="both"/>
              <w:rPr>
                <w:rFonts w:eastAsiaTheme="minorEastAsia"/>
                <w:lang w:val="en-US" w:eastAsia="zh-CN"/>
              </w:rPr>
            </w:pPr>
          </w:p>
        </w:tc>
        <w:tc>
          <w:tcPr>
            <w:tcW w:w="2448" w:type="dxa"/>
          </w:tcPr>
          <w:p w14:paraId="61E5B2C4" w14:textId="77777777" w:rsidR="00BA2E4F" w:rsidRDefault="00BA2E4F" w:rsidP="00BA2E4F">
            <w:pPr>
              <w:spacing w:after="0" w:line="240" w:lineRule="auto"/>
              <w:jc w:val="both"/>
              <w:rPr>
                <w:rFonts w:eastAsiaTheme="minorEastAsia"/>
                <w:lang w:val="en-US" w:eastAsia="zh-CN"/>
              </w:rPr>
            </w:pPr>
          </w:p>
        </w:tc>
        <w:tc>
          <w:tcPr>
            <w:tcW w:w="4691" w:type="dxa"/>
          </w:tcPr>
          <w:p w14:paraId="4407FB3E" w14:textId="77777777" w:rsidR="00BA2E4F" w:rsidRDefault="00BA2E4F" w:rsidP="00BA2E4F">
            <w:pPr>
              <w:spacing w:after="0" w:line="240" w:lineRule="auto"/>
              <w:jc w:val="both"/>
              <w:rPr>
                <w:rFonts w:eastAsiaTheme="minorEastAsia"/>
                <w:lang w:val="en-US" w:eastAsia="zh-CN"/>
              </w:rPr>
            </w:pPr>
          </w:p>
        </w:tc>
      </w:tr>
      <w:tr w:rsidR="00BA2E4F" w14:paraId="1A9D712F" w14:textId="77777777" w:rsidTr="001C2AED">
        <w:tc>
          <w:tcPr>
            <w:tcW w:w="1934" w:type="dxa"/>
          </w:tcPr>
          <w:p w14:paraId="51B18A32" w14:textId="77777777" w:rsidR="00BA2E4F" w:rsidRDefault="00BA2E4F" w:rsidP="00BA2E4F">
            <w:pPr>
              <w:spacing w:after="0" w:line="240" w:lineRule="auto"/>
              <w:jc w:val="both"/>
              <w:rPr>
                <w:rFonts w:eastAsiaTheme="minorEastAsia"/>
                <w:lang w:val="en-US" w:eastAsia="zh-CN"/>
              </w:rPr>
            </w:pPr>
          </w:p>
        </w:tc>
        <w:tc>
          <w:tcPr>
            <w:tcW w:w="2448" w:type="dxa"/>
          </w:tcPr>
          <w:p w14:paraId="230F7450" w14:textId="77777777" w:rsidR="00BA2E4F" w:rsidRDefault="00BA2E4F" w:rsidP="00BA2E4F">
            <w:pPr>
              <w:spacing w:after="0" w:line="240" w:lineRule="auto"/>
              <w:jc w:val="both"/>
              <w:rPr>
                <w:rFonts w:eastAsiaTheme="minorEastAsia"/>
                <w:lang w:val="en-US" w:eastAsia="zh-CN"/>
              </w:rPr>
            </w:pPr>
          </w:p>
        </w:tc>
        <w:tc>
          <w:tcPr>
            <w:tcW w:w="4691" w:type="dxa"/>
          </w:tcPr>
          <w:p w14:paraId="22EDDF54" w14:textId="77777777" w:rsidR="00BA2E4F" w:rsidRDefault="00BA2E4F" w:rsidP="00BA2E4F">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w:t>
            </w:r>
            <w:bookmarkStart w:id="2" w:name="OLE_LINK3"/>
            <w:bookmarkStart w:id="3" w:name="OLE_LINK4"/>
            <w:r>
              <w:rPr>
                <w:rFonts w:eastAsiaTheme="minorEastAsia"/>
                <w:lang w:val="en-US" w:eastAsia="zh-CN"/>
              </w:rPr>
              <w:t>RRC connection re-establishment</w:t>
            </w:r>
            <w:bookmarkEnd w:id="2"/>
            <w:bookmarkEnd w:id="3"/>
            <w:r>
              <w:rPr>
                <w:rFonts w:eastAsiaTheme="minorEastAsia"/>
                <w:lang w:val="en-US" w:eastAsia="zh-CN"/>
              </w:rPr>
              <w: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xml:space="preserve">, </w:t>
            </w:r>
            <w:proofErr w:type="gramStart"/>
            <w:r w:rsidR="006726F8">
              <w:rPr>
                <w:rFonts w:ascii="Times New Roman" w:eastAsiaTheme="minorEastAsia" w:hAnsi="Times New Roman"/>
                <w:lang w:eastAsia="zh-CN"/>
              </w:rPr>
              <w:t>e.g.</w:t>
            </w:r>
            <w:proofErr w:type="gramEnd"/>
            <w:r w:rsidR="006726F8">
              <w:rPr>
                <w:rFonts w:ascii="Times New Roman" w:eastAsiaTheme="minorEastAsia" w:hAnsi="Times New Roman"/>
                <w:lang w:eastAsia="zh-CN"/>
              </w:rPr>
              <w:t xml:space="preserve">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rFonts w:ascii="Times New Roman" w:eastAsiaTheme="minorEastAsia" w:hAnsi="Times New Roman"/>
                <w:lang w:eastAsia="zh-CN"/>
              </w:rPr>
            </w:pPr>
            <w:r>
              <w:rPr>
                <w:i/>
                <w:lang w:eastAsia="sv-SE"/>
              </w:rPr>
              <w:t>(</w:t>
            </w:r>
            <w:proofErr w:type="gramStart"/>
            <w:r>
              <w:rPr>
                <w:i/>
                <w:lang w:eastAsia="sv-SE"/>
              </w:rPr>
              <w:t>it</w:t>
            </w:r>
            <w:proofErr w:type="gramEnd"/>
            <w:r>
              <w:rPr>
                <w:i/>
                <w:lang w:eastAsia="sv-SE"/>
              </w:rPr>
              <w:t xml:space="preserve"> can be modified if RAN2 achieves the agreement on the support of UDC continuity)</w:t>
            </w:r>
            <w:r>
              <w:rPr>
                <w:i/>
              </w:rPr>
              <w:t>.</w:t>
            </w:r>
          </w:p>
          <w:p w14:paraId="56C5AE45" w14:textId="1340C9EC" w:rsidR="009750E2"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xml:space="preserve">”, to align with current LTE text and cover more </w:t>
            </w:r>
            <w:proofErr w:type="gramStart"/>
            <w:r w:rsidR="006726F8">
              <w:rPr>
                <w:rFonts w:ascii="Times New Roman" w:eastAsiaTheme="minorEastAsia" w:hAnsi="Times New Roman"/>
                <w:lang w:eastAsia="zh-CN"/>
              </w:rPr>
              <w:t>cases(</w:t>
            </w:r>
            <w:proofErr w:type="gramEnd"/>
            <w:r w:rsidR="006726F8">
              <w:rPr>
                <w:rFonts w:ascii="Times New Roman" w:eastAsiaTheme="minorEastAsia" w:hAnsi="Times New Roman"/>
                <w:lang w:eastAsia="zh-CN"/>
              </w:rPr>
              <w:t>e.g. HO)</w:t>
            </w:r>
          </w:p>
          <w:p w14:paraId="2CAFA765" w14:textId="558A9436" w:rsidR="00B4523A" w:rsidRPr="009750E2" w:rsidRDefault="00B4523A"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bl>
    <w:p w14:paraId="7802E86C" w14:textId="77777777" w:rsidR="00DA0E4E" w:rsidRDefault="00DA0E4E">
      <w:pPr>
        <w:pStyle w:val="BodyText"/>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A12A5E">
      <w:pPr>
        <w:jc w:val="center"/>
        <w:rPr>
          <w:rFonts w:eastAsiaTheme="minorEastAsia"/>
          <w:lang w:eastAsia="zh-CN"/>
        </w:rPr>
      </w:pPr>
      <w:r>
        <w:rPr>
          <w:noProof/>
        </w:rPr>
        <w:object w:dxaOrig="6150" w:dyaOrig="1756" w14:anchorId="65B47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7.35pt;height:68.65pt;mso-width-percent:0;mso-height-percent:0;mso-width-percent:0;mso-height-percent:0" o:ole="">
            <v:imagedata r:id="rId9" o:title=""/>
          </v:shape>
          <o:OLEObject Type="Embed" ProgID="Visio.Drawing.11" ShapeID="_x0000_i1026" DrawAspect="Content" ObjectID="_1700467309"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A12A5E">
      <w:pPr>
        <w:jc w:val="center"/>
        <w:rPr>
          <w:rFonts w:eastAsia="Yu Mincho"/>
          <w:b/>
        </w:rPr>
      </w:pPr>
      <w:r>
        <w:rPr>
          <w:noProof/>
        </w:rPr>
        <w:object w:dxaOrig="6150" w:dyaOrig="1756" w14:anchorId="532090DE">
          <v:shape id="_x0000_i1025" type="#_x0000_t75" alt="" style="width:237.35pt;height:68.65pt;mso-width-percent:0;mso-height-percent:0;mso-width-percent:0;mso-height-percent:0" o:ole="">
            <v:imagedata r:id="rId11" o:title=""/>
          </v:shape>
          <o:OLEObject Type="Embed" ProgID="Visio.Drawing.11" ShapeID="_x0000_i1025" DrawAspect="Content" ObjectID="_1700467310"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5" w:name="OLE_LINK1"/>
            <w:bookmarkStart w:id="6"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5"/>
            <w:bookmarkEnd w:id="6"/>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w:t>
            </w:r>
            <w:proofErr w:type="gramStart"/>
            <w:r w:rsidR="001E4DF4">
              <w:rPr>
                <w:rFonts w:ascii="Times New Roman" w:hAnsi="Times New Roman"/>
                <w:lang w:eastAsia="ko-KR"/>
              </w:rPr>
              <w:t>similar to</w:t>
            </w:r>
            <w:proofErr w:type="gramEnd"/>
            <w:r w:rsidR="001E4DF4">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w:t>
            </w:r>
            <w:proofErr w:type="gramStart"/>
            <w:r w:rsidRPr="005C5D61">
              <w:rPr>
                <w:rFonts w:ascii="Times New Roman" w:hAnsi="Times New Roman"/>
                <w:lang w:eastAsia="ko-KR"/>
              </w:rPr>
              <w:t>to follow</w:t>
            </w:r>
            <w:proofErr w:type="gramEnd"/>
            <w:r w:rsidRPr="005C5D61">
              <w:rPr>
                <w:rFonts w:ascii="Times New Roman" w:hAnsi="Times New Roman"/>
                <w:lang w:eastAsia="ko-KR"/>
              </w:rPr>
              <w:t xml:space="preserve"> the mechanism used in ROHC, i.e., “support UDC continuity in </w:t>
            </w:r>
            <w:r w:rsidRPr="005C5D61">
              <w:rPr>
                <w:rFonts w:ascii="Times New Roman" w:hAnsi="Times New Roman"/>
                <w:lang w:eastAsia="ko-KR"/>
              </w:rPr>
              <w:lastRenderedPageBreak/>
              <w:t xml:space="preserve">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w:t>
            </w:r>
            <w:proofErr w:type="gramStart"/>
            <w:r>
              <w:rPr>
                <w:rFonts w:ascii="Times New Roman" w:hAnsi="Times New Roman"/>
                <w:lang w:eastAsia="zh-CN"/>
              </w:rPr>
              <w:t>DAPS</w:t>
            </w:r>
            <w:proofErr w:type="gramEnd"/>
            <w:r>
              <w:rPr>
                <w:rFonts w:ascii="Times New Roman" w:hAnsi="Times New Roman"/>
                <w:lang w:eastAsia="zh-CN"/>
              </w:rPr>
              <w:t xml:space="preserve">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lastRenderedPageBreak/>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proofErr w:type="gramStart"/>
            <w:r>
              <w:rPr>
                <w:rFonts w:ascii="Times New Roman" w:hAnsi="Times New Roman"/>
                <w:lang w:eastAsia="ko-KR"/>
              </w:rPr>
              <w:t>Similar to</w:t>
            </w:r>
            <w:proofErr w:type="gramEnd"/>
            <w:r>
              <w:rPr>
                <w:rFonts w:ascii="Times New Roman" w:hAnsi="Times New Roman"/>
                <w:lang w:eastAsia="ko-KR"/>
              </w:rPr>
              <w:t xml:space="preserve">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w:t>
            </w:r>
            <w:proofErr w:type="gramStart"/>
            <w:r>
              <w:rPr>
                <w:rFonts w:ascii="Times New Roman" w:eastAsia="SimSun" w:hAnsi="Times New Roman"/>
                <w:lang w:eastAsia="zh-CN"/>
              </w:rPr>
              <w:t>e.g.</w:t>
            </w:r>
            <w:proofErr w:type="gramEnd"/>
            <w:r>
              <w:rPr>
                <w:rFonts w:ascii="Times New Roman" w:eastAsia="SimSun" w:hAnsi="Times New Roman"/>
                <w:lang w:eastAsia="zh-CN"/>
              </w:rPr>
              <w:t xml:space="preserve">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w:t>
            </w:r>
            <w:proofErr w:type="spellStart"/>
            <w:r>
              <w:rPr>
                <w:rFonts w:ascii="Times New Roman" w:eastAsia="SimSun" w:hAnsi="Times New Roman"/>
                <w:lang w:eastAsia="zh-CN"/>
              </w:rPr>
              <w:t>sidelink</w:t>
            </w:r>
            <w:proofErr w:type="spellEnd"/>
            <w:r>
              <w:rPr>
                <w:rFonts w:ascii="Times New Roman" w:eastAsia="SimSun" w:hAnsi="Times New Roman"/>
                <w:lang w:eastAsia="zh-CN"/>
              </w:rPr>
              <w:t xml:space="preserve">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BodyText"/>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BodyText"/>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lastRenderedPageBreak/>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BodyText"/>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 xml:space="preserve">imitation that UDC is not configured </w:t>
            </w:r>
            <w:r w:rsidRPr="00B65826">
              <w:rPr>
                <w:rFonts w:eastAsiaTheme="minorEastAsia"/>
                <w:strike/>
                <w:highlight w:val="yellow"/>
                <w:lang w:val="en-US" w:eastAsia="zh-CN"/>
              </w:rPr>
              <w:lastRenderedPageBreak/>
              <w:t>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proofErr w:type="gramStart"/>
            <w:r>
              <w:rPr>
                <w:rFonts w:ascii="Times New Roman" w:hAnsi="Times New Roman"/>
                <w:lang w:eastAsia="ko-KR"/>
              </w:rPr>
              <w:t>similar to</w:t>
            </w:r>
            <w:proofErr w:type="gramEnd"/>
            <w:r>
              <w:rPr>
                <w:rFonts w:ascii="Times New Roman" w:hAnsi="Times New Roman"/>
                <w:lang w:eastAsia="ko-KR"/>
              </w:rPr>
              <w:t xml:space="preserve">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xml:space="preserve">, other CP procedures, </w:t>
            </w:r>
            <w:proofErr w:type="gramStart"/>
            <w:r>
              <w:rPr>
                <w:rFonts w:ascii="Times New Roman" w:hAnsi="Times New Roman"/>
                <w:lang w:eastAsia="zh-CN"/>
              </w:rPr>
              <w:t>e.g.</w:t>
            </w:r>
            <w:proofErr w:type="gramEnd"/>
            <w:r>
              <w:rPr>
                <w:rFonts w:ascii="Times New Roman" w:hAnsi="Times New Roman"/>
                <w:lang w:eastAsia="zh-CN"/>
              </w:rPr>
              <w:t xml:space="preserve">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sidR="003C47F4">
              <w:rPr>
                <w:rFonts w:ascii="Times New Roman" w:hAnsi="Times New Roman"/>
                <w:lang w:val="en-US" w:eastAsia="zh-CN"/>
              </w:rPr>
              <w:t>request</w:t>
            </w:r>
            <w:proofErr w:type="gramEnd"/>
            <w:r w:rsidR="003C47F4">
              <w:rPr>
                <w:rFonts w:ascii="Times New Roman" w:hAnsi="Times New Roman"/>
                <w:lang w:val="en-US" w:eastAsia="zh-CN"/>
              </w:rPr>
              <w:t xml:space="preserve">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w:t>
            </w:r>
            <w:r>
              <w:rPr>
                <w:rFonts w:ascii="Times New Roman" w:eastAsia="Malgun Gothic" w:hAnsi="Times New Roman"/>
                <w:lang w:eastAsia="ko-KR"/>
              </w:rPr>
              <w:lastRenderedPageBreak/>
              <w:t xml:space="preserve">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lastRenderedPageBreak/>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BodyText"/>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7" w:name="OLE_LINK81"/>
            <w:bookmarkStart w:id="8" w:name="OLE_LINK82"/>
            <w:r>
              <w:rPr>
                <w:rFonts w:eastAsiaTheme="minorEastAsia" w:hint="eastAsia"/>
                <w:lang w:val="en-US" w:eastAsia="zh-CN"/>
              </w:rPr>
              <w:t>Applicability of UDC in DAPS</w:t>
            </w:r>
            <w:bookmarkEnd w:id="7"/>
            <w:bookmarkEnd w:id="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bl>
    <w:p w14:paraId="7C2362AB" w14:textId="77777777" w:rsidR="00DA0E4E" w:rsidRDefault="00DA0E4E">
      <w:pPr>
        <w:rPr>
          <w:rFonts w:eastAsiaTheme="minorEastAsia"/>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BodyText"/>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xml:space="preserve">, regardless of </w:t>
            </w:r>
            <w:proofErr w:type="gramStart"/>
            <w:r w:rsidR="00765F50">
              <w:rPr>
                <w:rFonts w:ascii="Times New Roman" w:hAnsi="Times New Roman"/>
                <w:lang w:eastAsia="ko-KR"/>
              </w:rPr>
              <w:t>whether or not</w:t>
            </w:r>
            <w:proofErr w:type="gramEnd"/>
            <w:r w:rsidR="00765F50">
              <w:rPr>
                <w:rFonts w:ascii="Times New Roman" w:hAnsi="Times New Roman"/>
                <w:lang w:eastAsia="ko-KR"/>
              </w:rPr>
              <w:t xml:space="preserve">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 xml:space="preserve">In MR-DC, </w:t>
            </w:r>
            <w:proofErr w:type="spellStart"/>
            <w:r w:rsidRPr="009C6599">
              <w:t>RoHC</w:t>
            </w:r>
            <w:proofErr w:type="spellEnd"/>
            <w:r w:rsidRPr="009C6599">
              <w:t xml:space="preserve">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BodyText"/>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FFS for now.</w:t>
            </w:r>
          </w:p>
        </w:tc>
      </w:tr>
    </w:tbl>
    <w:p w14:paraId="6F009FB4" w14:textId="77777777" w:rsidR="00DA0E4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BodyText"/>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BodyText"/>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4A74" w14:textId="77777777" w:rsidR="00A12A5E" w:rsidRDefault="00A12A5E">
      <w:pPr>
        <w:spacing w:after="0" w:line="240" w:lineRule="auto"/>
      </w:pPr>
      <w:r>
        <w:separator/>
      </w:r>
    </w:p>
  </w:endnote>
  <w:endnote w:type="continuationSeparator" w:id="0">
    <w:p w14:paraId="164F64A9" w14:textId="77777777" w:rsidR="00A12A5E" w:rsidRDefault="00A12A5E">
      <w:pPr>
        <w:spacing w:after="0" w:line="240" w:lineRule="auto"/>
      </w:pPr>
      <w:r>
        <w:continuationSeparator/>
      </w:r>
    </w:p>
  </w:endnote>
  <w:endnote w:type="continuationNotice" w:id="1">
    <w:p w14:paraId="5DA3C54C" w14:textId="77777777" w:rsidR="00A12A5E" w:rsidRDefault="00A12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16D3" w14:textId="77777777" w:rsidR="00A12A5E" w:rsidRDefault="00A12A5E">
      <w:pPr>
        <w:spacing w:after="0" w:line="240" w:lineRule="auto"/>
      </w:pPr>
      <w:r>
        <w:separator/>
      </w:r>
    </w:p>
  </w:footnote>
  <w:footnote w:type="continuationSeparator" w:id="0">
    <w:p w14:paraId="73A1CF93" w14:textId="77777777" w:rsidR="00A12A5E" w:rsidRDefault="00A12A5E">
      <w:pPr>
        <w:spacing w:after="0" w:line="240" w:lineRule="auto"/>
      </w:pPr>
      <w:r>
        <w:continuationSeparator/>
      </w:r>
    </w:p>
  </w:footnote>
  <w:footnote w:type="continuationNotice" w:id="1">
    <w:p w14:paraId="5ADFFCD1" w14:textId="77777777" w:rsidR="00A12A5E" w:rsidRDefault="00A12A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2"/>
  </w:num>
  <w:num w:numId="10">
    <w:abstractNumId w:val="20"/>
  </w:num>
  <w:num w:numId="11">
    <w:abstractNumId w:val="7"/>
  </w:num>
  <w:num w:numId="12">
    <w:abstractNumId w:val="5"/>
  </w:num>
  <w:num w:numId="13">
    <w:abstractNumId w:val="4"/>
  </w:num>
  <w:num w:numId="14">
    <w:abstractNumId w:val="11"/>
  </w:num>
  <w:num w:numId="15">
    <w:abstractNumId w:val="16"/>
  </w:num>
  <w:num w:numId="16">
    <w:abstractNumId w:val="8"/>
  </w:num>
  <w:num w:numId="17">
    <w:abstractNumId w:val="9"/>
  </w:num>
  <w:num w:numId="18">
    <w:abstractNumId w:val="14"/>
  </w:num>
  <w:num w:numId="19">
    <w:abstractNumId w:val="15"/>
  </w:num>
  <w:num w:numId="20">
    <w:abstractNumId w:val="21"/>
  </w:num>
  <w:num w:numId="21">
    <w:abstractNumId w:val="1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041D"/>
    <w:rsid w:val="00045322"/>
    <w:rsid w:val="00072739"/>
    <w:rsid w:val="00082E0C"/>
    <w:rsid w:val="00092E4C"/>
    <w:rsid w:val="00096C84"/>
    <w:rsid w:val="000C42AB"/>
    <w:rsid w:val="000C5B10"/>
    <w:rsid w:val="000D4697"/>
    <w:rsid w:val="000E7091"/>
    <w:rsid w:val="000E7C1B"/>
    <w:rsid w:val="001035EE"/>
    <w:rsid w:val="001111CD"/>
    <w:rsid w:val="00152F8D"/>
    <w:rsid w:val="00172188"/>
    <w:rsid w:val="001C2AED"/>
    <w:rsid w:val="001E4DF4"/>
    <w:rsid w:val="00204F37"/>
    <w:rsid w:val="00213ACD"/>
    <w:rsid w:val="00225A21"/>
    <w:rsid w:val="002C0BC4"/>
    <w:rsid w:val="002D0D00"/>
    <w:rsid w:val="002F7FD5"/>
    <w:rsid w:val="00362DA7"/>
    <w:rsid w:val="0037672E"/>
    <w:rsid w:val="0039294A"/>
    <w:rsid w:val="003A5DB1"/>
    <w:rsid w:val="003B4B85"/>
    <w:rsid w:val="003C47F4"/>
    <w:rsid w:val="003F205B"/>
    <w:rsid w:val="00405A3C"/>
    <w:rsid w:val="00410813"/>
    <w:rsid w:val="004172EB"/>
    <w:rsid w:val="004223C9"/>
    <w:rsid w:val="00424AE6"/>
    <w:rsid w:val="00443964"/>
    <w:rsid w:val="00445190"/>
    <w:rsid w:val="00455213"/>
    <w:rsid w:val="0047026B"/>
    <w:rsid w:val="00476386"/>
    <w:rsid w:val="004B3511"/>
    <w:rsid w:val="004C7F7C"/>
    <w:rsid w:val="004E2575"/>
    <w:rsid w:val="004F2360"/>
    <w:rsid w:val="005331DA"/>
    <w:rsid w:val="005375BF"/>
    <w:rsid w:val="005440AF"/>
    <w:rsid w:val="0054711D"/>
    <w:rsid w:val="00560DF6"/>
    <w:rsid w:val="00564957"/>
    <w:rsid w:val="00591D91"/>
    <w:rsid w:val="00595D6C"/>
    <w:rsid w:val="005A29EA"/>
    <w:rsid w:val="005B01FA"/>
    <w:rsid w:val="005C51A9"/>
    <w:rsid w:val="005C5D61"/>
    <w:rsid w:val="005C7580"/>
    <w:rsid w:val="00603D4C"/>
    <w:rsid w:val="00612AF2"/>
    <w:rsid w:val="00632C58"/>
    <w:rsid w:val="00634390"/>
    <w:rsid w:val="00655639"/>
    <w:rsid w:val="006726F8"/>
    <w:rsid w:val="00674E84"/>
    <w:rsid w:val="00681C12"/>
    <w:rsid w:val="006A40CF"/>
    <w:rsid w:val="006B7B07"/>
    <w:rsid w:val="006D1184"/>
    <w:rsid w:val="007127EC"/>
    <w:rsid w:val="00715D68"/>
    <w:rsid w:val="00726A05"/>
    <w:rsid w:val="00742D3B"/>
    <w:rsid w:val="00746E0B"/>
    <w:rsid w:val="00752583"/>
    <w:rsid w:val="00755198"/>
    <w:rsid w:val="00765F50"/>
    <w:rsid w:val="0077358F"/>
    <w:rsid w:val="00774881"/>
    <w:rsid w:val="007B5A1C"/>
    <w:rsid w:val="007C0F4A"/>
    <w:rsid w:val="00806FFF"/>
    <w:rsid w:val="00807E41"/>
    <w:rsid w:val="008322BC"/>
    <w:rsid w:val="00840A2F"/>
    <w:rsid w:val="00854398"/>
    <w:rsid w:val="00883811"/>
    <w:rsid w:val="008A3DD7"/>
    <w:rsid w:val="008C3EC2"/>
    <w:rsid w:val="008E002A"/>
    <w:rsid w:val="008E5110"/>
    <w:rsid w:val="008F239F"/>
    <w:rsid w:val="008F320D"/>
    <w:rsid w:val="00937DC0"/>
    <w:rsid w:val="00945B65"/>
    <w:rsid w:val="00972538"/>
    <w:rsid w:val="00974811"/>
    <w:rsid w:val="009750E2"/>
    <w:rsid w:val="009933E6"/>
    <w:rsid w:val="0099437E"/>
    <w:rsid w:val="00994D6E"/>
    <w:rsid w:val="009A5491"/>
    <w:rsid w:val="009D5F8E"/>
    <w:rsid w:val="00A01359"/>
    <w:rsid w:val="00A12A5E"/>
    <w:rsid w:val="00A163B1"/>
    <w:rsid w:val="00A16B9B"/>
    <w:rsid w:val="00A22B5E"/>
    <w:rsid w:val="00A26EE8"/>
    <w:rsid w:val="00A83D68"/>
    <w:rsid w:val="00A90F22"/>
    <w:rsid w:val="00AA2A73"/>
    <w:rsid w:val="00AA4BBA"/>
    <w:rsid w:val="00AB44F9"/>
    <w:rsid w:val="00AB6E9A"/>
    <w:rsid w:val="00AE71BE"/>
    <w:rsid w:val="00AE751B"/>
    <w:rsid w:val="00AF0215"/>
    <w:rsid w:val="00B11C8C"/>
    <w:rsid w:val="00B4523A"/>
    <w:rsid w:val="00B53B12"/>
    <w:rsid w:val="00B65826"/>
    <w:rsid w:val="00B97AEC"/>
    <w:rsid w:val="00BA1384"/>
    <w:rsid w:val="00BA2E4F"/>
    <w:rsid w:val="00BC05EC"/>
    <w:rsid w:val="00BC7131"/>
    <w:rsid w:val="00BC7329"/>
    <w:rsid w:val="00BE5676"/>
    <w:rsid w:val="00BE57B3"/>
    <w:rsid w:val="00BF7A7B"/>
    <w:rsid w:val="00C01547"/>
    <w:rsid w:val="00C10B64"/>
    <w:rsid w:val="00C12761"/>
    <w:rsid w:val="00C216FA"/>
    <w:rsid w:val="00C245BD"/>
    <w:rsid w:val="00C30CEC"/>
    <w:rsid w:val="00C32C78"/>
    <w:rsid w:val="00C66CFB"/>
    <w:rsid w:val="00C738AD"/>
    <w:rsid w:val="00C74AF7"/>
    <w:rsid w:val="00CD4959"/>
    <w:rsid w:val="00CE2436"/>
    <w:rsid w:val="00D022E9"/>
    <w:rsid w:val="00D0294C"/>
    <w:rsid w:val="00D039D2"/>
    <w:rsid w:val="00D34633"/>
    <w:rsid w:val="00D3617C"/>
    <w:rsid w:val="00DA0E4E"/>
    <w:rsid w:val="00DA604C"/>
    <w:rsid w:val="00DA7679"/>
    <w:rsid w:val="00DA77FA"/>
    <w:rsid w:val="00DB0EF6"/>
    <w:rsid w:val="00DD0923"/>
    <w:rsid w:val="00DE1A7F"/>
    <w:rsid w:val="00E27EA9"/>
    <w:rsid w:val="00E3658D"/>
    <w:rsid w:val="00E41864"/>
    <w:rsid w:val="00E44DD5"/>
    <w:rsid w:val="00E73432"/>
    <w:rsid w:val="00E77D3F"/>
    <w:rsid w:val="00E81297"/>
    <w:rsid w:val="00E95B5A"/>
    <w:rsid w:val="00EA4E4D"/>
    <w:rsid w:val="00EC1D03"/>
    <w:rsid w:val="00ED428F"/>
    <w:rsid w:val="00EE115A"/>
    <w:rsid w:val="00EF0EAF"/>
    <w:rsid w:val="00F0146A"/>
    <w:rsid w:val="00F16134"/>
    <w:rsid w:val="00F17C92"/>
    <w:rsid w:val="00F37226"/>
    <w:rsid w:val="00F44C1F"/>
    <w:rsid w:val="00FA348E"/>
    <w:rsid w:val="00FA7E20"/>
    <w:rsid w:val="00FC00F9"/>
    <w:rsid w:val="00FC60C9"/>
    <w:rsid w:val="00FD602E"/>
    <w:rsid w:val="00FD6F91"/>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_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___.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C193E-A406-466C-A1A9-A9E8AC1F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4373</Words>
  <Characters>24930</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2021-12-08T09:57:00Z</dcterms:created>
  <dcterms:modified xsi:type="dcterms:W3CDTF">2021-12-08T10:12:00Z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