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DE619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DE619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DE6193">
        <w:tc>
          <w:tcPr>
            <w:tcW w:w="9641" w:type="dxa"/>
            <w:gridSpan w:val="9"/>
            <w:tcBorders>
              <w:left w:val="single" w:sz="4" w:space="0" w:color="auto"/>
              <w:right w:val="single" w:sz="4" w:space="0" w:color="auto"/>
            </w:tcBorders>
          </w:tcPr>
          <w:p w14:paraId="36193D1A"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DE6193">
        <w:tc>
          <w:tcPr>
            <w:tcW w:w="9641" w:type="dxa"/>
            <w:gridSpan w:val="9"/>
            <w:tcBorders>
              <w:left w:val="single" w:sz="4" w:space="0" w:color="auto"/>
              <w:right w:val="single" w:sz="4" w:space="0" w:color="auto"/>
            </w:tcBorders>
          </w:tcPr>
          <w:p w14:paraId="0B866883"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DE6193">
        <w:tc>
          <w:tcPr>
            <w:tcW w:w="142" w:type="dxa"/>
            <w:tcBorders>
              <w:left w:val="single" w:sz="4" w:space="0" w:color="auto"/>
            </w:tcBorders>
          </w:tcPr>
          <w:p w14:paraId="2522EB2A"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DE619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DE619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DE619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DE619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DE619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7189088" w14:textId="77777777" w:rsidTr="00DE6193">
        <w:tc>
          <w:tcPr>
            <w:tcW w:w="9641" w:type="dxa"/>
            <w:gridSpan w:val="9"/>
            <w:tcBorders>
              <w:left w:val="single" w:sz="4" w:space="0" w:color="auto"/>
              <w:right w:val="single" w:sz="4" w:space="0" w:color="auto"/>
            </w:tcBorders>
          </w:tcPr>
          <w:p w14:paraId="6992FD9E"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9F0FCA5" w14:textId="77777777" w:rsidTr="00DE6193">
        <w:tc>
          <w:tcPr>
            <w:tcW w:w="9641" w:type="dxa"/>
            <w:gridSpan w:val="9"/>
            <w:tcBorders>
              <w:top w:val="single" w:sz="4" w:space="0" w:color="auto"/>
            </w:tcBorders>
          </w:tcPr>
          <w:p w14:paraId="146D8E18" w14:textId="77777777" w:rsidR="00A87ED2" w:rsidRPr="00FA1FD2" w:rsidRDefault="00A87ED2" w:rsidP="00DE619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DE6193">
        <w:tc>
          <w:tcPr>
            <w:tcW w:w="9641" w:type="dxa"/>
            <w:gridSpan w:val="9"/>
          </w:tcPr>
          <w:p w14:paraId="3D191C2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DE6193">
        <w:tc>
          <w:tcPr>
            <w:tcW w:w="2835" w:type="dxa"/>
          </w:tcPr>
          <w:p w14:paraId="1C0810C7" w14:textId="77777777" w:rsidR="00A87ED2" w:rsidRPr="00FA1FD2" w:rsidRDefault="00A87ED2" w:rsidP="00DE619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DE619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DE6193">
        <w:tc>
          <w:tcPr>
            <w:tcW w:w="9640" w:type="dxa"/>
            <w:gridSpan w:val="11"/>
          </w:tcPr>
          <w:p w14:paraId="6C893A00"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DE6193">
        <w:tc>
          <w:tcPr>
            <w:tcW w:w="1843" w:type="dxa"/>
            <w:tcBorders>
              <w:top w:val="single" w:sz="4" w:space="0" w:color="auto"/>
              <w:left w:val="single" w:sz="4" w:space="0" w:color="auto"/>
            </w:tcBorders>
          </w:tcPr>
          <w:p w14:paraId="29E56C12"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DE6193">
        <w:tc>
          <w:tcPr>
            <w:tcW w:w="1843" w:type="dxa"/>
            <w:tcBorders>
              <w:left w:val="single" w:sz="4" w:space="0" w:color="auto"/>
            </w:tcBorders>
          </w:tcPr>
          <w:p w14:paraId="0C1211D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DE6193">
        <w:tc>
          <w:tcPr>
            <w:tcW w:w="1843" w:type="dxa"/>
            <w:tcBorders>
              <w:left w:val="single" w:sz="4" w:space="0" w:color="auto"/>
            </w:tcBorders>
          </w:tcPr>
          <w:p w14:paraId="62D1190E"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DE6193">
        <w:tc>
          <w:tcPr>
            <w:tcW w:w="1843" w:type="dxa"/>
            <w:tcBorders>
              <w:left w:val="single" w:sz="4" w:space="0" w:color="auto"/>
            </w:tcBorders>
          </w:tcPr>
          <w:p w14:paraId="6BFC5061"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DE6193">
        <w:tc>
          <w:tcPr>
            <w:tcW w:w="1843" w:type="dxa"/>
            <w:tcBorders>
              <w:left w:val="single" w:sz="4" w:space="0" w:color="auto"/>
            </w:tcBorders>
          </w:tcPr>
          <w:p w14:paraId="3C5D4587"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DE6193">
        <w:tc>
          <w:tcPr>
            <w:tcW w:w="1843" w:type="dxa"/>
            <w:tcBorders>
              <w:left w:val="single" w:sz="4" w:space="0" w:color="auto"/>
            </w:tcBorders>
          </w:tcPr>
          <w:p w14:paraId="691BCA98"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DE619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DE6193">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DE6193">
        <w:tc>
          <w:tcPr>
            <w:tcW w:w="1843" w:type="dxa"/>
            <w:tcBorders>
              <w:left w:val="single" w:sz="4" w:space="0" w:color="auto"/>
            </w:tcBorders>
          </w:tcPr>
          <w:p w14:paraId="13A8EBCD"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DE6193">
        <w:trPr>
          <w:cantSplit/>
        </w:trPr>
        <w:tc>
          <w:tcPr>
            <w:tcW w:w="1843" w:type="dxa"/>
            <w:tcBorders>
              <w:left w:val="single" w:sz="4" w:space="0" w:color="auto"/>
            </w:tcBorders>
          </w:tcPr>
          <w:p w14:paraId="4836A90D"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DE619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DE619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DE619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DE6193">
        <w:tc>
          <w:tcPr>
            <w:tcW w:w="1843" w:type="dxa"/>
            <w:tcBorders>
              <w:left w:val="single" w:sz="4" w:space="0" w:color="auto"/>
              <w:bottom w:val="single" w:sz="4" w:space="0" w:color="auto"/>
            </w:tcBorders>
          </w:tcPr>
          <w:p w14:paraId="32543BF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DE619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DE619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DE619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DE6193">
        <w:tc>
          <w:tcPr>
            <w:tcW w:w="1843" w:type="dxa"/>
          </w:tcPr>
          <w:p w14:paraId="6B345778"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DE6193">
        <w:tc>
          <w:tcPr>
            <w:tcW w:w="2694" w:type="dxa"/>
            <w:gridSpan w:val="2"/>
            <w:tcBorders>
              <w:top w:val="single" w:sz="4" w:space="0" w:color="auto"/>
              <w:left w:val="single" w:sz="4" w:space="0" w:color="auto"/>
            </w:tcBorders>
          </w:tcPr>
          <w:p w14:paraId="2B8084AC"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DE6193">
        <w:tc>
          <w:tcPr>
            <w:tcW w:w="2694" w:type="dxa"/>
            <w:gridSpan w:val="2"/>
            <w:tcBorders>
              <w:left w:val="single" w:sz="4" w:space="0" w:color="auto"/>
            </w:tcBorders>
          </w:tcPr>
          <w:p w14:paraId="0C12FBD3"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DE6193">
        <w:tc>
          <w:tcPr>
            <w:tcW w:w="2694" w:type="dxa"/>
            <w:gridSpan w:val="2"/>
            <w:tcBorders>
              <w:left w:val="single" w:sz="4" w:space="0" w:color="auto"/>
            </w:tcBorders>
          </w:tcPr>
          <w:p w14:paraId="294F78F3"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RAN2#115-e are captured. </w:t>
            </w:r>
          </w:p>
        </w:tc>
      </w:tr>
      <w:tr w:rsidR="00A87ED2" w:rsidRPr="00FA1FD2" w14:paraId="6C52AF3F" w14:textId="77777777" w:rsidTr="00DE6193">
        <w:tc>
          <w:tcPr>
            <w:tcW w:w="2694" w:type="dxa"/>
            <w:gridSpan w:val="2"/>
            <w:tcBorders>
              <w:left w:val="single" w:sz="4" w:space="0" w:color="auto"/>
            </w:tcBorders>
          </w:tcPr>
          <w:p w14:paraId="24D61EB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DE6193">
        <w:tc>
          <w:tcPr>
            <w:tcW w:w="2694" w:type="dxa"/>
            <w:gridSpan w:val="2"/>
            <w:tcBorders>
              <w:left w:val="single" w:sz="4" w:space="0" w:color="auto"/>
              <w:bottom w:val="single" w:sz="4" w:space="0" w:color="auto"/>
            </w:tcBorders>
          </w:tcPr>
          <w:p w14:paraId="3B19F1E2"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DE6193">
        <w:tc>
          <w:tcPr>
            <w:tcW w:w="2694" w:type="dxa"/>
            <w:gridSpan w:val="2"/>
          </w:tcPr>
          <w:p w14:paraId="226626EE"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DE6193">
        <w:tc>
          <w:tcPr>
            <w:tcW w:w="2694" w:type="dxa"/>
            <w:gridSpan w:val="2"/>
            <w:tcBorders>
              <w:top w:val="single" w:sz="4" w:space="0" w:color="auto"/>
              <w:left w:val="single" w:sz="4" w:space="0" w:color="auto"/>
            </w:tcBorders>
          </w:tcPr>
          <w:p w14:paraId="3A89595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DE6193">
        <w:tc>
          <w:tcPr>
            <w:tcW w:w="2694" w:type="dxa"/>
            <w:gridSpan w:val="2"/>
            <w:tcBorders>
              <w:left w:val="single" w:sz="4" w:space="0" w:color="auto"/>
            </w:tcBorders>
          </w:tcPr>
          <w:p w14:paraId="460364B1"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DE6193">
        <w:tc>
          <w:tcPr>
            <w:tcW w:w="2694" w:type="dxa"/>
            <w:gridSpan w:val="2"/>
            <w:tcBorders>
              <w:left w:val="single" w:sz="4" w:space="0" w:color="auto"/>
            </w:tcBorders>
          </w:tcPr>
          <w:p w14:paraId="63D80906"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DE6193">
        <w:tc>
          <w:tcPr>
            <w:tcW w:w="2694" w:type="dxa"/>
            <w:gridSpan w:val="2"/>
            <w:tcBorders>
              <w:left w:val="single" w:sz="4" w:space="0" w:color="auto"/>
            </w:tcBorders>
          </w:tcPr>
          <w:p w14:paraId="6C626EB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DE619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DE6193">
        <w:tc>
          <w:tcPr>
            <w:tcW w:w="2694" w:type="dxa"/>
            <w:gridSpan w:val="2"/>
            <w:tcBorders>
              <w:left w:val="single" w:sz="4" w:space="0" w:color="auto"/>
            </w:tcBorders>
          </w:tcPr>
          <w:p w14:paraId="52F41B77"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DE6193">
        <w:tc>
          <w:tcPr>
            <w:tcW w:w="2694" w:type="dxa"/>
            <w:gridSpan w:val="2"/>
            <w:tcBorders>
              <w:left w:val="single" w:sz="4" w:space="0" w:color="auto"/>
            </w:tcBorders>
          </w:tcPr>
          <w:p w14:paraId="6BF70DAD"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DE6193">
        <w:tc>
          <w:tcPr>
            <w:tcW w:w="2694" w:type="dxa"/>
            <w:gridSpan w:val="2"/>
            <w:tcBorders>
              <w:left w:val="single" w:sz="4" w:space="0" w:color="auto"/>
            </w:tcBorders>
          </w:tcPr>
          <w:p w14:paraId="2E233FB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6D02435E" w14:textId="77777777" w:rsidTr="00DE6193">
        <w:tc>
          <w:tcPr>
            <w:tcW w:w="2694" w:type="dxa"/>
            <w:gridSpan w:val="2"/>
            <w:tcBorders>
              <w:left w:val="single" w:sz="4" w:space="0" w:color="auto"/>
              <w:bottom w:val="single" w:sz="4" w:space="0" w:color="auto"/>
            </w:tcBorders>
          </w:tcPr>
          <w:p w14:paraId="2E30D21B"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DE6193">
        <w:tc>
          <w:tcPr>
            <w:tcW w:w="2694" w:type="dxa"/>
            <w:gridSpan w:val="2"/>
            <w:tcBorders>
              <w:top w:val="single" w:sz="4" w:space="0" w:color="auto"/>
              <w:bottom w:val="single" w:sz="4" w:space="0" w:color="auto"/>
            </w:tcBorders>
          </w:tcPr>
          <w:p w14:paraId="0ADF4FE8"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DE619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DE619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F36F04">
        <w:tc>
          <w:tcPr>
            <w:tcW w:w="9636" w:type="dxa"/>
            <w:shd w:val="clear" w:color="auto" w:fill="FFFF00"/>
            <w:vAlign w:val="center"/>
          </w:tcPr>
          <w:p w14:paraId="582D3F3E" w14:textId="77777777" w:rsidR="00534BD5" w:rsidRPr="000268A6" w:rsidRDefault="00534BD5" w:rsidP="00F36F04">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w:t>
      </w:r>
      <w:bookmarkStart w:id="9" w:name="_GoBack"/>
      <w:bookmarkEnd w:id="9"/>
      <w:r w:rsidRPr="007B2F77">
        <w:rPr>
          <w:noProof/>
          <w:lang w:eastAsia="ko-KR"/>
        </w:rPr>
        <w:t>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10"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1" w:name="_Hlk23460367"/>
      <w:bookmarkEnd w:id="10"/>
      <w:r w:rsidRPr="007B2F77">
        <w:rPr>
          <w:noProof/>
          <w:lang w:eastAsia="ko-KR"/>
        </w:rPr>
        <w:t>4&gt;</w:t>
      </w:r>
      <w:r w:rsidRPr="007B2F77">
        <w:rPr>
          <w:noProof/>
          <w:lang w:eastAsia="ko-KR"/>
        </w:rPr>
        <w:tab/>
        <w:t>deliver the configured uplink grant and the associated HARQ information to the HARQ entity.</w:t>
      </w:r>
      <w:bookmarkEnd w:id="11"/>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D3B36CB" w:rsidR="00FA61AC" w:rsidRDefault="00FA61AC" w:rsidP="00FA61AC">
      <w:pPr>
        <w:rPr>
          <w:ins w:id="12" w:author="Samsung_115" w:date="2021-10-07T15:43:00Z"/>
          <w:noProof/>
          <w:lang w:eastAsia="ko-KR"/>
        </w:rPr>
      </w:pPr>
      <w:bookmarkStart w:id="13" w:name="_Hlk23499210"/>
      <w:r w:rsidRPr="007B2F77">
        <w:rPr>
          <w:noProof/>
          <w:lang w:eastAsia="ko-KR"/>
        </w:rPr>
        <w:t xml:space="preserve">For configured uplink grants configured with </w:t>
      </w:r>
      <w:r w:rsidRPr="007B2F77">
        <w:rPr>
          <w:i/>
          <w:noProof/>
          <w:lang w:eastAsia="ko-KR"/>
        </w:rPr>
        <w:t>cg-RetransmissionTimer</w:t>
      </w:r>
      <w:bookmarkEnd w:id="13"/>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4" w:name="_Hlk23787129"/>
      <w:ins w:id="15"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not configured with </w:t>
        </w:r>
        <w:r w:rsidR="001F055A">
          <w:rPr>
            <w:i/>
            <w:noProof/>
            <w:lang w:eastAsia="ko-KR"/>
          </w:rPr>
          <w:t>intraCG-Prioritization</w:t>
        </w:r>
        <w:r w:rsidR="001F055A">
          <w:rPr>
            <w:noProof/>
            <w:lang w:eastAsia="ko-KR"/>
          </w:rPr>
          <w:t xml:space="preserve">, </w:t>
        </w:r>
      </w:ins>
      <w:del w:id="16" w:author="Samsung_115" w:date="2021-10-21T20:53:00Z">
        <w:r w:rsidR="00411F9A" w:rsidRPr="007B2F77" w:rsidDel="001F055A">
          <w:rPr>
            <w:noProof/>
            <w:lang w:eastAsia="ko-KR"/>
          </w:rPr>
          <w:delText xml:space="preserve">For </w:delText>
        </w:r>
      </w:del>
      <w:ins w:id="17"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4"/>
      <w:r w:rsidRPr="007B2F77">
        <w:rPr>
          <w:noProof/>
          <w:lang w:eastAsia="ko-KR"/>
        </w:rPr>
        <w:t xml:space="preserve"> The UE shall toggle the NDI in the CG-UCI for new transmissions and not toggle the NDI in the CG-UCI in retransmissions.</w:t>
      </w:r>
    </w:p>
    <w:p w14:paraId="02C2AA15" w14:textId="472EA911" w:rsidR="008D404E" w:rsidRDefault="003E21C3" w:rsidP="00FA61AC">
      <w:pPr>
        <w:rPr>
          <w:ins w:id="18" w:author="Samsung_115" w:date="2021-10-07T15:49:00Z"/>
          <w:noProof/>
          <w:lang w:eastAsia="ko-KR"/>
        </w:rPr>
      </w:pPr>
      <w:ins w:id="19"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20" w:author="Samsung_115" w:date="2021-10-07T15:44:00Z">
        <w:r w:rsidR="00D833DC">
          <w:rPr>
            <w:noProof/>
            <w:lang w:eastAsia="ko-KR"/>
          </w:rPr>
          <w:t xml:space="preserve">is already stored in the HARQ buffer) or have data available </w:t>
        </w:r>
      </w:ins>
      <w:ins w:id="21" w:author="Samsung_115" w:date="2021-10-07T15:47:00Z">
        <w:r w:rsidR="00D833DC">
          <w:rPr>
            <w:noProof/>
            <w:lang w:eastAsia="ko-KR"/>
          </w:rPr>
          <w:t xml:space="preserve">that can be multiplexed (i.e. the MAC </w:t>
        </w:r>
        <w:r w:rsidR="00D833DC">
          <w:rPr>
            <w:noProof/>
            <w:lang w:eastAsia="ko-KR"/>
          </w:rPr>
          <w:lastRenderedPageBreak/>
          <w:t xml:space="preserve">PDU to transmit is not stored in the HARQ buffer) in the MAC PDU, according to the </w:t>
        </w:r>
      </w:ins>
      <w:ins w:id="22" w:author="Samsung_115" w:date="2021-10-07T15:48:00Z">
        <w:r w:rsidR="00D833DC">
          <w:rPr>
            <w:noProof/>
            <w:lang w:eastAsia="ko-KR"/>
          </w:rPr>
          <w:t>mapping restrictions as described in clause 5.4.3.1.2. For HARQ Process ID selection, the UE shall prioritize the HARQ Process ID with the h</w:t>
        </w:r>
      </w:ins>
      <w:ins w:id="23" w:author="Samsung_115" w:date="2021-10-07T15:49:00Z">
        <w:r w:rsidR="00D833DC">
          <w:rPr>
            <w:noProof/>
            <w:lang w:eastAsia="ko-KR"/>
          </w:rPr>
          <w:t>ighest priority.</w:t>
        </w:r>
      </w:ins>
    </w:p>
    <w:p w14:paraId="4C62E6C2" w14:textId="7B9E55BF" w:rsidR="008D404E" w:rsidRPr="002436FD" w:rsidRDefault="008D404E" w:rsidP="002436FD">
      <w:pPr>
        <w:pStyle w:val="NO"/>
        <w:rPr>
          <w:ins w:id="24" w:author="Samsung_115" w:date="2021-10-07T15:49:00Z"/>
        </w:rPr>
      </w:pPr>
      <w:ins w:id="25" w:author="Samsung_115" w:date="2021-10-07T15:49:00Z">
        <w:r w:rsidRPr="002436FD">
          <w:t>Editor’s Note:</w:t>
        </w:r>
      </w:ins>
      <w:ins w:id="26" w:author="Samsung_115" w:date="2021-10-07T16:02:00Z">
        <w:r w:rsidR="002436FD">
          <w:tab/>
        </w:r>
      </w:ins>
      <w:ins w:id="27" w:author="Samsung_115" w:date="2021-10-07T15:49:00Z">
        <w:r w:rsidRPr="002436FD">
          <w:t>HPI selection rule among HPs with equal priority is FFS.</w:t>
        </w:r>
      </w:ins>
    </w:p>
    <w:p w14:paraId="7375F95E" w14:textId="07DD0538" w:rsidR="0069767E" w:rsidRDefault="0069767E" w:rsidP="002436FD">
      <w:pPr>
        <w:pStyle w:val="NO"/>
        <w:rPr>
          <w:ins w:id="28" w:author="Samsung_115" w:date="2021-10-21T20:54:00Z"/>
        </w:rPr>
      </w:pPr>
      <w:ins w:id="29" w:author="Samsung_115" w:date="2021-10-07T15:49:00Z">
        <w:r w:rsidRPr="002436FD">
          <w:t>Editor’s Note:</w:t>
        </w:r>
      </w:ins>
      <w:ins w:id="30" w:author="Samsung_115" w:date="2021-10-07T16:02:00Z">
        <w:r w:rsidR="002436FD">
          <w:tab/>
        </w:r>
      </w:ins>
      <w:ins w:id="31" w:author="Samsung_115" w:date="2021-10-07T16:57:00Z">
        <w:r w:rsidR="00C13463">
          <w:t>Nam</w:t>
        </w:r>
      </w:ins>
      <w:ins w:id="32" w:author="Samsung_115" w:date="2021-10-07T16:58:00Z">
        <w:r w:rsidR="00C13463">
          <w:t>ing of c</w:t>
        </w:r>
      </w:ins>
      <w:ins w:id="33" w:author="Samsung_115" w:date="2021-10-07T15:50:00Z">
        <w:r w:rsidRPr="002436FD">
          <w:t>onfiguration “</w:t>
        </w:r>
        <w:r w:rsidRPr="001E103A">
          <w:rPr>
            <w:i/>
          </w:rPr>
          <w:t>intraCG</w:t>
        </w:r>
      </w:ins>
      <w:ins w:id="34" w:author="Samsung_115" w:date="2021-10-21T20:53:00Z">
        <w:r w:rsidR="001F055A">
          <w:rPr>
            <w:i/>
          </w:rPr>
          <w:t>-</w:t>
        </w:r>
      </w:ins>
      <w:ins w:id="35" w:author="Samsung_115" w:date="2021-10-07T15:50:00Z">
        <w:r w:rsidRPr="001E103A">
          <w:rPr>
            <w:i/>
          </w:rPr>
          <w:t>Prioritization</w:t>
        </w:r>
        <w:r w:rsidRPr="002436FD">
          <w:t>” needs to be confirmed.</w:t>
        </w:r>
      </w:ins>
    </w:p>
    <w:p w14:paraId="451DF81B" w14:textId="29C3F795" w:rsidR="001F055A" w:rsidRPr="002436FD" w:rsidRDefault="001F055A" w:rsidP="002436FD">
      <w:pPr>
        <w:pStyle w:val="NO"/>
      </w:pPr>
      <w:ins w:id="36" w:author="Samsung_115" w:date="2021-10-21T20:54:00Z">
        <w:r w:rsidRPr="002436FD">
          <w:t>Editor’s Note:</w:t>
        </w:r>
        <w:r>
          <w:tab/>
          <w:t>The priority of HARQ process for MAC PDU without data for logical channel is FFS.</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37"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38" w:author="Samsung_115" w:date="2021-10-07T16:39:00Z">
        <w:r w:rsidR="002D060F" w:rsidRPr="002D060F">
          <w:rPr>
            <w:noProof/>
            <w:lang w:eastAsia="ko-KR"/>
          </w:rPr>
          <w:t xml:space="preserve"> </w:t>
        </w:r>
      </w:ins>
      <w:ins w:id="39" w:author="Samsung_115" w:date="2021-10-07T16:40:00Z">
        <w:r w:rsidR="00F56DCD">
          <w:rPr>
            <w:noProof/>
            <w:lang w:eastAsia="ko-KR"/>
          </w:rPr>
          <w:t>If this de</w:t>
        </w:r>
      </w:ins>
      <w:ins w:id="40" w:author="Samsung_115" w:date="2021-10-07T16:43:00Z">
        <w:r w:rsidR="00DA36ED">
          <w:rPr>
            <w:noProof/>
            <w:lang w:eastAsia="ko-KR"/>
          </w:rPr>
          <w:t>-</w:t>
        </w:r>
      </w:ins>
      <w:ins w:id="41"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42" w:author="Samsung_115" w:date="2021-10-07T16:41:00Z">
        <w:r w:rsidR="00F56DCD">
          <w:rPr>
            <w:noProof/>
            <w:lang w:eastAsia="ko-KR"/>
          </w:rPr>
          <w:t>, t</w:t>
        </w:r>
      </w:ins>
      <w:ins w:id="43"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lastRenderedPageBreak/>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44"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45" w:author="Samsung_115" w:date="2021-10-07T16:35:00Z"/>
          <w:rFonts w:eastAsia="SimSun"/>
          <w:lang w:eastAsia="zh-CN"/>
        </w:rPr>
      </w:pPr>
      <w:ins w:id="46"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47" w:author="Samsung_115" w:date="2021-10-21T20:55:00Z">
        <w:r w:rsidR="00F94F4E">
          <w:rPr>
            <w:lang w:eastAsia="ko-KR"/>
          </w:rPr>
          <w:t xml:space="preserve"> </w:t>
        </w:r>
        <w:r w:rsidR="00F94F4E">
          <w:rPr>
            <w:lang w:eastAsia="ko-KR"/>
          </w:rPr>
          <w:t xml:space="preserve">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48"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49"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50"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51"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51"/>
      <w:r w:rsidRPr="007B2F77">
        <w:rPr>
          <w:noProof/>
          <w:lang w:eastAsia="ko-KR"/>
        </w:rPr>
        <w:t>.</w:t>
      </w:r>
    </w:p>
    <w:p w14:paraId="04E6B711" w14:textId="77777777" w:rsidR="0070035A" w:rsidRPr="007B2F77" w:rsidRDefault="002711E6" w:rsidP="0070035A">
      <w:pPr>
        <w:pStyle w:val="NO"/>
      </w:pPr>
      <w:bookmarkStart w:id="52" w:name="_Toc37296194"/>
      <w:bookmarkStart w:id="53"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60B87E5" w:rsidR="001E54B6" w:rsidRDefault="0070035A" w:rsidP="00D15978">
      <w:pPr>
        <w:pStyle w:val="NO"/>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63693A39" w14:textId="77777777" w:rsidR="00534BD5" w:rsidRPr="007B2F77" w:rsidRDefault="00534BD5" w:rsidP="00D15978">
      <w:pPr>
        <w:pStyle w:val="NO"/>
        <w:rPr>
          <w:rFonts w:eastAsia="맑은 고딕"/>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F36F04">
        <w:tc>
          <w:tcPr>
            <w:tcW w:w="9636" w:type="dxa"/>
            <w:shd w:val="clear" w:color="auto" w:fill="FFFF00"/>
            <w:vAlign w:val="center"/>
          </w:tcPr>
          <w:p w14:paraId="54F4D9D0" w14:textId="4DE6C422" w:rsidR="00534BD5" w:rsidRPr="000268A6" w:rsidRDefault="00534BD5" w:rsidP="00F36F04">
            <w:pPr>
              <w:spacing w:after="0"/>
              <w:jc w:val="center"/>
              <w:rPr>
                <w:rFonts w:ascii="Arial" w:hAnsi="Arial" w:cs="Arial"/>
                <w:b/>
                <w:sz w:val="28"/>
                <w:lang w:val="en-GB"/>
              </w:rPr>
            </w:pPr>
            <w:bookmarkStart w:id="54" w:name="_Toc29239844"/>
            <w:bookmarkEnd w:id="37"/>
            <w:bookmarkEnd w:id="52"/>
            <w:bookmarkEnd w:id="53"/>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55" w:name="_Toc37296203"/>
      <w:bookmarkStart w:id="56" w:name="_Toc46490329"/>
      <w:bookmarkStart w:id="57" w:name="_Toc52752024"/>
      <w:bookmarkStart w:id="58" w:name="_Toc52796486"/>
      <w:bookmarkStart w:id="59" w:name="_Toc83661051"/>
      <w:r w:rsidRPr="007B2F77">
        <w:rPr>
          <w:lang w:eastAsia="ko-KR"/>
        </w:rPr>
        <w:t>5.4.4</w:t>
      </w:r>
      <w:r w:rsidRPr="007B2F77">
        <w:rPr>
          <w:lang w:eastAsia="ko-KR"/>
        </w:rPr>
        <w:tab/>
        <w:t>Scheduling Request</w:t>
      </w:r>
      <w:bookmarkEnd w:id="54"/>
      <w:bookmarkEnd w:id="55"/>
      <w:bookmarkEnd w:id="56"/>
      <w:bookmarkEnd w:id="57"/>
      <w:bookmarkEnd w:id="58"/>
      <w:bookmarkEnd w:id="59"/>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w:t>
      </w:r>
      <w:r w:rsidR="0013780C" w:rsidRPr="007B2F77">
        <w:rPr>
          <w:lang w:eastAsia="ko-KR"/>
        </w:rPr>
        <w:lastRenderedPageBreak/>
        <w:t>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lastRenderedPageBreak/>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60"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60"/>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61"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62" w:author="Samsung_115" w:date="2021-10-07T16:32:00Z"/>
          <w:rFonts w:eastAsia="SimSun"/>
          <w:lang w:eastAsia="zh-CN"/>
        </w:rPr>
      </w:pPr>
      <w:ins w:id="63"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64" w:author="Samsung_115" w:date="2021-10-21T20:56:00Z">
        <w:r w:rsidR="009945FD">
          <w:rPr>
            <w:lang w:eastAsia="ko-KR"/>
          </w:rPr>
          <w:t xml:space="preserve"> </w:t>
        </w:r>
        <w:r w:rsidR="009945FD">
          <w:rPr>
            <w:lang w:eastAsia="ko-KR"/>
          </w:rPr>
          <w:t xml:space="preserve">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65"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66"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67" w:author="Samsung_115" w:date="2021-10-07T16:34:00Z">
        <w:r w:rsidR="003B7BC3">
          <w:rPr>
            <w:i/>
            <w:lang w:eastAsia="ko-KR"/>
          </w:rPr>
          <w:t>g-RetransmissionTimer</w:t>
        </w:r>
      </w:ins>
      <w:ins w:id="68"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69"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69"/>
    </w:p>
    <w:p w14:paraId="60F6C9A1" w14:textId="1A49210E" w:rsidR="0013780C" w:rsidRDefault="0013780C" w:rsidP="0013780C">
      <w:pPr>
        <w:pStyle w:val="B1"/>
        <w:rPr>
          <w:lang w:eastAsia="ko-KR"/>
        </w:rPr>
      </w:pPr>
      <w:bookmarkStart w:id="70" w:name="_Toc29239845"/>
      <w:bookmarkStart w:id="71" w:name="_Toc37296204"/>
      <w:bookmarkStart w:id="72" w:name="_Toc46490330"/>
      <w:bookmarkStart w:id="73" w:name="_Toc52752025"/>
      <w:bookmarkStart w:id="74"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F36F04">
        <w:tc>
          <w:tcPr>
            <w:tcW w:w="9636" w:type="dxa"/>
            <w:shd w:val="clear" w:color="auto" w:fill="FFFF00"/>
            <w:vAlign w:val="center"/>
          </w:tcPr>
          <w:p w14:paraId="38E9D4CA" w14:textId="1629E2F0" w:rsidR="00534BD5" w:rsidRPr="000268A6" w:rsidRDefault="00534BD5" w:rsidP="00F36F04">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75" w:name="_Toc29239852"/>
      <w:bookmarkStart w:id="76" w:name="_Toc37296211"/>
      <w:bookmarkStart w:id="77" w:name="_Toc46490338"/>
      <w:bookmarkStart w:id="78" w:name="_Toc52752033"/>
      <w:bookmarkStart w:id="79" w:name="_Toc52796495"/>
      <w:bookmarkStart w:id="80" w:name="_Toc83661060"/>
      <w:bookmarkEnd w:id="70"/>
      <w:bookmarkEnd w:id="71"/>
      <w:bookmarkEnd w:id="72"/>
      <w:bookmarkEnd w:id="73"/>
      <w:bookmarkEnd w:id="74"/>
      <w:r w:rsidRPr="007B2F77">
        <w:rPr>
          <w:lang w:eastAsia="ko-KR"/>
        </w:rPr>
        <w:t>5.8.2</w:t>
      </w:r>
      <w:r w:rsidRPr="007B2F77">
        <w:rPr>
          <w:lang w:eastAsia="ko-KR"/>
        </w:rPr>
        <w:tab/>
        <w:t>Uplink</w:t>
      </w:r>
      <w:bookmarkEnd w:id="75"/>
      <w:bookmarkEnd w:id="76"/>
      <w:bookmarkEnd w:id="77"/>
      <w:bookmarkEnd w:id="78"/>
      <w:bookmarkEnd w:id="79"/>
      <w:bookmarkEnd w:id="80"/>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81"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82" w:author="Samsung_115" w:date="2021-10-21T20:57:00Z">
        <w:r w:rsidR="007D075F">
          <w:rPr>
            <w:noProof/>
            <w:lang w:eastAsia="ko-KR"/>
          </w:rPr>
          <w:t xml:space="preserve"> not </w:t>
        </w:r>
        <w:r w:rsidR="007D075F">
          <w:rPr>
            <w:noProof/>
            <w:lang w:eastAsia="ko-KR"/>
          </w:rPr>
          <w:t xml:space="preserve">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83"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84" w:author="Samsung_115" w:date="2021-10-21T20:58:00Z">
        <w:r w:rsidR="006E31B9">
          <w:rPr>
            <w:noProof/>
            <w:lang w:eastAsia="ko-KR"/>
          </w:rPr>
          <w:t xml:space="preserve"> not </w:t>
        </w:r>
        <w:r w:rsidR="006E31B9">
          <w:rPr>
            <w:noProof/>
            <w:lang w:eastAsia="ko-KR"/>
          </w:rPr>
          <w:t xml:space="preserve">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F36F04">
        <w:tc>
          <w:tcPr>
            <w:tcW w:w="9636" w:type="dxa"/>
            <w:shd w:val="clear" w:color="auto" w:fill="FFFF00"/>
            <w:vAlign w:val="center"/>
          </w:tcPr>
          <w:p w14:paraId="655FAED8" w14:textId="2FBDD22E" w:rsidR="00534BD5" w:rsidRPr="000268A6" w:rsidRDefault="00534BD5" w:rsidP="00F36F04">
            <w:pPr>
              <w:spacing w:after="0"/>
              <w:jc w:val="center"/>
              <w:rPr>
                <w:rFonts w:ascii="Arial" w:hAnsi="Arial" w:cs="Arial"/>
                <w:b/>
                <w:sz w:val="28"/>
                <w:lang w:val="en-GB"/>
              </w:rPr>
            </w:pPr>
            <w:r>
              <w:rPr>
                <w:rFonts w:ascii="Arial" w:hAnsi="Arial" w:cs="Arial"/>
                <w:b/>
                <w:sz w:val="28"/>
                <w:lang w:val="en-GB"/>
              </w:rPr>
              <w:t>End</w:t>
            </w:r>
            <w:r>
              <w:rPr>
                <w:rFonts w:ascii="Arial" w:hAnsi="Arial" w:cs="Arial"/>
                <w:b/>
                <w:sz w:val="28"/>
                <w:lang w:val="en-GB"/>
              </w:rPr>
              <w:t xml:space="preserve">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85"/>
      <w:r w:rsidRPr="00B70C78">
        <w:rPr>
          <w:rFonts w:ascii="Arial" w:eastAsia="MS Mincho" w:hAnsi="Arial"/>
          <w:szCs w:val="24"/>
          <w:highlight w:val="green"/>
          <w:lang w:eastAsia="en-GB"/>
        </w:rPr>
        <w:t>.</w:t>
      </w:r>
      <w:commentRangeEnd w:id="85"/>
      <w:r w:rsidR="002558B6">
        <w:rPr>
          <w:rStyle w:val="CommentReference"/>
        </w:rPr>
        <w:commentReference w:id="85"/>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86"/>
      <w:r w:rsidRPr="00B70C78">
        <w:rPr>
          <w:rFonts w:ascii="Arial" w:eastAsia="MS Mincho" w:hAnsi="Arial"/>
          <w:szCs w:val="24"/>
          <w:highlight w:val="green"/>
          <w:lang w:eastAsia="en-GB"/>
        </w:rPr>
        <w:t>.</w:t>
      </w:r>
      <w:commentRangeEnd w:id="86"/>
      <w:r w:rsidR="00CD3F43">
        <w:rPr>
          <w:rStyle w:val="CommentReference"/>
        </w:rPr>
        <w:commentReference w:id="86"/>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87"/>
      <w:r w:rsidRPr="00B70C78">
        <w:rPr>
          <w:rFonts w:ascii="Arial" w:eastAsia="MS Mincho" w:hAnsi="Arial"/>
          <w:szCs w:val="24"/>
          <w:lang w:eastAsia="en-GB"/>
        </w:rPr>
        <w:t>PDC</w:t>
      </w:r>
      <w:commentRangeEnd w:id="87"/>
      <w:r w:rsidR="00400C8C">
        <w:rPr>
          <w:rStyle w:val="CommentReference"/>
        </w:rPr>
        <w:commentReference w:id="87"/>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88"/>
      <w:r w:rsidRPr="00B70C78">
        <w:rPr>
          <w:rFonts w:ascii="Arial" w:eastAsia="MS Mincho" w:hAnsi="Arial"/>
          <w:szCs w:val="24"/>
          <w:highlight w:val="green"/>
          <w:lang w:eastAsia="en-GB"/>
        </w:rPr>
        <w:t xml:space="preserve">  </w:t>
      </w:r>
      <w:commentRangeEnd w:id="88"/>
      <w:r w:rsidR="003413FE">
        <w:rPr>
          <w:rStyle w:val="CommentReference"/>
        </w:rPr>
        <w:commentReference w:id="88"/>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Samsung_115" w:date="2021-10-07T16:56:00Z" w:initials="S115">
    <w:p w14:paraId="7E56505A" w14:textId="07E3D389" w:rsidR="002558B6" w:rsidRDefault="002558B6">
      <w:pPr>
        <w:pStyle w:val="CommentText"/>
      </w:pPr>
      <w:r>
        <w:rPr>
          <w:rStyle w:val="CommentReference"/>
        </w:rPr>
        <w:annotationRef/>
      </w:r>
      <w:r>
        <w:t>Reflected in 5.4.1 and 5.4.4</w:t>
      </w:r>
    </w:p>
  </w:comment>
  <w:comment w:id="86" w:author="Samsung_115" w:date="2021-10-07T16:56:00Z" w:initials="S115">
    <w:p w14:paraId="2128F7E0" w14:textId="12C99582" w:rsidR="00CD3F43" w:rsidRDefault="00CD3F43">
      <w:pPr>
        <w:pStyle w:val="CommentText"/>
      </w:pPr>
      <w:r>
        <w:rPr>
          <w:rStyle w:val="CommentReference"/>
        </w:rPr>
        <w:annotationRef/>
      </w:r>
      <w:r>
        <w:rPr>
          <w:rStyle w:val="CommentReference"/>
        </w:rPr>
        <w:annotationRef/>
      </w:r>
      <w:r>
        <w:t>IntraCG</w:t>
      </w:r>
      <w:r w:rsidR="00643BAA">
        <w:t>-</w:t>
      </w:r>
      <w:r>
        <w:t>Prioritization in 5.4.1</w:t>
      </w:r>
    </w:p>
  </w:comment>
  <w:comment w:id="87" w:author="Samsung_115" w:date="2021-10-07T16:55:00Z" w:initials="S115">
    <w:p w14:paraId="363AF034" w14:textId="620E78D6" w:rsidR="00400C8C" w:rsidRDefault="00400C8C">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88" w:author="Samsung_115" w:date="2021-10-07T16:54:00Z" w:initials="S115">
    <w:p w14:paraId="3B344AEF" w14:textId="05DB6CCE" w:rsidR="003413FE" w:rsidRDefault="003413FE">
      <w:pPr>
        <w:pStyle w:val="CommentText"/>
      </w:pPr>
      <w:r>
        <w:rPr>
          <w:rStyle w:val="CommentReference"/>
        </w:rPr>
        <w:annotationRef/>
      </w:r>
      <w:r>
        <w:t>IntraCG</w:t>
      </w:r>
      <w:r w:rsidR="00643BAA">
        <w:t>-</w:t>
      </w:r>
      <w:r>
        <w:t>Prioritization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6505A" w15:done="0"/>
  <w15:commentEx w15:paraId="2128F7E0" w15:done="0"/>
  <w15:commentEx w15:paraId="363AF034" w15:done="0"/>
  <w15:commentEx w15:paraId="3B344A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5869" w14:textId="77777777" w:rsidR="00CD211E" w:rsidRDefault="00CD211E">
      <w:r>
        <w:separator/>
      </w:r>
    </w:p>
  </w:endnote>
  <w:endnote w:type="continuationSeparator" w:id="0">
    <w:p w14:paraId="7AD87C50" w14:textId="77777777" w:rsidR="00CD211E" w:rsidRDefault="00CD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EFE3" w14:textId="77777777" w:rsidR="00CD211E" w:rsidRDefault="00CD211E">
      <w:r>
        <w:separator/>
      </w:r>
    </w:p>
  </w:footnote>
  <w:footnote w:type="continuationSeparator" w:id="0">
    <w:p w14:paraId="03A4EB01" w14:textId="77777777" w:rsidR="00CD211E" w:rsidRDefault="00CD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675"/>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92185-DD73-4EE7-9DFC-B409D32DA336}">
  <ds:schemaRefs>
    <ds:schemaRef ds:uri="http://schemas.openxmlformats.org/officeDocument/2006/bibliography"/>
  </ds:schemaRefs>
</ds:datastoreItem>
</file>

<file path=customXml/itemProps2.xml><?xml version="1.0" encoding="utf-8"?>
<ds:datastoreItem xmlns:ds="http://schemas.openxmlformats.org/officeDocument/2006/customXml" ds:itemID="{AA8484D1-7C0D-4FC3-8742-779CDB3B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16</Pages>
  <Words>7167</Words>
  <Characters>40858</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Samsung_115</cp:lastModifiedBy>
  <cp:revision>139</cp:revision>
  <dcterms:created xsi:type="dcterms:W3CDTF">2021-10-01T01:14:00Z</dcterms:created>
  <dcterms:modified xsi:type="dcterms:W3CDTF">2021-10-21T12:02:00Z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