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eastAsia="宋体" w:cs="Times New Roman"/>
          <w:b/>
          <w:bCs/>
          <w:sz w:val="24"/>
          <w:lang w:eastAsia="zh-CN"/>
        </w:rPr>
      </w:pP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r>
      <w:r>
        <w:rPr>
          <w:rFonts w:ascii="Times New Roman" w:hAnsi="Times New Roman" w:cs="Times New Roman"/>
          <w:b/>
          <w:bCs/>
          <w:sz w:val="24"/>
        </w:rPr>
        <w:t xml:space="preserve">                   R2-210xxxx</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p>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22"/>
        <w:tabs>
          <w:tab w:val="left" w:pos="360"/>
          <w:tab w:val="clear" w:pos="1619"/>
        </w:tabs>
        <w:ind w:left="360"/>
      </w:pPr>
      <w:r>
        <w:t>[Post115-e][244][Slicing] Resolving FFSs for solution 4 (Lenovo)</w:t>
      </w:r>
    </w:p>
    <w:p>
      <w:pPr>
        <w:pStyle w:val="19"/>
        <w:ind w:left="360" w:firstLine="0"/>
      </w:pPr>
      <w:r>
        <w:t>Scope: Attempt to resolve solution 4 FFSs, including understanding if there are any impacts to RAN4 requirements. Can draft LS to RAN4 in case any potential impacts are identified.</w:t>
      </w:r>
    </w:p>
    <w:p>
      <w:pPr>
        <w:pStyle w:val="19"/>
        <w:ind w:left="723"/>
      </w:pPr>
      <w:r>
        <w:t>Intended outcome: report + draft LS to RAN4 (if needed)</w:t>
      </w:r>
    </w:p>
    <w:p>
      <w:pPr>
        <w:pStyle w:val="19"/>
        <w:ind w:left="723"/>
      </w:pPr>
      <w:r>
        <w:t>Deadline:  Long</w:t>
      </w:r>
    </w:p>
    <w:p>
      <w:pPr>
        <w:rPr>
          <w:lang w:val="en-GB"/>
        </w:rPr>
      </w:pPr>
    </w:p>
    <w:p>
      <w:r>
        <w:t>Following are the relevant agreements from the RAN2#115e:</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Agreements</w:t>
      </w:r>
    </w:p>
    <w:p>
      <w:pPr>
        <w:pStyle w:val="21"/>
        <w:pBdr>
          <w:top w:val="single" w:color="auto" w:sz="4" w:space="1"/>
          <w:left w:val="single" w:color="auto" w:sz="4" w:space="31"/>
          <w:bottom w:val="single" w:color="auto" w:sz="4" w:space="1"/>
          <w:right w:val="single" w:color="auto" w:sz="4" w:space="1"/>
        </w:pBdr>
        <w:tabs>
          <w:tab w:val="left" w:pos="1080"/>
          <w:tab w:val="clear" w:pos="1619"/>
        </w:tabs>
        <w:ind w:left="1080"/>
      </w:pPr>
      <w:r>
        <w:t>1: Solution Option 4 is selected for further work i.e., resolve the FFSs, send any required LSs and consequently start to draft specification CRs</w:t>
      </w:r>
    </w:p>
    <w:p>
      <w:pPr>
        <w:pStyle w:val="21"/>
        <w:numPr>
          <w:ilvl w:val="0"/>
          <w:numId w:val="0"/>
        </w:numPr>
        <w:pBdr>
          <w:top w:val="single" w:color="auto" w:sz="4" w:space="1"/>
          <w:left w:val="single" w:color="auto" w:sz="4" w:space="31"/>
          <w:bottom w:val="single" w:color="auto" w:sz="4" w:space="1"/>
          <w:right w:val="single" w:color="auto" w:sz="4" w:space="1"/>
        </w:pBdr>
        <w:tabs>
          <w:tab w:val="clear" w:pos="1619"/>
        </w:tabs>
        <w:ind w:left="720"/>
      </w:pPr>
    </w:p>
    <w:p>
      <w:pPr>
        <w:pStyle w:val="21"/>
        <w:pBdr>
          <w:top w:val="single" w:color="auto" w:sz="4" w:space="1"/>
          <w:left w:val="single" w:color="auto" w:sz="4" w:space="31"/>
          <w:bottom w:val="single" w:color="auto" w:sz="4" w:space="1"/>
          <w:right w:val="single" w:color="auto" w:sz="4" w:space="1"/>
        </w:pBdr>
        <w:tabs>
          <w:tab w:val="left" w:pos="1080"/>
          <w:tab w:val="clear" w:pos="1619"/>
        </w:tabs>
        <w:ind w:left="1080"/>
      </w:pPr>
      <w:r>
        <w:t>2</w:t>
      </w:r>
      <w:r>
        <w:tab/>
      </w:r>
      <w:r>
        <w:t>Following is taken as the baseline for Solution Option 4:</w:t>
      </w:r>
    </w:p>
    <w:p>
      <w:pPr>
        <w:pStyle w:val="21"/>
        <w:numPr>
          <w:ilvl w:val="0"/>
          <w:numId w:val="0"/>
        </w:numPr>
        <w:pBdr>
          <w:top w:val="single" w:color="auto" w:sz="4" w:space="1"/>
          <w:left w:val="single" w:color="auto" w:sz="4" w:space="31"/>
          <w:bottom w:val="single" w:color="auto" w:sz="4" w:space="1"/>
          <w:right w:val="single" w:color="auto" w:sz="4" w:space="1"/>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pPr>
        <w:pStyle w:val="19"/>
        <w:pBdr>
          <w:top w:val="single" w:color="auto" w:sz="4" w:space="1"/>
          <w:left w:val="single" w:color="auto" w:sz="4" w:space="31"/>
          <w:bottom w:val="single" w:color="auto" w:sz="4" w:space="1"/>
          <w:right w:val="single" w:color="auto" w:sz="4" w:space="1"/>
        </w:pBdr>
        <w:ind w:left="1083"/>
      </w:pP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 xml:space="preserve">Step 0: NAS layer at UE provides slice information to AS layer at UE, including slice priorities. </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1: AS sorts slices in priority order starting with highest priority slice.</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2: Select slices in priority order starting with the highest priority slice.</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3: For the selected slice assign priority to frequencies received from network.</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4: Starting with the highest priority frequency, perform measurements (same as legacy).</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 xml:space="preserve">Step 5: If the highest ranked cell is suitable (as defined in 38.304) and supports the selected slice in step 2 then camp on the cell and exit this sequence of operation; </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rPr>
          <w:highlight w:val="yellow"/>
        </w:rPr>
        <w:t>FFS: How the UE determines whether the highest ranked cell supports the selected slice.</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6: If there are remaining frequencies then go back to step 4.</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 xml:space="preserve">Step 7: </w:t>
      </w:r>
      <w:r>
        <w:rPr>
          <w:highlight w:val="yellow"/>
        </w:rPr>
        <w:t>FFS: If the end of the slice list has not been reached go back to step 2.</w:t>
      </w:r>
    </w:p>
    <w:p>
      <w:pPr>
        <w:pStyle w:val="21"/>
        <w:numPr>
          <w:ilvl w:val="0"/>
          <w:numId w:val="0"/>
        </w:numPr>
        <w:pBdr>
          <w:top w:val="single" w:color="auto" w:sz="4" w:space="1"/>
          <w:left w:val="single" w:color="auto" w:sz="4" w:space="31"/>
          <w:bottom w:val="single" w:color="auto" w:sz="4" w:space="1"/>
          <w:right w:val="single" w:color="auto" w:sz="4" w:space="1"/>
        </w:pBdr>
        <w:ind w:left="1080" w:hanging="360"/>
      </w:pPr>
      <w:r>
        <w:t>Step 8: Perform legacy cell reselection.</w:t>
      </w:r>
    </w:p>
    <w:p>
      <w:pPr>
        <w:pStyle w:val="19"/>
        <w:pBdr>
          <w:top w:val="single" w:color="auto" w:sz="4" w:space="1"/>
          <w:left w:val="single" w:color="auto" w:sz="4" w:space="31"/>
          <w:bottom w:val="single" w:color="auto" w:sz="4" w:space="1"/>
          <w:right w:val="single" w:color="auto" w:sz="4" w:space="1"/>
        </w:pBdr>
        <w:ind w:left="1083"/>
        <w:rPr>
          <w:i/>
          <w:iCs/>
        </w:rPr>
      </w:pPr>
    </w:p>
    <w:p>
      <w:pPr>
        <w:rPr>
          <w:lang w:val="en-GB"/>
        </w:rPr>
      </w:pPr>
    </w:p>
    <w:p>
      <w:pPr>
        <w:rPr>
          <w:lang w:val="en-GB"/>
        </w:rPr>
      </w:pPr>
    </w:p>
    <w:p>
      <w:r>
        <w:t>Following are the relevant agreements from the RAN2#114e: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1"/>
              <w:ind w:left="360"/>
            </w:pPr>
            <w:r>
              <w:t>1: Frequency priority mapping for each slice (slice -&gt; frequency(ies) -&gt; absolute priority of each of the frequency) is provided to a UE.</w:t>
            </w:r>
          </w:p>
          <w:p>
            <w:pPr>
              <w:pStyle w:val="21"/>
              <w:numPr>
                <w:ilvl w:val="0"/>
                <w:numId w:val="0"/>
              </w:numPr>
              <w:ind w:left="360"/>
            </w:pPr>
            <w:r>
              <w:t>Note: Signaling optimizations are not excluded.</w:t>
            </w:r>
          </w:p>
          <w:p>
            <w:pPr>
              <w:pStyle w:val="21"/>
              <w:numPr>
                <w:ilvl w:val="0"/>
                <w:numId w:val="0"/>
              </w:numPr>
              <w:ind w:left="360"/>
            </w:pPr>
            <w:r>
              <w:t>Note: "slice may also mean "slice group"</w:t>
            </w:r>
          </w:p>
          <w:p>
            <w:pPr>
              <w:pStyle w:val="21"/>
              <w:ind w:left="360"/>
            </w:pPr>
            <w:r>
              <w:t>1b: Frequency priority mapping for each of the slice (slice -&gt; frequency(ies) -&gt; absolute priority of each of the frequency) is part of the “slice info” agreed to be provided to the UE using both broadcast and dedicated signaling.</w:t>
            </w:r>
          </w:p>
          <w:p>
            <w:pPr>
              <w:pStyle w:val="21"/>
              <w:ind w:left="360"/>
            </w:pPr>
            <w:r>
              <w:t>3: RAN2 consider a scenario in its work for slice specific cell (re)selection where it is possible that (Suitable) cells on the same frequency belonging to different TAs support different Slice(s).</w:t>
            </w:r>
          </w:p>
          <w:p>
            <w:pPr>
              <w:pStyle w:val="21"/>
              <w:ind w:left="360"/>
            </w:pPr>
            <w:r>
              <w:t>4: Working assumption: The Best cell principle according to absolute priority reselection criteria specified in clause 5.2.4.5 of TS38.304 needs to be met also for slice specific cell (re)selection.</w:t>
            </w:r>
          </w:p>
        </w:tc>
      </w:tr>
    </w:tbl>
    <w:p/>
    <w:p>
      <w:r>
        <w:t>This email discussion will be carried in 2 phases; currently we are in the second phase:</w:t>
      </w:r>
    </w:p>
    <w:p>
      <w:r>
        <w:t>Phase 1: Understanding company position and shortlisting main options/ issues</w:t>
      </w:r>
    </w:p>
    <w:p>
      <w:r>
        <w:t xml:space="preserve">Phase 2: Resolving the issues, next-step (e.g., RAN4 LS) and converging </w:t>
      </w:r>
    </w:p>
    <w:p>
      <w:pPr>
        <w:rPr>
          <w:rFonts w:eastAsia="宋体" w:cs="Times New Roman" w:asciiTheme="majorHAnsi" w:hAnsiTheme="majorHAnsi"/>
          <w:b/>
          <w:bCs/>
          <w:color w:val="2F5597" w:themeColor="accent1" w:themeShade="BF"/>
          <w:sz w:val="36"/>
          <w:szCs w:val="20"/>
          <w:lang w:val="en-GB" w:eastAsia="en-GB"/>
        </w:rPr>
      </w:pPr>
      <w:r>
        <w:rPr>
          <w:rFonts w:eastAsia="宋体" w:cs="Times New Roman"/>
          <w:b/>
          <w:bCs/>
          <w:sz w:val="36"/>
          <w:szCs w:val="20"/>
          <w:lang w:val="en-GB" w:eastAsia="en-GB"/>
        </w:rPr>
        <w:br w:type="page"/>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Discussion</w:t>
      </w:r>
    </w:p>
    <w:p>
      <w:pPr>
        <w:pStyle w:val="3"/>
        <w:numPr>
          <w:ilvl w:val="1"/>
          <w:numId w:val="3"/>
        </w:numPr>
        <w:tabs>
          <w:tab w:val="left" w:pos="709"/>
        </w:tabs>
      </w:pPr>
      <w:r>
        <w:t>1</w:t>
      </w:r>
      <w:r>
        <w:rPr>
          <w:vertAlign w:val="superscript"/>
        </w:rPr>
        <w:t>st</w:t>
      </w:r>
      <w:r>
        <w:t xml:space="preserve"> FFS: How the UE determines whether the highest ranked cell supports the selected slice?</w:t>
      </w:r>
    </w:p>
    <w:p>
      <w:pPr>
        <w:rPr>
          <w:lang w:eastAsia="en-GB"/>
        </w:rPr>
      </w:pPr>
    </w:p>
    <w:p>
      <w:r>
        <w:t>This email discussion distinguishes two terms:</w:t>
      </w:r>
    </w:p>
    <w:p>
      <w:pPr>
        <w:pStyle w:val="28"/>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pPr>
        <w:pStyle w:val="28"/>
        <w:rPr>
          <w:lang w:val="en-GB"/>
        </w:rPr>
      </w:pPr>
    </w:p>
    <w:p>
      <w:pPr>
        <w:pStyle w:val="28"/>
        <w:numPr>
          <w:ilvl w:val="0"/>
          <w:numId w:val="4"/>
        </w:numPr>
        <w:rPr>
          <w:lang w:val="en-GB"/>
        </w:rPr>
      </w:pPr>
      <w:r>
        <w:t>Slice support: This term is used in this document to signify only the slice(s)/ slice group(s) supported in a particular cell (serving cell or for neighbor cell).</w:t>
      </w:r>
    </w:p>
    <w:p/>
    <w:p>
      <w:r>
        <w:t>Further, in RAN2#114e meeting, the following was also agreed:</w:t>
      </w:r>
    </w:p>
    <w:p>
      <w:pPr>
        <w:pStyle w:val="21"/>
        <w:numPr>
          <w:ilvl w:val="0"/>
          <w:numId w:val="0"/>
        </w:numPr>
        <w:ind w:left="360" w:hanging="360"/>
        <w:rPr>
          <w:i/>
          <w:iCs/>
        </w:rPr>
      </w:pPr>
      <w:r>
        <w:rPr>
          <w:i/>
          <w:iCs/>
        </w:rPr>
        <w:t>“RAN2 consider a scenario in its work for slice specific cell (re)selection where it is possible that</w:t>
      </w:r>
    </w:p>
    <w:p>
      <w:pPr>
        <w:pStyle w:val="21"/>
        <w:numPr>
          <w:ilvl w:val="0"/>
          <w:numId w:val="0"/>
        </w:numPr>
        <w:ind w:left="360" w:hanging="360"/>
        <w:rPr>
          <w:i/>
          <w:iCs/>
        </w:rPr>
      </w:pPr>
      <w:r>
        <w:rPr>
          <w:i/>
          <w:iCs/>
        </w:rPr>
        <w:t>(Suitable) cells on the same frequency belonging to different TAs support different Slice(s).”</w:t>
      </w:r>
    </w:p>
    <w:p>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pPr>
        <w:rPr>
          <w:b/>
          <w:bCs/>
          <w:lang w:val="en-GB" w:eastAsia="en-GB"/>
        </w:rPr>
      </w:pPr>
      <w:r>
        <w:rPr>
          <w:b/>
          <w:bCs/>
          <w:lang w:val="en-GB" w:eastAsia="en-GB"/>
        </w:rPr>
        <w:t>Q1: Do companies prefer that a (serving) cell provides slice support of neighbour cells?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990"/>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Yes/ No</w:t>
            </w:r>
          </w:p>
        </w:tc>
        <w:tc>
          <w:tcPr>
            <w:tcW w:w="6385" w:type="dxa"/>
          </w:tcPr>
          <w:p>
            <w:pPr>
              <w:jc w:val="center"/>
              <w:rPr>
                <w:lang w:val="en-GB" w:eastAsia="en-GB"/>
              </w:rPr>
            </w:pPr>
            <w:r>
              <w:rPr>
                <w:lang w:val="en-GB" w:eastAsia="en-GB"/>
              </w:rPr>
              <w:t>Comments (e.g., feasible/ not-feasible since…)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 xml:space="preserve">Qualcomm </w:t>
            </w:r>
          </w:p>
        </w:tc>
        <w:tc>
          <w:tcPr>
            <w:tcW w:w="990" w:type="dxa"/>
          </w:tcPr>
          <w:p>
            <w:pPr>
              <w:rPr>
                <w:lang w:val="en-GB" w:eastAsia="en-GB"/>
              </w:rPr>
            </w:pPr>
            <w:r>
              <w:rPr>
                <w:lang w:val="en-GB" w:eastAsia="en-GB"/>
              </w:rPr>
              <w:t xml:space="preserve">Yes </w:t>
            </w:r>
          </w:p>
        </w:tc>
        <w:tc>
          <w:tcPr>
            <w:tcW w:w="6385" w:type="dxa"/>
          </w:tcPr>
          <w:p>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Please note that neighbour cells’ cell reselection info have been included in NR SIB3/4/5. We think it is a natural extension for slice availability info of neighbour cell.</w:t>
            </w:r>
          </w:p>
          <w:p>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Xiaomi</w:t>
            </w:r>
          </w:p>
        </w:tc>
        <w:tc>
          <w:tcPr>
            <w:tcW w:w="990" w:type="dxa"/>
          </w:tcPr>
          <w:p>
            <w:pPr>
              <w:rPr>
                <w:rFonts w:hint="default" w:eastAsia="宋体"/>
                <w:lang w:val="en-US" w:eastAsia="zh-CN"/>
              </w:rPr>
            </w:pPr>
            <w:r>
              <w:rPr>
                <w:rFonts w:hint="eastAsia" w:eastAsia="宋体"/>
                <w:lang w:val="en-US" w:eastAsia="zh-CN"/>
              </w:rPr>
              <w:t>Yes</w:t>
            </w:r>
          </w:p>
        </w:tc>
        <w:tc>
          <w:tcPr>
            <w:tcW w:w="6385" w:type="dxa"/>
          </w:tcPr>
          <w:p>
            <w:pPr>
              <w:rPr>
                <w:rFonts w:hint="eastAsia" w:eastAsia="宋体"/>
                <w:lang w:val="en-US" w:eastAsia="zh-CN"/>
              </w:rPr>
            </w:pPr>
            <w:r>
              <w:rPr>
                <w:rFonts w:hint="eastAsia" w:eastAsia="宋体"/>
                <w:lang w:val="en-US"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hint="default" w:eastAsia="宋体"/>
                <w:lang w:val="en-US" w:eastAsia="zh-CN"/>
              </w:rPr>
              <w:t>’</w:t>
            </w:r>
            <w:r>
              <w:rPr>
                <w:rFonts w:hint="eastAsia" w:eastAsia="宋体"/>
                <w:lang w:val="en-US" w:eastAsia="zh-CN"/>
              </w:rPr>
              <w:t>s slice support in SIB of serving cell.</w:t>
            </w:r>
          </w:p>
          <w:p>
            <w:pPr>
              <w:rPr>
                <w:rFonts w:hint="default" w:eastAsia="宋体"/>
                <w:lang w:val="en-US" w:eastAsia="zh-CN"/>
              </w:rPr>
            </w:pPr>
            <w:r>
              <w:rPr>
                <w:rFonts w:hint="eastAsia" w:eastAsia="宋体"/>
                <w:lang w:val="en-US"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hint="eastAsia" w:eastAsia="宋体"/>
                <w:lang w:val="en-US" w:eastAsia="zh-CN"/>
              </w:rPr>
              <w:t xml:space="preserve"> needs to be broadcast.</w:t>
            </w:r>
          </w:p>
        </w:tc>
      </w:tr>
    </w:tbl>
    <w:p>
      <w:pPr>
        <w:rPr>
          <w:lang w:val="en-GB" w:eastAsia="en-GB"/>
        </w:rPr>
      </w:pPr>
    </w:p>
    <w:p>
      <w:pPr>
        <w:rPr>
          <w:lang w:val="en-GB" w:eastAsia="en-GB"/>
        </w:rPr>
      </w:pPr>
    </w:p>
    <w:p>
      <w:pPr>
        <w:rPr>
          <w:lang w:val="en-GB" w:eastAsia="en-GB"/>
        </w:rPr>
      </w:pPr>
      <w:r>
        <w:rPr>
          <w:lang w:val="en-GB" w:eastAsia="en-GB"/>
        </w:rPr>
        <w:t>Based on the above discussion, and irrespective of your answer to Q1, we can possibly have following solutions:</w:t>
      </w:r>
    </w:p>
    <w:p>
      <w:pPr>
        <w:rPr>
          <w:color w:val="000000"/>
          <w:u w:val="single"/>
        </w:rPr>
      </w:pPr>
      <w:r>
        <w:rPr>
          <w:color w:val="000000"/>
          <w:u w:val="single"/>
        </w:rPr>
        <w:t xml:space="preserve">Option A: Serving cell broadcast slice support of neighbor cells </w:t>
      </w:r>
    </w:p>
    <w:p>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pPr>
        <w:rPr>
          <w:color w:val="000000"/>
          <w:u w:val="single"/>
        </w:rPr>
      </w:pPr>
    </w:p>
    <w:p>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50"/>
          <w:color w:val="000000"/>
        </w:rPr>
        <w:t xml:space="preserve"> But in future releases if the </w:t>
      </w:r>
      <w:r>
        <w:rPr>
          <w:color w:val="000000"/>
        </w:rPr>
        <w:t>homogeneous slice support principle is changed, this may become a problem.</w:t>
      </w:r>
    </w:p>
    <w:p>
      <w:pPr>
        <w:rPr>
          <w:color w:val="000000"/>
        </w:rPr>
      </w:pPr>
    </w:p>
    <w:p>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pPr>
        <w:rPr>
          <w:u w:val="single"/>
          <w:lang w:val="en-GB" w:eastAsia="en-GB"/>
        </w:rPr>
      </w:pPr>
    </w:p>
    <w:p>
      <w:pPr>
        <w:rPr>
          <w:u w:val="single"/>
          <w:lang w:val="en-GB" w:eastAsia="en-GB"/>
        </w:rPr>
      </w:pPr>
      <w:r>
        <w:rPr>
          <w:u w:val="single"/>
          <w:lang w:val="en-GB" w:eastAsia="en-GB"/>
        </w:rPr>
        <w:t>Option D: Any other options??</w:t>
      </w:r>
    </w:p>
    <w:p>
      <w:pPr>
        <w:rPr>
          <w:u w:val="single"/>
          <w:lang w:val="en-GB" w:eastAsia="en-GB"/>
        </w:rPr>
      </w:pPr>
    </w:p>
    <w:p>
      <w:pPr>
        <w:rPr>
          <w:b/>
          <w:bCs/>
          <w:lang w:val="en-GB" w:eastAsia="en-GB"/>
        </w:rPr>
      </w:pPr>
      <w:r>
        <w:rPr>
          <w:b/>
          <w:bCs/>
        </w:rPr>
        <w:t xml:space="preserve">Q2: </w:t>
      </w:r>
      <w:r>
        <w:rPr>
          <w:b/>
          <w:bCs/>
          <w:color w:val="000000"/>
        </w:rPr>
        <w:t>Which option do you prefer to acquire the slice support of a neighbor cell?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62"/>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Option</w:t>
            </w:r>
          </w:p>
        </w:tc>
        <w:tc>
          <w:tcPr>
            <w:tcW w:w="6385" w:type="dxa"/>
          </w:tcPr>
          <w:p>
            <w:pPr>
              <w:jc w:val="center"/>
              <w:rPr>
                <w:lang w:val="en-GB" w:eastAsia="en-GB"/>
              </w:rPr>
            </w:pPr>
            <w:r>
              <w:rPr>
                <w:lang w:val="en-GB" w:eastAsia="en-GB"/>
              </w:rPr>
              <w:t>Comments (benefits/ shortcoming of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 xml:space="preserve">Qualcomm </w:t>
            </w:r>
          </w:p>
        </w:tc>
        <w:tc>
          <w:tcPr>
            <w:tcW w:w="990" w:type="dxa"/>
          </w:tcPr>
          <w:p>
            <w:pPr>
              <w:rPr>
                <w:lang w:val="en-GB" w:eastAsia="en-GB"/>
              </w:rPr>
            </w:pPr>
            <w:r>
              <w:rPr>
                <w:lang w:val="en-GB" w:eastAsia="en-GB"/>
              </w:rPr>
              <w:t>Option A with comments</w:t>
            </w:r>
          </w:p>
        </w:tc>
        <w:tc>
          <w:tcPr>
            <w:tcW w:w="6385" w:type="dxa"/>
          </w:tcPr>
          <w:p>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pPr>
              <w:rPr>
                <w:lang w:val="en-GB" w:eastAsia="en-GB"/>
              </w:rPr>
            </w:pPr>
            <w:r>
              <w:rPr>
                <w:lang w:val="en-GB" w:eastAsia="en-GB"/>
              </w:rPr>
              <w:t xml:space="preserve">In addition, as we mentioned in Q1, we think Option A can be modified to also include serving cell’s own slice support info. For example, below change: </w:t>
            </w:r>
          </w:p>
          <w:p>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pPr>
              <w:rPr>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 xml:space="preserve">Xiaomi </w:t>
            </w:r>
          </w:p>
        </w:tc>
        <w:tc>
          <w:tcPr>
            <w:tcW w:w="990" w:type="dxa"/>
          </w:tcPr>
          <w:p>
            <w:pPr>
              <w:rPr>
                <w:rFonts w:hint="default" w:eastAsia="宋体"/>
                <w:lang w:val="en-US" w:eastAsia="zh-CN"/>
              </w:rPr>
            </w:pPr>
            <w:r>
              <w:rPr>
                <w:rFonts w:hint="eastAsia" w:eastAsia="宋体"/>
                <w:lang w:val="en-US" w:eastAsia="zh-CN"/>
              </w:rPr>
              <w:t>Option A</w:t>
            </w:r>
          </w:p>
        </w:tc>
        <w:tc>
          <w:tcPr>
            <w:tcW w:w="6385" w:type="dxa"/>
          </w:tcPr>
          <w:p>
            <w:pPr>
              <w:rPr>
                <w:rFonts w:hint="default" w:eastAsia="宋体"/>
                <w:lang w:val="en-US" w:eastAsia="zh-CN"/>
              </w:rPr>
            </w:pPr>
            <w:r>
              <w:rPr>
                <w:rFonts w:hint="eastAsia" w:eastAsia="宋体"/>
                <w:lang w:val="en-US" w:eastAsia="zh-CN"/>
              </w:rPr>
              <w:t>We share the same view with QC and think QC</w:t>
            </w:r>
            <w:r>
              <w:rPr>
                <w:rFonts w:hint="default" w:eastAsia="宋体"/>
                <w:lang w:val="en-US" w:eastAsia="zh-CN"/>
              </w:rPr>
              <w:t>’</w:t>
            </w:r>
            <w:r>
              <w:rPr>
                <w:rFonts w:hint="eastAsia" w:eastAsia="宋体"/>
                <w:lang w:val="en-US" w:eastAsia="zh-CN"/>
              </w:rPr>
              <w:t>s modification is necessary to make it clear that the serving cell also needs to broadcast its own supported slices.</w:t>
            </w:r>
          </w:p>
        </w:tc>
      </w:tr>
    </w:tbl>
    <w:p>
      <w:pPr>
        <w:rPr>
          <w:color w:val="000000"/>
        </w:rPr>
      </w:pPr>
    </w:p>
    <w:p>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990"/>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SIB#</w:t>
            </w:r>
          </w:p>
        </w:tc>
        <w:tc>
          <w:tcPr>
            <w:tcW w:w="638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 xml:space="preserve">Qualcomm </w:t>
            </w:r>
          </w:p>
        </w:tc>
        <w:tc>
          <w:tcPr>
            <w:tcW w:w="990" w:type="dxa"/>
          </w:tcPr>
          <w:p>
            <w:pPr>
              <w:rPr>
                <w:lang w:val="en-GB" w:eastAsia="en-GB"/>
              </w:rPr>
            </w:pPr>
            <w:r>
              <w:rPr>
                <w:lang w:val="en-GB" w:eastAsia="en-GB"/>
              </w:rPr>
              <w:t>New SIB</w:t>
            </w:r>
          </w:p>
        </w:tc>
        <w:tc>
          <w:tcPr>
            <w:tcW w:w="6385" w:type="dxa"/>
          </w:tcPr>
          <w:p>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Xiaomi</w:t>
            </w:r>
            <w:bookmarkStart w:id="6" w:name="_GoBack"/>
            <w:bookmarkEnd w:id="6"/>
          </w:p>
        </w:tc>
        <w:tc>
          <w:tcPr>
            <w:tcW w:w="990" w:type="dxa"/>
          </w:tcPr>
          <w:p>
            <w:pPr>
              <w:rPr>
                <w:rFonts w:hint="default" w:eastAsia="宋体"/>
                <w:lang w:val="en-US" w:eastAsia="zh-CN"/>
              </w:rPr>
            </w:pPr>
            <w:r>
              <w:rPr>
                <w:rFonts w:hint="eastAsia" w:eastAsia="宋体"/>
                <w:lang w:val="en-US" w:eastAsia="zh-CN"/>
              </w:rPr>
              <w:t>SIB3/4</w:t>
            </w:r>
          </w:p>
        </w:tc>
        <w:tc>
          <w:tcPr>
            <w:tcW w:w="6385" w:type="dxa"/>
          </w:tcPr>
          <w:p>
            <w:pPr>
              <w:rPr>
                <w:rFonts w:hint="default" w:eastAsia="宋体"/>
                <w:iCs/>
                <w:lang w:val="en-US" w:eastAsia="zh-CN"/>
              </w:rPr>
            </w:pPr>
            <w:r>
              <w:rPr>
                <w:rFonts w:hint="eastAsia" w:eastAsia="宋体"/>
                <w:lang w:val="en-US" w:eastAsia="zh-CN"/>
              </w:rPr>
              <w:t xml:space="preserve">As in the current spec, the cell reselection info of intra-frequency </w:t>
            </w:r>
            <w:r>
              <w:rPr>
                <w:rFonts w:hint="eastAsia" w:eastAsia="宋体"/>
                <w:iCs/>
                <w:lang w:val="en-US"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pPr>
              <w:rPr>
                <w:rFonts w:hint="eastAsia" w:eastAsia="宋体"/>
                <w:iCs/>
                <w:lang w:val="en-US" w:eastAsia="zh-CN"/>
              </w:rPr>
            </w:pPr>
            <w:r>
              <w:rPr>
                <w:rFonts w:hint="eastAsia" w:eastAsia="宋体"/>
                <w:iCs/>
                <w:lang w:val="en-US" w:eastAsia="zh-CN"/>
              </w:rPr>
              <w:t>Considering slice is only supported in NR frequencies, we think there is no need to include the slice info in SIB5 which carries the reselection info of LTE frequencies.</w:t>
            </w:r>
          </w:p>
          <w:p>
            <w:pPr>
              <w:rPr>
                <w:rFonts w:hint="default" w:eastAsia="宋体"/>
                <w:iCs/>
                <w:lang w:val="en-US" w:eastAsia="zh-CN"/>
              </w:rPr>
            </w:pPr>
            <w:r>
              <w:rPr>
                <w:rFonts w:hint="eastAsia" w:eastAsia="宋体"/>
                <w:iCs/>
                <w:lang w:val="en-US" w:eastAsia="zh-CN"/>
              </w:rPr>
              <w:t>For the payload size concern as QC mentioned, as RAN2 has raised slice group mechanism to resolve this issue, we think it is not a issue to include slice info in SIB3/4.</w:t>
            </w:r>
          </w:p>
        </w:tc>
      </w:tr>
    </w:tbl>
    <w:p>
      <w:pPr>
        <w:rPr>
          <w:u w:val="single"/>
          <w:lang w:val="en-GB" w:eastAsia="en-GB"/>
        </w:rPr>
      </w:pPr>
    </w:p>
    <w:p>
      <w:pPr>
        <w:rPr>
          <w:color w:val="000000"/>
        </w:rPr>
      </w:pPr>
    </w:p>
    <w:p>
      <w:pPr>
        <w:rPr>
          <w:b/>
          <w:bCs/>
          <w:lang w:val="en-GB" w:eastAsia="en-GB"/>
        </w:rPr>
      </w:pPr>
      <w:r>
        <w:rPr>
          <w:b/>
          <w:bCs/>
        </w:rPr>
        <w:t xml:space="preserve">Q4: </w:t>
      </w:r>
      <w:r>
        <w:rPr>
          <w:b/>
          <w:bCs/>
          <w:color w:val="000000"/>
        </w:rPr>
        <w:t>Which SIB broadcasts slice support of a serving cell?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990"/>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SIB#</w:t>
            </w:r>
          </w:p>
        </w:tc>
        <w:tc>
          <w:tcPr>
            <w:tcW w:w="638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 xml:space="preserve">Qualcomm </w:t>
            </w:r>
          </w:p>
        </w:tc>
        <w:tc>
          <w:tcPr>
            <w:tcW w:w="990" w:type="dxa"/>
          </w:tcPr>
          <w:p>
            <w:pPr>
              <w:rPr>
                <w:lang w:val="en-GB" w:eastAsia="en-GB"/>
              </w:rPr>
            </w:pPr>
            <w:r>
              <w:rPr>
                <w:lang w:val="en-GB" w:eastAsia="en-GB"/>
              </w:rPr>
              <w:t>New SIB</w:t>
            </w:r>
          </w:p>
        </w:tc>
        <w:tc>
          <w:tcPr>
            <w:tcW w:w="6385" w:type="dxa"/>
          </w:tcPr>
          <w:p>
            <w:pPr>
              <w:rPr>
                <w:lang w:val="en-GB" w:eastAsia="en-GB"/>
              </w:rPr>
            </w:pPr>
            <w:r>
              <w:rPr>
                <w:lang w:val="en-GB" w:eastAsia="en-GB"/>
              </w:rPr>
              <w:t xml:space="preserve">We prefer to put the slice support info for neighbour and serving cells in the same new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Xiaomi</w:t>
            </w:r>
          </w:p>
        </w:tc>
        <w:tc>
          <w:tcPr>
            <w:tcW w:w="990" w:type="dxa"/>
          </w:tcPr>
          <w:p>
            <w:pPr>
              <w:rPr>
                <w:rFonts w:hint="default" w:eastAsia="宋体"/>
                <w:lang w:val="en-US" w:eastAsia="zh-CN"/>
              </w:rPr>
            </w:pPr>
            <w:r>
              <w:rPr>
                <w:rFonts w:hint="eastAsia" w:eastAsia="宋体"/>
                <w:lang w:val="en-US" w:eastAsia="zh-CN"/>
              </w:rPr>
              <w:t>SIB2</w:t>
            </w:r>
          </w:p>
        </w:tc>
        <w:tc>
          <w:tcPr>
            <w:tcW w:w="6385" w:type="dxa"/>
          </w:tcPr>
          <w:p>
            <w:pPr>
              <w:rPr>
                <w:rFonts w:hint="default" w:eastAsia="宋体"/>
                <w:lang w:val="en-US" w:eastAsia="zh-CN"/>
              </w:rPr>
            </w:pPr>
            <w:r>
              <w:rPr>
                <w:rFonts w:hint="eastAsia" w:eastAsia="宋体"/>
                <w:lang w:val="en-US" w:eastAsia="zh-CN"/>
              </w:rPr>
              <w:t>Similar to our comments on Q3, for the supported slice info of serving cell, SIB2 which carries cell reselection info of serving cell in normal cell reselection should be considered firstly to avoid extra SIBs acquiring.</w:t>
            </w:r>
          </w:p>
        </w:tc>
      </w:tr>
    </w:tbl>
    <w:p>
      <w:pPr>
        <w:rPr>
          <w:color w:val="000000"/>
        </w:rPr>
      </w:pPr>
    </w:p>
    <w:p>
      <w:pPr>
        <w:pStyle w:val="3"/>
        <w:numPr>
          <w:ilvl w:val="1"/>
          <w:numId w:val="3"/>
        </w:numPr>
        <w:tabs>
          <w:tab w:val="left" w:pos="709"/>
        </w:tabs>
      </w:pPr>
      <w:r>
        <w:t>2</w:t>
      </w:r>
      <w:r>
        <w:rPr>
          <w:vertAlign w:val="superscript"/>
        </w:rPr>
        <w:t>nd</w:t>
      </w:r>
      <w:r>
        <w:t xml:space="preserve"> FFS: If the end of the slice list has not been reached go back to step 2?</w:t>
      </w:r>
    </w:p>
    <w:p/>
    <w:p>
      <w:pPr>
        <w:rPr>
          <w:color w:val="000000"/>
        </w:rPr>
      </w:pPr>
      <w:r>
        <w:rPr>
          <w:color w:val="000000"/>
        </w:rPr>
        <w:t>This FFS intends to keep or remove the step 7 completely.</w:t>
      </w:r>
    </w:p>
    <w:p>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990"/>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Yes/ No</w:t>
            </w:r>
          </w:p>
        </w:tc>
        <w:tc>
          <w:tcPr>
            <w:tcW w:w="638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Qualcomm</w:t>
            </w:r>
          </w:p>
        </w:tc>
        <w:tc>
          <w:tcPr>
            <w:tcW w:w="990" w:type="dxa"/>
          </w:tcPr>
          <w:p>
            <w:pPr>
              <w:rPr>
                <w:lang w:val="en-GB" w:eastAsia="en-GB"/>
              </w:rPr>
            </w:pPr>
            <w:r>
              <w:rPr>
                <w:lang w:val="en-GB" w:eastAsia="en-GB"/>
              </w:rPr>
              <w:t>No</w:t>
            </w:r>
          </w:p>
        </w:tc>
        <w:tc>
          <w:tcPr>
            <w:tcW w:w="6385" w:type="dxa"/>
          </w:tcPr>
          <w:p>
            <w:pPr>
              <w:pStyle w:val="28"/>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pPr>
              <w:pStyle w:val="28"/>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pPr>
              <w:pStyle w:val="28"/>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pPr>
              <w:pStyle w:val="28"/>
              <w:numPr>
                <w:ilvl w:val="0"/>
                <w:numId w:val="5"/>
              </w:numPr>
              <w:rPr>
                <w:lang w:val="en-GB" w:eastAsia="en-GB"/>
              </w:rPr>
            </w:pPr>
            <w:r>
              <w:t xml:space="preserve">We don’t agree with Rapporteur that </w:t>
            </w:r>
            <w:bookmarkStart w:id="5" w:name="OLE_LINK2"/>
            <w:r>
              <w:t>measurement can be always reused in next iteration</w:t>
            </w:r>
            <w:bookmarkEnd w:id="5"/>
            <w:r>
              <w:t xml:space="preserve">. Please note that existing IDLE inter-frequency measurements depends on frequency priority of serving cell and target cell: </w:t>
            </w:r>
          </w:p>
          <w:p>
            <w:pPr>
              <w:pStyle w:val="28"/>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pPr>
              <w:pStyle w:val="28"/>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pPr>
              <w:pStyle w:val="28"/>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Xiaomi</w:t>
            </w:r>
          </w:p>
        </w:tc>
        <w:tc>
          <w:tcPr>
            <w:tcW w:w="990" w:type="dxa"/>
          </w:tcPr>
          <w:p>
            <w:pPr>
              <w:rPr>
                <w:rFonts w:hint="default" w:eastAsia="宋体"/>
                <w:lang w:val="en-US" w:eastAsia="zh-CN"/>
              </w:rPr>
            </w:pPr>
            <w:r>
              <w:rPr>
                <w:rFonts w:hint="eastAsia" w:eastAsia="宋体"/>
                <w:lang w:val="en-US" w:eastAsia="zh-CN"/>
              </w:rPr>
              <w:t>Yes</w:t>
            </w:r>
          </w:p>
        </w:tc>
        <w:tc>
          <w:tcPr>
            <w:tcW w:w="6385" w:type="dxa"/>
          </w:tcPr>
          <w:p>
            <w:pPr>
              <w:rPr>
                <w:rFonts w:hint="eastAsia"/>
                <w:lang w:val="en-GB" w:eastAsia="en-GB"/>
              </w:rPr>
            </w:pPr>
            <w:r>
              <w:rPr>
                <w:rFonts w:hint="eastAsia"/>
                <w:lang w:val="en-GB" w:eastAsia="en-GB"/>
              </w:rPr>
              <w:t>It is reasonable for UE to find a cell supporting at least one of its intended slices rather than directly fallback to find a cell may not supporting any slice</w:t>
            </w:r>
          </w:p>
          <w:p>
            <w:pPr>
              <w:rPr>
                <w:rFonts w:hint="eastAsia"/>
                <w:lang w:val="en-GB" w:eastAsia="en-GB"/>
              </w:rPr>
            </w:pPr>
            <w:r>
              <w:rPr>
                <w:rFonts w:hint="eastAsia"/>
                <w:lang w:val="en-GB" w:eastAsia="en-GB"/>
              </w:rPr>
              <w:t>Many companies have concerns on long latency and power consumption if it is kept.</w:t>
            </w:r>
          </w:p>
          <w:p>
            <w:pPr>
              <w:rPr>
                <w:rFonts w:hint="eastAsia"/>
                <w:lang w:val="en-GB" w:eastAsia="en-GB"/>
              </w:rPr>
            </w:pPr>
            <w:r>
              <w:rPr>
                <w:rFonts w:hint="eastAsia"/>
                <w:lang w:val="en-GB" w:eastAsia="en-GB"/>
              </w:rPr>
              <w:t>A)The latency is not very critical issue for idle/inactive UE.</w:t>
            </w:r>
          </w:p>
          <w:p>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bl>
    <w:p>
      <w:pPr>
        <w:rPr>
          <w:b/>
          <w:bCs/>
          <w:lang w:val="en-GB" w:eastAsia="en-GB"/>
        </w:rPr>
      </w:pPr>
    </w:p>
    <w:p>
      <w:pPr>
        <w:rPr>
          <w:b/>
          <w:bCs/>
          <w:lang w:val="en-GB"/>
        </w:rPr>
      </w:pPr>
    </w:p>
    <w:p>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62"/>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lang w:val="en-GB" w:eastAsia="en-GB"/>
              </w:rPr>
            </w:pPr>
            <w:r>
              <w:rPr>
                <w:lang w:val="en-GB" w:eastAsia="en-GB"/>
              </w:rPr>
              <w:t>Company Name</w:t>
            </w:r>
          </w:p>
        </w:tc>
        <w:tc>
          <w:tcPr>
            <w:tcW w:w="990" w:type="dxa"/>
          </w:tcPr>
          <w:p>
            <w:pPr>
              <w:jc w:val="center"/>
              <w:rPr>
                <w:lang w:val="en-GB" w:eastAsia="en-GB"/>
              </w:rPr>
            </w:pPr>
            <w:r>
              <w:rPr>
                <w:lang w:val="en-GB" w:eastAsia="en-GB"/>
              </w:rPr>
              <w:t>Yes/ No</w:t>
            </w:r>
          </w:p>
        </w:tc>
        <w:tc>
          <w:tcPr>
            <w:tcW w:w="638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lang w:val="en-GB" w:eastAsia="en-GB"/>
              </w:rPr>
            </w:pPr>
            <w:r>
              <w:rPr>
                <w:lang w:val="en-GB" w:eastAsia="en-GB"/>
              </w:rPr>
              <w:t>Qualcomm</w:t>
            </w:r>
          </w:p>
        </w:tc>
        <w:tc>
          <w:tcPr>
            <w:tcW w:w="990" w:type="dxa"/>
          </w:tcPr>
          <w:p>
            <w:pPr>
              <w:rPr>
                <w:lang w:val="en-GB" w:eastAsia="en-GB"/>
              </w:rPr>
            </w:pPr>
            <w:r>
              <w:rPr>
                <w:lang w:val="en-GB" w:eastAsia="en-GB"/>
              </w:rPr>
              <w:t>No</w:t>
            </w:r>
          </w:p>
        </w:tc>
        <w:tc>
          <w:tcPr>
            <w:tcW w:w="6385" w:type="dxa"/>
          </w:tcPr>
          <w:p>
            <w:pPr>
              <w:rPr>
                <w:lang w:val="en-GB" w:eastAsia="en-GB"/>
              </w:rPr>
            </w:pPr>
            <w:r>
              <w:rPr>
                <w:lang w:val="en-GB" w:eastAsia="en-GB"/>
              </w:rPr>
              <w:t>We don’t think RAN2 can well formulate the question to RAN4 at this stage:</w:t>
            </w:r>
          </w:p>
          <w:p>
            <w:pPr>
              <w:pStyle w:val="28"/>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pPr>
              <w:pStyle w:val="28"/>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lang w:val="en-US" w:eastAsia="zh-CN"/>
              </w:rPr>
            </w:pPr>
            <w:r>
              <w:rPr>
                <w:rFonts w:hint="eastAsia" w:eastAsia="宋体"/>
                <w:lang w:val="en-US" w:eastAsia="zh-CN"/>
              </w:rPr>
              <w:t>Xiaomi</w:t>
            </w:r>
          </w:p>
        </w:tc>
        <w:tc>
          <w:tcPr>
            <w:tcW w:w="990" w:type="dxa"/>
          </w:tcPr>
          <w:p>
            <w:pPr>
              <w:rPr>
                <w:rFonts w:hint="default" w:eastAsia="宋体"/>
                <w:lang w:val="en-US" w:eastAsia="zh-CN"/>
              </w:rPr>
            </w:pPr>
            <w:r>
              <w:rPr>
                <w:rFonts w:hint="eastAsia" w:eastAsia="宋体"/>
                <w:lang w:val="en-US" w:eastAsia="zh-CN"/>
              </w:rPr>
              <w:t>See the comments</w:t>
            </w:r>
          </w:p>
        </w:tc>
        <w:tc>
          <w:tcPr>
            <w:tcW w:w="6385" w:type="dxa"/>
          </w:tcPr>
          <w:p>
            <w:pPr>
              <w:rPr>
                <w:rFonts w:hint="default" w:eastAsia="宋体"/>
                <w:lang w:val="en-US" w:eastAsia="zh-CN"/>
              </w:rPr>
            </w:pPr>
            <w:r>
              <w:rPr>
                <w:rFonts w:hint="eastAsia" w:eastAsia="宋体"/>
                <w:lang w:val="en-US" w:eastAsia="zh-CN"/>
              </w:rPr>
              <w:t>If RAN2 can not conclude on Q5 and one of concerns on keeping step 7 is whether the measurement can be reused, it is natural to ask RAN4 as it is not RAN2 scope.</w:t>
            </w:r>
          </w:p>
        </w:tc>
      </w:tr>
    </w:tbl>
    <w:p>
      <w:pPr>
        <w:spacing w:after="0" w:line="240" w:lineRule="auto"/>
        <w:rPr>
          <w:rFonts w:eastAsia="宋体" w:cs="Times New Roman" w:asciiTheme="majorHAnsi" w:hAnsiTheme="majorHAnsi"/>
          <w:b/>
          <w:bCs/>
          <w:color w:val="2F5597" w:themeColor="accent1" w:themeShade="BF"/>
          <w:sz w:val="36"/>
          <w:szCs w:val="20"/>
          <w:lang w:val="en-GB" w:eastAsia="en-GB"/>
        </w:rPr>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pPr>
        <w:rPr>
          <w:rFonts w:eastAsia="Times New Roman"/>
          <w:b/>
          <w:bCs/>
        </w:rPr>
      </w:pPr>
      <w:r>
        <w:t xml:space="preserve">In this email discussion </w:t>
      </w:r>
    </w:p>
    <w:p/>
    <w:p>
      <w:pPr>
        <w:rPr>
          <w:lang w:val="en-GB" w:eastAsia="en-GB"/>
        </w:rPr>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27"/>
        <w:tblW w:w="962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392"/>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Delegate Name</w:t>
            </w:r>
          </w:p>
        </w:tc>
        <w:tc>
          <w:tcPr>
            <w:tcW w:w="3392" w:type="dxa"/>
            <w:tcBorders>
              <w:bottom w:val="single" w:color="666666" w:themeColor="text1" w:themeTint="99" w:sz="12" w:space="0"/>
              <w:insideH w:val="single" w:sz="12" w:space="0"/>
            </w:tcBorders>
          </w:tcPr>
          <w:p>
            <w:pPr>
              <w:spacing w:after="0" w:line="240" w:lineRule="auto"/>
              <w:rPr>
                <w:rFonts w:ascii="Calibri" w:hAnsi="Calibri" w:eastAsia="Times New Roman" w:cs="Calibri"/>
                <w:b w:val="0"/>
                <w:bCs w:val="0"/>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val="0"/>
                <w:bCs w:val="0"/>
                <w:color w:val="000000"/>
              </w:rPr>
            </w:pPr>
            <w:r>
              <w:rPr>
                <w:rFonts w:ascii="Calibri" w:hAnsi="Calibri" w:eastAsia="Times New Roman" w:cs="Calibri"/>
                <w:b w:val="0"/>
                <w:bCs w:val="0"/>
                <w:color w:val="000000"/>
              </w:rPr>
              <w:t>Qualcomm</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Peng Cheng</w:t>
            </w:r>
          </w:p>
        </w:tc>
        <w:tc>
          <w:tcPr>
            <w:tcW w:w="3392" w:type="dxa"/>
          </w:tcPr>
          <w:p>
            <w:pPr>
              <w:spacing w:after="0" w:line="240" w:lineRule="auto"/>
              <w:rPr>
                <w:rFonts w:ascii="Calibri" w:hAnsi="Calibri" w:eastAsia="Times New Roman" w:cs="Calibri"/>
                <w:color w:val="000000"/>
              </w:rPr>
            </w:pPr>
            <w:r>
              <w:rPr>
                <w:rFonts w:ascii="Calibri" w:hAnsi="Calibri" w:eastAsia="Times New Roman" w:cs="Calibri"/>
                <w:color w:val="000000"/>
              </w:rPr>
              <w:t>chengp@qti.qualcomm.com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3116" w:type="dxa"/>
          </w:tcPr>
          <w:p>
            <w:pPr>
              <w:spacing w:after="0" w:line="240" w:lineRule="auto"/>
              <w:rPr>
                <w:rFonts w:hint="default" w:ascii="Calibri" w:hAnsi="Calibri" w:eastAsia="宋体" w:cs="Calibri"/>
                <w:b w:val="0"/>
                <w:bCs w:val="0"/>
                <w:color w:val="000000"/>
                <w:lang w:val="en-US" w:eastAsia="zh-CN"/>
              </w:rPr>
            </w:pPr>
            <w:r>
              <w:rPr>
                <w:rFonts w:hint="eastAsia" w:ascii="Calibri" w:hAnsi="Calibri" w:eastAsia="宋体" w:cs="Calibri"/>
                <w:b w:val="0"/>
                <w:bCs w:val="0"/>
                <w:color w:val="000000"/>
                <w:lang w:val="en-US" w:eastAsia="zh-CN"/>
              </w:rPr>
              <w:t>Xiaomi</w:t>
            </w:r>
          </w:p>
        </w:tc>
        <w:tc>
          <w:tcPr>
            <w:tcW w:w="3117"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Xiaofei Liu</w:t>
            </w:r>
          </w:p>
        </w:tc>
        <w:tc>
          <w:tcPr>
            <w:tcW w:w="3392"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liuxiaofei@xiaomi.com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Malgun Gothic" w:cs="Calibri"/>
                <w:b/>
                <w:bCs/>
                <w:color w:val="000000"/>
                <w:lang w:eastAsia="ko-KR"/>
              </w:rPr>
            </w:pPr>
          </w:p>
        </w:tc>
        <w:tc>
          <w:tcPr>
            <w:tcW w:w="3117" w:type="dxa"/>
          </w:tcPr>
          <w:p>
            <w:pPr>
              <w:spacing w:after="0" w:line="240" w:lineRule="auto"/>
              <w:rPr>
                <w:rFonts w:ascii="Calibri" w:hAnsi="Calibri" w:eastAsia="Malgun Gothic" w:cs="Calibri"/>
                <w:color w:val="000000"/>
                <w:lang w:eastAsia="ko-KR"/>
              </w:rPr>
            </w:pPr>
          </w:p>
        </w:tc>
        <w:tc>
          <w:tcPr>
            <w:tcW w:w="3392" w:type="dxa"/>
          </w:tcPr>
          <w:p>
            <w:pPr>
              <w:spacing w:after="0" w:line="240" w:lineRule="auto"/>
              <w:rPr>
                <w:rFonts w:ascii="Calibri" w:hAnsi="Calibri" w:eastAsia="Malgun Gothic" w:cs="Calibri"/>
                <w:color w:val="000000"/>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Yu Mincho" w:cs="Calibri"/>
                <w:b/>
                <w:bCs/>
                <w:color w:val="000000"/>
                <w:lang w:eastAsia="ja-JP"/>
              </w:rPr>
            </w:pPr>
          </w:p>
        </w:tc>
        <w:tc>
          <w:tcPr>
            <w:tcW w:w="3117" w:type="dxa"/>
          </w:tcPr>
          <w:p>
            <w:pPr>
              <w:spacing w:after="0" w:line="240" w:lineRule="auto"/>
              <w:rPr>
                <w:rFonts w:ascii="Calibri" w:hAnsi="Calibri" w:eastAsia="Yu Mincho" w:cs="Calibri"/>
                <w:color w:val="000000"/>
                <w:lang w:eastAsia="ja-JP"/>
              </w:rPr>
            </w:pPr>
          </w:p>
        </w:tc>
        <w:tc>
          <w:tcPr>
            <w:tcW w:w="3392" w:type="dxa"/>
          </w:tcPr>
          <w:p>
            <w:pPr>
              <w:spacing w:after="0" w:line="240" w:lineRule="auto"/>
              <w:rPr>
                <w:rFonts w:ascii="Calibri" w:hAnsi="Calibri" w:eastAsia="Yu Mincho" w:cs="Calibri"/>
                <w:color w:val="000000"/>
                <w:lang w:eastAsia="ja-JP"/>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Yu Mincho" w:cs="Calibri"/>
                <w:b/>
                <w:bCs/>
                <w:color w:val="000000"/>
                <w:lang w:eastAsia="ja-JP"/>
              </w:rPr>
            </w:pPr>
          </w:p>
        </w:tc>
        <w:tc>
          <w:tcPr>
            <w:tcW w:w="3117" w:type="dxa"/>
          </w:tcPr>
          <w:p>
            <w:pPr>
              <w:spacing w:after="0" w:line="240" w:lineRule="auto"/>
              <w:rPr>
                <w:rFonts w:ascii="Calibri" w:hAnsi="Calibri" w:eastAsia="Yu Mincho" w:cs="Calibri"/>
                <w:color w:val="000000"/>
                <w:lang w:eastAsia="ja-JP"/>
              </w:rPr>
            </w:pPr>
          </w:p>
        </w:tc>
        <w:tc>
          <w:tcPr>
            <w:tcW w:w="3392" w:type="dxa"/>
          </w:tcPr>
          <w:p>
            <w:pPr>
              <w:spacing w:after="0" w:line="240" w:lineRule="auto"/>
              <w:rPr>
                <w:rFonts w:ascii="Calibri" w:hAnsi="Calibri" w:eastAsia="Yu Mincho" w:cs="Calibri"/>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392" w:type="dxa"/>
          </w:tcPr>
          <w:p>
            <w:pPr>
              <w:spacing w:after="0" w:line="240" w:lineRule="auto"/>
              <w:rPr>
                <w:rFonts w:ascii="Calibri" w:hAnsi="Calibri" w:cs="Calibri" w:eastAsiaTheme="minorEastAsia"/>
                <w:color w:val="000000"/>
                <w:lang w:eastAsia="zh-CN"/>
              </w:rPr>
            </w:pPr>
          </w:p>
        </w:tc>
      </w:tr>
    </w:tbl>
    <w:p>
      <w:pPr>
        <w:spacing w:after="0" w:line="240" w:lineRule="auto"/>
        <w:rPr>
          <w:rFonts w:ascii="Calibri" w:hAnsi="Calibri" w:eastAsia="Times New Roman" w:cs="Calibri"/>
          <w:color w:val="000000"/>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F40B1"/>
    <w:multiLevelType w:val="multilevel"/>
    <w:tmpl w:val="306F4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18513AB"/>
    <w:multiLevelType w:val="multilevel"/>
    <w:tmpl w:val="518513AB"/>
    <w:lvl w:ilvl="0" w:tentative="0">
      <w:start w:val="1"/>
      <w:numFmt w:val="bullet"/>
      <w:lvlText w:val=""/>
      <w:lvlJc w:val="left"/>
      <w:pPr>
        <w:ind w:left="1193" w:hanging="360"/>
      </w:pPr>
      <w:rPr>
        <w:rFonts w:hint="default" w:ascii="Symbol" w:hAnsi="Symbol"/>
      </w:rPr>
    </w:lvl>
    <w:lvl w:ilvl="1" w:tentative="0">
      <w:start w:val="1"/>
      <w:numFmt w:val="bullet"/>
      <w:lvlText w:val="o"/>
      <w:lvlJc w:val="left"/>
      <w:pPr>
        <w:ind w:left="1913" w:hanging="360"/>
      </w:pPr>
      <w:rPr>
        <w:rFonts w:hint="default" w:ascii="Courier New" w:hAnsi="Courier New" w:cs="Courier New"/>
      </w:rPr>
    </w:lvl>
    <w:lvl w:ilvl="2" w:tentative="0">
      <w:start w:val="1"/>
      <w:numFmt w:val="bullet"/>
      <w:lvlText w:val=""/>
      <w:lvlJc w:val="left"/>
      <w:pPr>
        <w:ind w:left="2633" w:hanging="360"/>
      </w:pPr>
      <w:rPr>
        <w:rFonts w:hint="default" w:ascii="Wingdings" w:hAnsi="Wingdings"/>
      </w:rPr>
    </w:lvl>
    <w:lvl w:ilvl="3" w:tentative="0">
      <w:start w:val="1"/>
      <w:numFmt w:val="bullet"/>
      <w:lvlText w:val=""/>
      <w:lvlJc w:val="left"/>
      <w:pPr>
        <w:ind w:left="3353" w:hanging="360"/>
      </w:pPr>
      <w:rPr>
        <w:rFonts w:hint="default" w:ascii="Symbol" w:hAnsi="Symbol"/>
      </w:rPr>
    </w:lvl>
    <w:lvl w:ilvl="4" w:tentative="0">
      <w:start w:val="1"/>
      <w:numFmt w:val="bullet"/>
      <w:lvlText w:val="o"/>
      <w:lvlJc w:val="left"/>
      <w:pPr>
        <w:ind w:left="4073" w:hanging="360"/>
      </w:pPr>
      <w:rPr>
        <w:rFonts w:hint="default" w:ascii="Courier New" w:hAnsi="Courier New" w:cs="Courier New"/>
      </w:rPr>
    </w:lvl>
    <w:lvl w:ilvl="5" w:tentative="0">
      <w:start w:val="1"/>
      <w:numFmt w:val="bullet"/>
      <w:lvlText w:val=""/>
      <w:lvlJc w:val="left"/>
      <w:pPr>
        <w:ind w:left="4793" w:hanging="360"/>
      </w:pPr>
      <w:rPr>
        <w:rFonts w:hint="default" w:ascii="Wingdings" w:hAnsi="Wingdings"/>
      </w:rPr>
    </w:lvl>
    <w:lvl w:ilvl="6" w:tentative="0">
      <w:start w:val="1"/>
      <w:numFmt w:val="bullet"/>
      <w:lvlText w:val=""/>
      <w:lvlJc w:val="left"/>
      <w:pPr>
        <w:ind w:left="5513" w:hanging="360"/>
      </w:pPr>
      <w:rPr>
        <w:rFonts w:hint="default" w:ascii="Symbol" w:hAnsi="Symbol"/>
      </w:rPr>
    </w:lvl>
    <w:lvl w:ilvl="7" w:tentative="0">
      <w:start w:val="1"/>
      <w:numFmt w:val="bullet"/>
      <w:lvlText w:val="o"/>
      <w:lvlJc w:val="left"/>
      <w:pPr>
        <w:ind w:left="6233" w:hanging="360"/>
      </w:pPr>
      <w:rPr>
        <w:rFonts w:hint="default" w:ascii="Courier New" w:hAnsi="Courier New" w:cs="Courier New"/>
      </w:rPr>
    </w:lvl>
    <w:lvl w:ilvl="8" w:tentative="0">
      <w:start w:val="1"/>
      <w:numFmt w:val="bullet"/>
      <w:lvlText w:val=""/>
      <w:lvlJc w:val="left"/>
      <w:pPr>
        <w:ind w:left="6953" w:hanging="360"/>
      </w:pPr>
      <w:rPr>
        <w:rFonts w:hint="default" w:ascii="Wingdings" w:hAnsi="Wingdings"/>
      </w:rPr>
    </w:lvl>
  </w:abstractNum>
  <w:abstractNum w:abstractNumId="2">
    <w:nsid w:val="521F44A7"/>
    <w:multiLevelType w:val="multilevel"/>
    <w:tmpl w:val="521F44A7"/>
    <w:lvl w:ilvl="0" w:tentative="0">
      <w:start w:val="1"/>
      <w:numFmt w:val="bullet"/>
      <w:pStyle w:val="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2AE19A3"/>
    <w:multiLevelType w:val="multilevel"/>
    <w:tmpl w:val="52AE19A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956C0F"/>
    <w:multiLevelType w:val="multilevel"/>
    <w:tmpl w:val="6C956C0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784F"/>
    <w:rsid w:val="000C1D6B"/>
    <w:rsid w:val="000C5B3C"/>
    <w:rsid w:val="000C7487"/>
    <w:rsid w:val="000D0047"/>
    <w:rsid w:val="000D11A2"/>
    <w:rsid w:val="000D1B22"/>
    <w:rsid w:val="000D521F"/>
    <w:rsid w:val="000D55F6"/>
    <w:rsid w:val="000D6D8D"/>
    <w:rsid w:val="000E0112"/>
    <w:rsid w:val="000E1EC7"/>
    <w:rsid w:val="000E26A4"/>
    <w:rsid w:val="000E2F02"/>
    <w:rsid w:val="000E3B3B"/>
    <w:rsid w:val="000E486B"/>
    <w:rsid w:val="000E6592"/>
    <w:rsid w:val="000E7A2A"/>
    <w:rsid w:val="000F2B4D"/>
    <w:rsid w:val="000F3635"/>
    <w:rsid w:val="000F64DC"/>
    <w:rsid w:val="001020B7"/>
    <w:rsid w:val="001021AD"/>
    <w:rsid w:val="00103054"/>
    <w:rsid w:val="001038E5"/>
    <w:rsid w:val="00104201"/>
    <w:rsid w:val="001061BD"/>
    <w:rsid w:val="00107357"/>
    <w:rsid w:val="00111C90"/>
    <w:rsid w:val="00113CB8"/>
    <w:rsid w:val="00114037"/>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4A29"/>
    <w:rsid w:val="001D5F1A"/>
    <w:rsid w:val="001D6800"/>
    <w:rsid w:val="001D71A8"/>
    <w:rsid w:val="001E08E9"/>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3F6F"/>
    <w:rsid w:val="00204E05"/>
    <w:rsid w:val="00206486"/>
    <w:rsid w:val="002118EF"/>
    <w:rsid w:val="00211C57"/>
    <w:rsid w:val="002146EE"/>
    <w:rsid w:val="00215255"/>
    <w:rsid w:val="0021580D"/>
    <w:rsid w:val="00215853"/>
    <w:rsid w:val="00216985"/>
    <w:rsid w:val="0022043E"/>
    <w:rsid w:val="00220492"/>
    <w:rsid w:val="002228C5"/>
    <w:rsid w:val="00222949"/>
    <w:rsid w:val="00223C3C"/>
    <w:rsid w:val="00224219"/>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47B"/>
    <w:rsid w:val="002B7CD0"/>
    <w:rsid w:val="002C1F5F"/>
    <w:rsid w:val="002C4208"/>
    <w:rsid w:val="002C52E4"/>
    <w:rsid w:val="002C69D8"/>
    <w:rsid w:val="002C6A9E"/>
    <w:rsid w:val="002D0209"/>
    <w:rsid w:val="002D03A4"/>
    <w:rsid w:val="002D4231"/>
    <w:rsid w:val="002D57F1"/>
    <w:rsid w:val="002D59EA"/>
    <w:rsid w:val="002D5A6E"/>
    <w:rsid w:val="002D6DFD"/>
    <w:rsid w:val="002E3303"/>
    <w:rsid w:val="002E599E"/>
    <w:rsid w:val="002E6C04"/>
    <w:rsid w:val="002E7DC3"/>
    <w:rsid w:val="002F07DC"/>
    <w:rsid w:val="002F1E8A"/>
    <w:rsid w:val="002F38C1"/>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2222"/>
    <w:rsid w:val="003241A3"/>
    <w:rsid w:val="003246F3"/>
    <w:rsid w:val="00326F94"/>
    <w:rsid w:val="00330070"/>
    <w:rsid w:val="00330487"/>
    <w:rsid w:val="00330D03"/>
    <w:rsid w:val="0033382A"/>
    <w:rsid w:val="00334753"/>
    <w:rsid w:val="0033530B"/>
    <w:rsid w:val="00341567"/>
    <w:rsid w:val="00342F1D"/>
    <w:rsid w:val="003430CD"/>
    <w:rsid w:val="00344EC5"/>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EB3"/>
    <w:rsid w:val="00440E76"/>
    <w:rsid w:val="004411B8"/>
    <w:rsid w:val="004451E6"/>
    <w:rsid w:val="00451341"/>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F69"/>
    <w:rsid w:val="00495063"/>
    <w:rsid w:val="004A014B"/>
    <w:rsid w:val="004A2911"/>
    <w:rsid w:val="004A3C49"/>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AF"/>
    <w:rsid w:val="00545578"/>
    <w:rsid w:val="005471AB"/>
    <w:rsid w:val="0055349A"/>
    <w:rsid w:val="005541DF"/>
    <w:rsid w:val="00554387"/>
    <w:rsid w:val="0055508C"/>
    <w:rsid w:val="005553A8"/>
    <w:rsid w:val="00556CD6"/>
    <w:rsid w:val="00556F53"/>
    <w:rsid w:val="00557802"/>
    <w:rsid w:val="00557CDA"/>
    <w:rsid w:val="00560729"/>
    <w:rsid w:val="00564E4B"/>
    <w:rsid w:val="00567CC4"/>
    <w:rsid w:val="00574332"/>
    <w:rsid w:val="00575FCF"/>
    <w:rsid w:val="00577D8F"/>
    <w:rsid w:val="005826F6"/>
    <w:rsid w:val="0058271D"/>
    <w:rsid w:val="00582845"/>
    <w:rsid w:val="00582D25"/>
    <w:rsid w:val="005905D9"/>
    <w:rsid w:val="0059272A"/>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BD0"/>
    <w:rsid w:val="007509AD"/>
    <w:rsid w:val="0075100A"/>
    <w:rsid w:val="00753C43"/>
    <w:rsid w:val="00753EA0"/>
    <w:rsid w:val="00754F32"/>
    <w:rsid w:val="007602F8"/>
    <w:rsid w:val="007620E3"/>
    <w:rsid w:val="007653FF"/>
    <w:rsid w:val="007655F9"/>
    <w:rsid w:val="00765C99"/>
    <w:rsid w:val="00766F81"/>
    <w:rsid w:val="00767F6E"/>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0ECB"/>
    <w:rsid w:val="008D4127"/>
    <w:rsid w:val="008D6231"/>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65A3"/>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1EE"/>
    <w:rsid w:val="009E25BD"/>
    <w:rsid w:val="009E69F9"/>
    <w:rsid w:val="009F2230"/>
    <w:rsid w:val="009F43F3"/>
    <w:rsid w:val="009F5023"/>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44FB"/>
    <w:rsid w:val="00A36A11"/>
    <w:rsid w:val="00A428EA"/>
    <w:rsid w:val="00A50311"/>
    <w:rsid w:val="00A5104E"/>
    <w:rsid w:val="00A5105D"/>
    <w:rsid w:val="00A52E09"/>
    <w:rsid w:val="00A54D63"/>
    <w:rsid w:val="00A6148F"/>
    <w:rsid w:val="00A62646"/>
    <w:rsid w:val="00A649FD"/>
    <w:rsid w:val="00A64B33"/>
    <w:rsid w:val="00A663EE"/>
    <w:rsid w:val="00A66BB8"/>
    <w:rsid w:val="00A67539"/>
    <w:rsid w:val="00A7045D"/>
    <w:rsid w:val="00A71F47"/>
    <w:rsid w:val="00A721F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63E"/>
    <w:rsid w:val="00B87790"/>
    <w:rsid w:val="00B94294"/>
    <w:rsid w:val="00B9484B"/>
    <w:rsid w:val="00BA20F5"/>
    <w:rsid w:val="00BA336A"/>
    <w:rsid w:val="00BA43D4"/>
    <w:rsid w:val="00BA4CC9"/>
    <w:rsid w:val="00BB1163"/>
    <w:rsid w:val="00BC2DF2"/>
    <w:rsid w:val="00BC5A61"/>
    <w:rsid w:val="00BD0802"/>
    <w:rsid w:val="00BD0F10"/>
    <w:rsid w:val="00BD267D"/>
    <w:rsid w:val="00BD35BD"/>
    <w:rsid w:val="00BD402C"/>
    <w:rsid w:val="00BD5E37"/>
    <w:rsid w:val="00BE156D"/>
    <w:rsid w:val="00BE2D6A"/>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56C"/>
    <w:rsid w:val="00C85BD4"/>
    <w:rsid w:val="00C87271"/>
    <w:rsid w:val="00C87C58"/>
    <w:rsid w:val="00C943CB"/>
    <w:rsid w:val="00C97C67"/>
    <w:rsid w:val="00CA0316"/>
    <w:rsid w:val="00CA1942"/>
    <w:rsid w:val="00CA2DC9"/>
    <w:rsid w:val="00CA65BE"/>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6641"/>
    <w:rsid w:val="00D06C7D"/>
    <w:rsid w:val="00D07957"/>
    <w:rsid w:val="00D1174F"/>
    <w:rsid w:val="00D1237D"/>
    <w:rsid w:val="00D133DC"/>
    <w:rsid w:val="00D17CAA"/>
    <w:rsid w:val="00D21146"/>
    <w:rsid w:val="00D216D2"/>
    <w:rsid w:val="00D23815"/>
    <w:rsid w:val="00D24D02"/>
    <w:rsid w:val="00D2772E"/>
    <w:rsid w:val="00D30F7C"/>
    <w:rsid w:val="00D3344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4013"/>
    <w:rsid w:val="00D76A92"/>
    <w:rsid w:val="00D80036"/>
    <w:rsid w:val="00D8109E"/>
    <w:rsid w:val="00D817AF"/>
    <w:rsid w:val="00D82195"/>
    <w:rsid w:val="00D87D68"/>
    <w:rsid w:val="00D919CC"/>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3428"/>
    <w:rsid w:val="00EA3AF9"/>
    <w:rsid w:val="00EA6247"/>
    <w:rsid w:val="00EA7514"/>
    <w:rsid w:val="00EB6802"/>
    <w:rsid w:val="00EB76C2"/>
    <w:rsid w:val="00EC19BE"/>
    <w:rsid w:val="00EC21B0"/>
    <w:rsid w:val="00EC2841"/>
    <w:rsid w:val="00EC461E"/>
    <w:rsid w:val="00EC5AD2"/>
    <w:rsid w:val="00EC7F47"/>
    <w:rsid w:val="00ED6ACD"/>
    <w:rsid w:val="00ED722B"/>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7ED4"/>
    <w:rsid w:val="00F30CDB"/>
    <w:rsid w:val="00F319BA"/>
    <w:rsid w:val="00F321DC"/>
    <w:rsid w:val="00F33BA7"/>
    <w:rsid w:val="00F3456D"/>
    <w:rsid w:val="00F34A4F"/>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0"/>
    <w:semiHidden/>
    <w:unhideWhenUsed/>
    <w:qFormat/>
    <w:uiPriority w:val="9"/>
    <w:pPr>
      <w:keepNext/>
      <w:keepLines/>
      <w:spacing w:before="40" w:after="0" w:line="256" w:lineRule="auto"/>
      <w:outlineLvl w:val="3"/>
    </w:pPr>
    <w:rPr>
      <w:rFonts w:asciiTheme="majorHAnsi" w:hAnsiTheme="majorHAnsi" w:eastAsiaTheme="majorEastAsia" w:cstheme="majorBidi"/>
      <w:i/>
      <w:iCs/>
      <w:color w:val="2F5597" w:themeColor="accent1" w:themeShade="BF"/>
      <w:lang w:val="en-G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41"/>
    <w:semiHidden/>
    <w:unhideWhenUsed/>
    <w:qFormat/>
    <w:uiPriority w:val="0"/>
    <w:pPr>
      <w:spacing w:after="120" w:line="240" w:lineRule="auto"/>
      <w:jc w:val="both"/>
    </w:pPr>
    <w:rPr>
      <w:rFonts w:ascii="Times" w:hAnsi="Times" w:eastAsia="Batang" w:cs="Times New Roman"/>
      <w:b/>
      <w:bCs/>
      <w:sz w:val="21"/>
      <w:szCs w:val="21"/>
      <w:lang w:val="en-GB"/>
    </w:rPr>
  </w:style>
  <w:style w:type="paragraph" w:styleId="7">
    <w:name w:val="annotation text"/>
    <w:basedOn w:val="1"/>
    <w:link w:val="31"/>
    <w:unhideWhenUsed/>
    <w:qFormat/>
    <w:uiPriority w:val="99"/>
    <w:pPr>
      <w:spacing w:line="240" w:lineRule="auto"/>
    </w:pPr>
    <w:rPr>
      <w:sz w:val="20"/>
      <w:szCs w:val="20"/>
    </w:rPr>
  </w:style>
  <w:style w:type="paragraph" w:styleId="8">
    <w:name w:val="Balloon Text"/>
    <w:basedOn w:val="1"/>
    <w:link w:val="30"/>
    <w:semiHidden/>
    <w:unhideWhenUsed/>
    <w:qFormat/>
    <w:uiPriority w:val="99"/>
    <w:pPr>
      <w:spacing w:after="0" w:line="240" w:lineRule="auto"/>
    </w:pPr>
    <w:rPr>
      <w:rFonts w:ascii="Segoe UI" w:hAnsi="Segoe UI" w:cs="Segoe UI"/>
      <w:sz w:val="18"/>
      <w:szCs w:val="18"/>
    </w:rPr>
  </w:style>
  <w:style w:type="paragraph" w:styleId="9">
    <w:name w:val="footer"/>
    <w:basedOn w:val="1"/>
    <w:link w:val="34"/>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link w:val="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semiHidden/>
    <w:unhideWhenUsed/>
    <w:qFormat/>
    <w:uiPriority w:val="99"/>
    <w:rPr>
      <w:sz w:val="16"/>
      <w:szCs w:val="16"/>
    </w:rPr>
  </w:style>
  <w:style w:type="paragraph" w:customStyle="1" w:styleId="19">
    <w:name w:val="Doc-text2"/>
    <w:basedOn w:val="1"/>
    <w:link w:val="20"/>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0">
    <w:name w:val="Doc-text2 Char"/>
    <w:link w:val="19"/>
    <w:qFormat/>
    <w:uiPriority w:val="0"/>
    <w:rPr>
      <w:rFonts w:ascii="Arial" w:hAnsi="Arial" w:eastAsia="MS Mincho" w:cs="Times New Roman"/>
      <w:sz w:val="20"/>
      <w:szCs w:val="24"/>
      <w:lang w:val="en-GB" w:eastAsia="en-GB"/>
    </w:rPr>
  </w:style>
  <w:style w:type="paragraph" w:customStyle="1" w:styleId="21">
    <w:name w:val="Agreement"/>
    <w:basedOn w:val="1"/>
    <w:next w:val="19"/>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22">
    <w:name w:val="EmailDiscussion"/>
    <w:basedOn w:val="1"/>
    <w:next w:val="19"/>
    <w:link w:val="23"/>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23">
    <w:name w:val="EmailDiscussion Char"/>
    <w:link w:val="22"/>
    <w:qFormat/>
    <w:uiPriority w:val="0"/>
    <w:rPr>
      <w:rFonts w:ascii="Arial" w:hAnsi="Arial" w:eastAsia="MS Mincho"/>
      <w:b/>
      <w:szCs w:val="24"/>
      <w:lang w:val="en-GB" w:eastAsia="en-GB"/>
    </w:rPr>
  </w:style>
  <w:style w:type="paragraph" w:customStyle="1" w:styleId="24">
    <w:name w:val="EmailDiscussion2"/>
    <w:basedOn w:val="19"/>
    <w:qFormat/>
    <w:uiPriority w:val="99"/>
  </w:style>
  <w:style w:type="character" w:customStyle="1" w:styleId="25">
    <w:name w:val="Heading 1 Char"/>
    <w:basedOn w:val="16"/>
    <w:link w:val="2"/>
    <w:qFormat/>
    <w:uiPriority w:val="9"/>
    <w:rPr>
      <w:rFonts w:asciiTheme="majorHAnsi" w:hAnsiTheme="majorHAnsi" w:eastAsiaTheme="majorEastAsia" w:cstheme="majorBidi"/>
      <w:color w:val="2F5597" w:themeColor="accent1" w:themeShade="BF"/>
      <w:sz w:val="32"/>
      <w:szCs w:val="32"/>
    </w:rPr>
  </w:style>
  <w:style w:type="character" w:customStyle="1" w:styleId="26">
    <w:name w:val="Heading 2 Char"/>
    <w:basedOn w:val="16"/>
    <w:link w:val="3"/>
    <w:qFormat/>
    <w:uiPriority w:val="9"/>
    <w:rPr>
      <w:rFonts w:asciiTheme="majorHAnsi" w:hAnsiTheme="majorHAnsi" w:eastAsiaTheme="majorEastAsia" w:cstheme="majorBidi"/>
      <w:color w:val="2F5597" w:themeColor="accent1" w:themeShade="BF"/>
      <w:sz w:val="26"/>
      <w:szCs w:val="26"/>
    </w:rPr>
  </w:style>
  <w:style w:type="table" w:customStyle="1" w:styleId="27">
    <w:name w:val="网格表 1 浅色1"/>
    <w:basedOn w:val="1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8">
    <w:name w:val="List Paragraph"/>
    <w:basedOn w:val="1"/>
    <w:link w:val="38"/>
    <w:qFormat/>
    <w:uiPriority w:val="34"/>
    <w:pPr>
      <w:ind w:left="720"/>
      <w:contextualSpacing/>
    </w:pPr>
  </w:style>
  <w:style w:type="character" w:customStyle="1" w:styleId="29">
    <w:name w:val="HTML Preformatted Char"/>
    <w:basedOn w:val="16"/>
    <w:link w:val="11"/>
    <w:qFormat/>
    <w:uiPriority w:val="99"/>
    <w:rPr>
      <w:rFonts w:ascii="Courier New" w:hAnsi="Courier New" w:eastAsia="Times New Roman" w:cs="Courier New"/>
      <w:sz w:val="20"/>
      <w:szCs w:val="20"/>
    </w:rPr>
  </w:style>
  <w:style w:type="character" w:customStyle="1" w:styleId="30">
    <w:name w:val="Balloon Text Char"/>
    <w:basedOn w:val="16"/>
    <w:link w:val="8"/>
    <w:semiHidden/>
    <w:qFormat/>
    <w:uiPriority w:val="99"/>
    <w:rPr>
      <w:rFonts w:ascii="Segoe UI" w:hAnsi="Segoe UI" w:cs="Segoe UI"/>
      <w:sz w:val="18"/>
      <w:szCs w:val="18"/>
    </w:rPr>
  </w:style>
  <w:style w:type="character" w:customStyle="1" w:styleId="31">
    <w:name w:val="Comment Text Char"/>
    <w:basedOn w:val="16"/>
    <w:link w:val="7"/>
    <w:qFormat/>
    <w:uiPriority w:val="99"/>
    <w:rPr>
      <w:sz w:val="20"/>
      <w:szCs w:val="20"/>
    </w:rPr>
  </w:style>
  <w:style w:type="character" w:customStyle="1" w:styleId="32">
    <w:name w:val="Comment Subject Char"/>
    <w:basedOn w:val="31"/>
    <w:link w:val="13"/>
    <w:semiHidden/>
    <w:qFormat/>
    <w:uiPriority w:val="99"/>
    <w:rPr>
      <w:b/>
      <w:bCs/>
      <w:sz w:val="20"/>
      <w:szCs w:val="20"/>
    </w:rPr>
  </w:style>
  <w:style w:type="character" w:customStyle="1" w:styleId="33">
    <w:name w:val="Header Char"/>
    <w:basedOn w:val="16"/>
    <w:link w:val="10"/>
    <w:qFormat/>
    <w:uiPriority w:val="99"/>
    <w:rPr>
      <w:rFonts w:asciiTheme="minorHAnsi" w:hAnsiTheme="minorHAnsi" w:eastAsiaTheme="minorHAnsi" w:cstheme="minorBidi"/>
      <w:sz w:val="18"/>
      <w:szCs w:val="18"/>
      <w:lang w:eastAsia="en-US"/>
    </w:rPr>
  </w:style>
  <w:style w:type="character" w:customStyle="1" w:styleId="34">
    <w:name w:val="Footer Char"/>
    <w:basedOn w:val="16"/>
    <w:link w:val="9"/>
    <w:qFormat/>
    <w:uiPriority w:val="99"/>
    <w:rPr>
      <w:rFonts w:asciiTheme="minorHAnsi" w:hAnsiTheme="minorHAnsi" w:eastAsiaTheme="minorHAnsi" w:cstheme="minorBidi"/>
      <w:sz w:val="18"/>
      <w:szCs w:val="18"/>
      <w:lang w:eastAsia="en-US"/>
    </w:rPr>
  </w:style>
  <w:style w:type="paragraph" w:customStyle="1" w:styleId="35">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character" w:customStyle="1" w:styleId="36">
    <w:name w:val="normaltextrun"/>
    <w:basedOn w:val="16"/>
    <w:qFormat/>
    <w:uiPriority w:val="0"/>
  </w:style>
  <w:style w:type="character" w:customStyle="1" w:styleId="37">
    <w:name w:val="eop"/>
    <w:basedOn w:val="16"/>
    <w:qFormat/>
    <w:uiPriority w:val="0"/>
  </w:style>
  <w:style w:type="character" w:customStyle="1" w:styleId="38">
    <w:name w:val="List Paragraph Char"/>
    <w:link w:val="28"/>
    <w:qFormat/>
    <w:uiPriority w:val="34"/>
    <w:rPr>
      <w:rFonts w:asciiTheme="minorHAnsi" w:hAnsiTheme="minorHAnsi" w:eastAsiaTheme="minorHAnsi" w:cstheme="minorBidi"/>
      <w:sz w:val="22"/>
      <w:szCs w:val="22"/>
      <w:lang w:val="en-US" w:eastAsia="en-US"/>
    </w:rPr>
  </w:style>
  <w:style w:type="character" w:customStyle="1" w:styleId="39">
    <w:name w:val="Heading 3 Char"/>
    <w:basedOn w:val="16"/>
    <w:link w:val="4"/>
    <w:semiHidden/>
    <w:qFormat/>
    <w:uiPriority w:val="9"/>
    <w:rPr>
      <w:rFonts w:asciiTheme="majorHAnsi" w:hAnsiTheme="majorHAnsi" w:eastAsiaTheme="majorEastAsia" w:cstheme="majorBidi"/>
      <w:color w:val="203864" w:themeColor="accent1" w:themeShade="80"/>
      <w:sz w:val="24"/>
      <w:szCs w:val="24"/>
      <w:lang w:val="en-US" w:eastAsia="en-US"/>
    </w:rPr>
  </w:style>
  <w:style w:type="character" w:customStyle="1" w:styleId="40">
    <w:name w:val="Heading 4 Char"/>
    <w:basedOn w:val="16"/>
    <w:link w:val="5"/>
    <w:semiHidden/>
    <w:qFormat/>
    <w:uiPriority w:val="9"/>
    <w:rPr>
      <w:rFonts w:asciiTheme="majorHAnsi" w:hAnsiTheme="majorHAnsi" w:eastAsiaTheme="majorEastAsia" w:cstheme="majorBidi"/>
      <w:i/>
      <w:iCs/>
      <w:color w:val="2F5597" w:themeColor="accent1" w:themeShade="BF"/>
      <w:sz w:val="22"/>
      <w:szCs w:val="22"/>
      <w:lang w:eastAsia="en-US"/>
    </w:rPr>
  </w:style>
  <w:style w:type="character" w:customStyle="1" w:styleId="41">
    <w:name w:val="Caption Char"/>
    <w:link w:val="6"/>
    <w:semiHidden/>
    <w:qFormat/>
    <w:locked/>
    <w:uiPriority w:val="0"/>
    <w:rPr>
      <w:rFonts w:ascii="Times" w:hAnsi="Times" w:eastAsia="Batang"/>
      <w:b/>
      <w:bCs/>
      <w:sz w:val="21"/>
      <w:szCs w:val="21"/>
      <w:lang w:eastAsia="en-US"/>
    </w:rPr>
  </w:style>
  <w:style w:type="table" w:customStyle="1" w:styleId="42">
    <w:name w:val="网格型1"/>
    <w:basedOn w:val="14"/>
    <w:qFormat/>
    <w:uiPriority w:val="59"/>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Unresolved Mention1"/>
    <w:basedOn w:val="16"/>
    <w:semiHidden/>
    <w:unhideWhenUsed/>
    <w:qFormat/>
    <w:uiPriority w:val="99"/>
    <w:rPr>
      <w:color w:val="605E5C"/>
      <w:shd w:val="clear" w:color="auto" w:fill="E1DFDD"/>
    </w:rPr>
  </w:style>
  <w:style w:type="character" w:customStyle="1" w:styleId="44">
    <w:name w:val="Mention1"/>
    <w:basedOn w:val="16"/>
    <w:unhideWhenUsed/>
    <w:qFormat/>
    <w:uiPriority w:val="99"/>
    <w:rPr>
      <w:color w:val="2B579A"/>
      <w:shd w:val="clear" w:color="auto" w:fill="E1DFDD"/>
    </w:rPr>
  </w:style>
  <w:style w:type="paragraph" w:customStyle="1" w:styleId="45">
    <w:name w:val="B1"/>
    <w:basedOn w:val="1"/>
    <w:qFormat/>
    <w:uiPriority w:val="0"/>
    <w:pPr>
      <w:spacing w:after="180" w:line="240" w:lineRule="auto"/>
      <w:ind w:left="568" w:hanging="284"/>
    </w:pPr>
    <w:rPr>
      <w:rFonts w:ascii="Times New Roman" w:hAnsi="Times New Roman" w:eastAsia="等线" w:cs="Times New Roman"/>
      <w:sz w:val="20"/>
      <w:szCs w:val="20"/>
      <w:lang w:val="en-GB"/>
    </w:rPr>
  </w:style>
  <w:style w:type="paragraph" w:customStyle="1" w:styleId="46">
    <w:name w:val="B2"/>
    <w:basedOn w:val="1"/>
    <w:qFormat/>
    <w:uiPriority w:val="0"/>
    <w:pPr>
      <w:spacing w:after="180" w:line="240" w:lineRule="auto"/>
      <w:ind w:left="851" w:hanging="284"/>
    </w:pPr>
    <w:rPr>
      <w:rFonts w:ascii="Times New Roman" w:hAnsi="Times New Roman" w:eastAsia="等线" w:cs="Times New Roman"/>
      <w:sz w:val="20"/>
      <w:szCs w:val="20"/>
      <w:lang w:val="en-GB"/>
    </w:rPr>
  </w:style>
  <w:style w:type="paragraph" w:customStyle="1" w:styleId="47">
    <w:name w:val="NO"/>
    <w:basedOn w:val="1"/>
    <w:link w:val="48"/>
    <w:qFormat/>
    <w:uiPriority w:val="0"/>
    <w:pPr>
      <w:keepLines/>
      <w:spacing w:after="180" w:line="240" w:lineRule="auto"/>
      <w:ind w:left="1135" w:hanging="851"/>
    </w:pPr>
    <w:rPr>
      <w:rFonts w:ascii="Times New Roman" w:hAnsi="Times New Roman" w:eastAsia="Times New Roman" w:cs="Times New Roman"/>
      <w:sz w:val="20"/>
      <w:szCs w:val="20"/>
      <w:lang w:val="en-GB" w:eastAsia="zh-CN"/>
    </w:rPr>
  </w:style>
  <w:style w:type="character" w:customStyle="1" w:styleId="48">
    <w:name w:val="NO Char1"/>
    <w:link w:val="47"/>
    <w:qFormat/>
    <w:uiPriority w:val="0"/>
    <w:rPr>
      <w:rFonts w:eastAsia="Times New Roman"/>
      <w:lang w:val="en-GB" w:eastAsia="zh-CN"/>
    </w:rPr>
  </w:style>
  <w:style w:type="character" w:customStyle="1" w:styleId="49">
    <w:name w:val="Unresolved Mention"/>
    <w:basedOn w:val="16"/>
    <w:semiHidden/>
    <w:unhideWhenUsed/>
    <w:qFormat/>
    <w:uiPriority w:val="99"/>
    <w:rPr>
      <w:color w:val="605E5C"/>
      <w:shd w:val="clear" w:color="auto" w:fill="E1DFDD"/>
    </w:rPr>
  </w:style>
  <w:style w:type="character" w:customStyle="1" w:styleId="50">
    <w:name w:val="apple-converted-space"/>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A5894-7C61-4913-9425-ED50C1BA55B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2116</Words>
  <Characters>12064</Characters>
  <Lines>100</Lines>
  <Paragraphs>28</Paragraphs>
  <TotalTime>36</TotalTime>
  <ScaleCrop>false</ScaleCrop>
  <LinksUpToDate>false</LinksUpToDate>
  <CharactersWithSpaces>14152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2021-09-15T12:02:00Z</dcterms:created>
  <dcterms:modified xsi:type="dcterms:W3CDTF">2021-09-28T03:28:06Z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