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w:t>
      </w:r>
      <w:proofErr w:type="gramStart"/>
      <w:r w:rsidR="00A5133E" w:rsidRPr="00A5133E">
        <w:t>][</w:t>
      </w:r>
      <w:proofErr w:type="gramEnd"/>
      <w:r w:rsidR="00A5133E" w:rsidRPr="00A5133E">
        <w:t>087][NR15] Simultaneous Rx/Tx cap finer granularity (NTT DOCOMO)</w:t>
      </w:r>
    </w:p>
    <w:p w14:paraId="353671EA" w14:textId="77777777" w:rsidR="00A5133E" w:rsidRPr="004E3939" w:rsidRDefault="00A5133E" w:rsidP="00A5133E">
      <w:pPr>
        <w:pStyle w:val="Metadata"/>
      </w:pPr>
      <w:r>
        <w:t>Agenda Item:</w:t>
      </w:r>
      <w:r>
        <w:tab/>
      </w:r>
      <w:proofErr w:type="spellStart"/>
      <w:r w:rsidRPr="00A5133E">
        <w:rPr>
          <w:highlight w:val="yellow"/>
        </w:rPr>
        <w:t>x.y.z</w:t>
      </w:r>
      <w:proofErr w:type="spellEnd"/>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 xml:space="preserve">sing the </w:t>
      </w:r>
      <w:proofErr w:type="spellStart"/>
      <w:r w:rsidRPr="00885E9C">
        <w:rPr>
          <w:lang w:eastAsia="zh-CN"/>
        </w:rPr>
        <w:t>selectedBandEntriesMNList</w:t>
      </w:r>
      <w:proofErr w:type="spellEnd"/>
      <w:r w:rsidRPr="00885E9C">
        <w:rPr>
          <w:lang w:eastAsia="zh-CN"/>
        </w:rPr>
        <w:t xml:space="preserve"> field to check the per-band-pair simultaneous Rx/Tx capability in NR-DC, (NG)EN-DC, and NE-DC</w:t>
      </w:r>
      <w:r>
        <w:rPr>
          <w:lang w:eastAsia="zh-CN"/>
        </w:rPr>
        <w:t xml:space="preserve">. Consider also Inter-Node Coordination. If needed, can also </w:t>
      </w:r>
      <w:proofErr w:type="spellStart"/>
      <w:r>
        <w:rPr>
          <w:lang w:eastAsia="zh-CN"/>
        </w:rPr>
        <w:t>disucss</w:t>
      </w:r>
      <w:proofErr w:type="spellEnd"/>
      <w:r>
        <w:rPr>
          <w:lang w:eastAsia="zh-CN"/>
        </w:rPr>
        <w:t xml:space="preserve">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3"/>
        <w:tblW w:w="4928" w:type="pct"/>
        <w:tblLook w:val="04A0" w:firstRow="1" w:lastRow="0" w:firstColumn="1" w:lastColumn="0" w:noHBand="0" w:noVBand="1"/>
      </w:tblPr>
      <w:tblGrid>
        <w:gridCol w:w="2365"/>
        <w:gridCol w:w="757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3810" w:type="pct"/>
          </w:tcPr>
          <w:p w14:paraId="4BE26E04" w14:textId="3929239A" w:rsidR="002E0066" w:rsidRDefault="002E0066" w:rsidP="002E0066">
            <w:pPr>
              <w:spacing w:after="0" w:line="276" w:lineRule="auto"/>
              <w:rPr>
                <w:szCs w:val="22"/>
                <w:lang w:eastAsia="ja-JP"/>
              </w:rPr>
            </w:pPr>
            <w:r>
              <w:rPr>
                <w:rFonts w:eastAsia="宋体" w:hint="eastAsia"/>
                <w:szCs w:val="22"/>
              </w:rPr>
              <w:t>k</w:t>
            </w:r>
            <w:r>
              <w:rPr>
                <w:rFonts w:eastAsia="宋体"/>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宋体"/>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1"/>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1"/>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1"/>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3"/>
        <w:tblW w:w="5000" w:type="pct"/>
        <w:tblLook w:val="04A0" w:firstRow="1" w:lastRow="0" w:firstColumn="1" w:lastColumn="0" w:noHBand="0" w:noVBand="1"/>
      </w:tblPr>
      <w:tblGrid>
        <w:gridCol w:w="1819"/>
        <w:gridCol w:w="1399"/>
        <w:gridCol w:w="6863"/>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宋体" w:hint="eastAsia"/>
                <w:szCs w:val="22"/>
              </w:rPr>
              <w:t>CATT</w:t>
            </w:r>
          </w:p>
        </w:tc>
        <w:tc>
          <w:tcPr>
            <w:tcW w:w="694" w:type="pct"/>
          </w:tcPr>
          <w:p w14:paraId="7EF0906D" w14:textId="77777777" w:rsidR="00EA4BDF" w:rsidRPr="003A1725" w:rsidRDefault="00EA4BDF" w:rsidP="00461A9B">
            <w:pPr>
              <w:spacing w:after="0" w:line="276" w:lineRule="auto"/>
              <w:rPr>
                <w:rFonts w:eastAsia="宋体"/>
                <w:szCs w:val="22"/>
              </w:rPr>
            </w:pPr>
            <w:r>
              <w:rPr>
                <w:rFonts w:eastAsia="宋体"/>
                <w:szCs w:val="22"/>
              </w:rPr>
              <w:t>S</w:t>
            </w:r>
            <w:r>
              <w:rPr>
                <w:rFonts w:eastAsia="宋体"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宋体"/>
                <w:szCs w:val="22"/>
              </w:rPr>
            </w:pPr>
            <w:r>
              <w:rPr>
                <w:rFonts w:eastAsia="宋体"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宋体"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宋体"/>
                <w:szCs w:val="22"/>
              </w:rPr>
            </w:pPr>
            <w:r>
              <w:rPr>
                <w:rFonts w:eastAsia="宋体"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694" w:type="pct"/>
          </w:tcPr>
          <w:p w14:paraId="43C32CC3" w14:textId="77777777" w:rsidR="00EA4BDF" w:rsidRDefault="00EA4BDF" w:rsidP="00461A9B">
            <w:pPr>
              <w:spacing w:after="0" w:line="276" w:lineRule="auto"/>
              <w:jc w:val="center"/>
              <w:rPr>
                <w:szCs w:val="22"/>
                <w:lang w:eastAsia="ja-JP"/>
              </w:rPr>
            </w:pPr>
            <w:r>
              <w:rPr>
                <w:rFonts w:eastAsia="宋体"/>
                <w:szCs w:val="22"/>
              </w:rPr>
              <w:t>S</w:t>
            </w:r>
            <w:r>
              <w:rPr>
                <w:rFonts w:eastAsia="宋体"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lastRenderedPageBreak/>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w:t>
            </w:r>
            <w:proofErr w:type="spellStart"/>
            <w:r>
              <w:rPr>
                <w:szCs w:val="22"/>
                <w:lang w:eastAsia="ja-JP"/>
              </w:rPr>
              <w:t>gNB</w:t>
            </w:r>
            <w:proofErr w:type="spellEnd"/>
            <w:r>
              <w:rPr>
                <w:szCs w:val="22"/>
                <w:lang w:eastAsia="ja-JP"/>
              </w:rPr>
              <w:t xml:space="preserve">.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w:t>
            </w:r>
            <w:proofErr w:type="gramStart"/>
            <w:r>
              <w:rPr>
                <w:szCs w:val="22"/>
                <w:lang w:eastAsia="ja-JP"/>
              </w:rPr>
              <w:t>to have</w:t>
            </w:r>
            <w:proofErr w:type="gramEnd"/>
            <w:r>
              <w:rPr>
                <w:szCs w:val="22"/>
                <w:lang w:eastAsia="ja-JP"/>
              </w:rPr>
              <w:t xml:space="preser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宋体" w:hint="eastAsia"/>
                <w:szCs w:val="22"/>
              </w:rPr>
              <w:t>S</w:t>
            </w:r>
            <w:r>
              <w:rPr>
                <w:rFonts w:eastAsia="宋体"/>
                <w:szCs w:val="22"/>
              </w:rPr>
              <w:t>olution 1</w:t>
            </w:r>
          </w:p>
        </w:tc>
        <w:tc>
          <w:tcPr>
            <w:tcW w:w="3404" w:type="pct"/>
          </w:tcPr>
          <w:p w14:paraId="6CB3A15D" w14:textId="77777777" w:rsidR="007125A8" w:rsidRDefault="007125A8" w:rsidP="007125A8">
            <w:pPr>
              <w:spacing w:after="0" w:line="276" w:lineRule="auto"/>
              <w:rPr>
                <w:rFonts w:eastAsia="宋体"/>
                <w:szCs w:val="22"/>
              </w:rPr>
            </w:pPr>
            <w:r>
              <w:rPr>
                <w:rFonts w:eastAsia="宋体"/>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宋体"/>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宋体"/>
                <w:szCs w:val="22"/>
              </w:rPr>
            </w:pPr>
            <w:r>
              <w:rPr>
                <w:rFonts w:eastAsia="宋体"/>
                <w:szCs w:val="22"/>
              </w:rPr>
              <w:t>Nokia</w:t>
            </w:r>
          </w:p>
        </w:tc>
        <w:tc>
          <w:tcPr>
            <w:tcW w:w="694" w:type="pct"/>
          </w:tcPr>
          <w:p w14:paraId="019CDFC5" w14:textId="727E2163" w:rsidR="002B2260" w:rsidRDefault="002B2260" w:rsidP="007125A8">
            <w:pPr>
              <w:spacing w:after="0" w:line="276" w:lineRule="auto"/>
              <w:jc w:val="center"/>
              <w:rPr>
                <w:rFonts w:eastAsia="宋体"/>
                <w:szCs w:val="22"/>
              </w:rPr>
            </w:pPr>
            <w:r>
              <w:rPr>
                <w:rFonts w:eastAsia="宋体"/>
                <w:szCs w:val="22"/>
              </w:rPr>
              <w:t>Solution 1</w:t>
            </w:r>
          </w:p>
        </w:tc>
        <w:tc>
          <w:tcPr>
            <w:tcW w:w="3404" w:type="pct"/>
          </w:tcPr>
          <w:p w14:paraId="7A41433B" w14:textId="1823A570" w:rsidR="002B2260" w:rsidRDefault="002B2260" w:rsidP="007125A8">
            <w:pPr>
              <w:spacing w:after="0" w:line="276" w:lineRule="auto"/>
              <w:rPr>
                <w:rFonts w:eastAsia="宋体"/>
                <w:szCs w:val="22"/>
              </w:rPr>
            </w:pPr>
            <w:r>
              <w:rPr>
                <w:rFonts w:eastAsia="宋体"/>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lastRenderedPageBreak/>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proofErr w:type="spellStart"/>
      <w:r w:rsidRPr="00B67DB2">
        <w:rPr>
          <w:bCs/>
          <w:i/>
          <w:iCs/>
          <w:lang w:eastAsia="ja-JP"/>
        </w:rPr>
        <w:t>selectedBandEntriesMNList</w:t>
      </w:r>
      <w:proofErr w:type="spellEnd"/>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proofErr w:type="spellStart"/>
      <w:r>
        <w:rPr>
          <w:b/>
          <w:i/>
          <w:iCs/>
          <w:lang w:eastAsia="ja-JP"/>
        </w:rPr>
        <w:t>s</w:t>
      </w:r>
      <w:r w:rsidR="00036AFC" w:rsidRPr="00036AFC">
        <w:rPr>
          <w:b/>
          <w:i/>
          <w:iCs/>
          <w:lang w:eastAsia="ja-JP"/>
        </w:rPr>
        <w:t>electedBandEntriesMNList</w:t>
      </w:r>
      <w:bookmarkEnd w:id="0"/>
      <w:proofErr w:type="spellEnd"/>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proofErr w:type="spellStart"/>
      <w:r w:rsidRPr="00036AFC">
        <w:rPr>
          <w:b/>
          <w:i/>
          <w:iCs/>
          <w:lang w:eastAsia="ja-JP"/>
        </w:rPr>
        <w:t>servFrequenciesMN</w:t>
      </w:r>
      <w:proofErr w:type="spellEnd"/>
      <w:r w:rsidRPr="00036AFC">
        <w:rPr>
          <w:b/>
          <w:i/>
          <w:iCs/>
          <w:lang w:eastAsia="ja-JP"/>
        </w:rPr>
        <w:t>-NR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w:t>
      </w:r>
      <w:proofErr w:type="spellStart"/>
      <w:r w:rsidRPr="006F115B">
        <w:rPr>
          <w:lang w:eastAsia="sv-SE"/>
        </w:rPr>
        <w:t>PCell</w:t>
      </w:r>
      <w:proofErr w:type="spellEnd"/>
      <w:r w:rsidRPr="006F115B">
        <w:rPr>
          <w:lang w:eastAsia="sv-SE"/>
        </w:rPr>
        <w:t xml:space="preserve"> and </w:t>
      </w:r>
      <w:proofErr w:type="spellStart"/>
      <w:r w:rsidRPr="006F115B">
        <w:rPr>
          <w:lang w:eastAsia="sv-SE"/>
        </w:rPr>
        <w:t>SCell</w:t>
      </w:r>
      <w:proofErr w:type="spellEnd"/>
      <w:r w:rsidRPr="006F115B">
        <w:rPr>
          <w:lang w:eastAsia="sv-SE"/>
        </w:rPr>
        <w:t xml:space="preserve">(s)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3"/>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proofErr w:type="spellStart"/>
            <w:r w:rsidRPr="00773513">
              <w:rPr>
                <w:lang w:eastAsia="sv-SE"/>
              </w:rPr>
              <w:t>selectedBandEntriesMNList</w:t>
            </w:r>
            <w:proofErr w:type="spellEnd"/>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proofErr w:type="spellStart"/>
            <w:r w:rsidRPr="00773513">
              <w:rPr>
                <w:lang w:eastAsia="sv-SE"/>
              </w:rPr>
              <w:t>servFrequenciesMN</w:t>
            </w:r>
            <w:proofErr w:type="spellEnd"/>
            <w:r w:rsidRPr="00773513">
              <w:rPr>
                <w:lang w:eastAsia="sv-SE"/>
              </w:rPr>
              <w:t>-NR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3"/>
        <w:tblW w:w="4960" w:type="pct"/>
        <w:tblLook w:val="04A0" w:firstRow="1" w:lastRow="0" w:firstColumn="1" w:lastColumn="0" w:noHBand="0" w:noVBand="1"/>
      </w:tblPr>
      <w:tblGrid>
        <w:gridCol w:w="2606"/>
        <w:gridCol w:w="7394"/>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proofErr w:type="spellStart"/>
            <w:r w:rsidRPr="006674A0">
              <w:rPr>
                <w:i/>
                <w:iCs/>
                <w:lang w:eastAsia="sv-SE"/>
              </w:rPr>
              <w:t>selectedBandEntriesMNList</w:t>
            </w:r>
            <w:proofErr w:type="spellEnd"/>
            <w:r>
              <w:rPr>
                <w:i/>
                <w:iCs/>
                <w:lang w:eastAsia="sv-SE"/>
              </w:rPr>
              <w:t xml:space="preserve"> </w:t>
            </w:r>
            <w:r>
              <w:rPr>
                <w:lang w:eastAsia="sv-SE"/>
              </w:rPr>
              <w:t xml:space="preserve">looks like a good candidate for </w:t>
            </w:r>
            <w:proofErr w:type="spellStart"/>
            <w:r>
              <w:rPr>
                <w:lang w:eastAsia="sv-SE"/>
              </w:rPr>
              <w:t>signalling</w:t>
            </w:r>
            <w:proofErr w:type="spellEnd"/>
            <w:r>
              <w:rPr>
                <w:lang w:eastAsia="sv-SE"/>
              </w:rPr>
              <w:t xml:space="preserve">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proofErr w:type="spellStart"/>
      <w:r w:rsidRPr="00B11BFC">
        <w:rPr>
          <w:i/>
          <w:iCs/>
          <w:lang w:eastAsia="ja-JP"/>
        </w:rPr>
        <w:t>selectedBandEntriesMNList</w:t>
      </w:r>
      <w:proofErr w:type="spellEnd"/>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3"/>
        <w:tblW w:w="5000" w:type="pct"/>
        <w:tblLook w:val="04A0" w:firstRow="1" w:lastRow="0" w:firstColumn="1" w:lastColumn="0" w:noHBand="0" w:noVBand="1"/>
      </w:tblPr>
      <w:tblGrid>
        <w:gridCol w:w="2750"/>
        <w:gridCol w:w="1450"/>
        <w:gridCol w:w="5881"/>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proofErr w:type="spellStart"/>
            <w:r w:rsidRPr="00B11BFC">
              <w:rPr>
                <w:i/>
                <w:iCs/>
                <w:lang w:eastAsia="ja-JP"/>
              </w:rPr>
              <w:t>selectedBandEntriesMNList</w:t>
            </w:r>
            <w:proofErr w:type="spellEnd"/>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宋体"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宋体"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宋体"/>
                <w:iCs/>
              </w:rPr>
              <w:t>I</w:t>
            </w:r>
            <w:r>
              <w:rPr>
                <w:rFonts w:eastAsia="宋体" w:hint="eastAsia"/>
                <w:iCs/>
              </w:rPr>
              <w:t xml:space="preserve">f option 1 is not adopted, SN does not know the </w:t>
            </w:r>
            <w:r>
              <w:rPr>
                <w:bCs/>
                <w:lang w:eastAsia="ja-JP"/>
              </w:rPr>
              <w:t>frequency bands used by the MN, which</w:t>
            </w:r>
            <w:r>
              <w:rPr>
                <w:rFonts w:eastAsia="宋体" w:hint="eastAsia"/>
                <w:bCs/>
              </w:rPr>
              <w:t xml:space="preserve"> cannot </w:t>
            </w:r>
            <w:r>
              <w:rPr>
                <w:bCs/>
                <w:lang w:eastAsia="ja-JP"/>
              </w:rPr>
              <w:t xml:space="preserve">enable the </w:t>
            </w:r>
            <w:r>
              <w:rPr>
                <w:rFonts w:eastAsia="宋体"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63E27BD8" w14:textId="2908B2C3" w:rsidR="002E0066" w:rsidRDefault="002E0066" w:rsidP="002E0066">
            <w:pPr>
              <w:spacing w:after="0" w:line="276" w:lineRule="auto"/>
              <w:jc w:val="center"/>
              <w:rPr>
                <w:szCs w:val="22"/>
                <w:lang w:eastAsia="ja-JP"/>
              </w:rPr>
            </w:pPr>
            <w:r>
              <w:rPr>
                <w:rFonts w:eastAsia="宋体"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宋体"/>
                <w:szCs w:val="22"/>
              </w:rPr>
              <w:t>F</w:t>
            </w:r>
            <w:r>
              <w:rPr>
                <w:rFonts w:eastAsia="宋体" w:hint="eastAsia"/>
                <w:szCs w:val="22"/>
              </w:rPr>
              <w:t>o</w:t>
            </w:r>
            <w:r>
              <w:rPr>
                <w:rFonts w:eastAsia="宋体"/>
                <w:szCs w:val="22"/>
              </w:rPr>
              <w:t xml:space="preserve">r the issue indicated in </w:t>
            </w:r>
            <w:r w:rsidRPr="00FA3098">
              <w:rPr>
                <w:rFonts w:eastAsia="宋体"/>
                <w:szCs w:val="22"/>
              </w:rPr>
              <w:t>R2-2107389</w:t>
            </w:r>
            <w:r>
              <w:rPr>
                <w:rFonts w:eastAsia="宋体"/>
                <w:szCs w:val="22"/>
              </w:rPr>
              <w:t>, it can be addressed by extending</w:t>
            </w:r>
            <w:r w:rsidRPr="002E0066">
              <w:rPr>
                <w:rFonts w:eastAsia="宋体"/>
                <w:szCs w:val="22"/>
              </w:rPr>
              <w:t xml:space="preserve"> the </w:t>
            </w:r>
            <w:proofErr w:type="spellStart"/>
            <w:r w:rsidRPr="002E0066">
              <w:rPr>
                <w:i/>
                <w:kern w:val="2"/>
              </w:rPr>
              <w:t>selectedBandEntriesMNList</w:t>
            </w:r>
            <w:proofErr w:type="spellEnd"/>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w:t>
            </w:r>
            <w:proofErr w:type="gramStart"/>
            <w:r>
              <w:rPr>
                <w:szCs w:val="22"/>
                <w:lang w:eastAsia="ja-JP"/>
              </w:rPr>
              <w:t>DL,</w:t>
            </w:r>
            <w:proofErr w:type="gramEnd"/>
            <w:r>
              <w:rPr>
                <w:szCs w:val="22"/>
                <w:lang w:eastAsia="ja-JP"/>
              </w:rPr>
              <w:t xml:space="preserve"> hence </w:t>
            </w:r>
            <w:proofErr w:type="spellStart"/>
            <w:r w:rsidRPr="002E0066">
              <w:rPr>
                <w:i/>
                <w:kern w:val="2"/>
              </w:rPr>
              <w:t>selectedBandEntriesMNList</w:t>
            </w:r>
            <w:proofErr w:type="spellEnd"/>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w:t>
            </w:r>
            <w:proofErr w:type="spellStart"/>
            <w:r w:rsidR="006674A0">
              <w:rPr>
                <w:szCs w:val="22"/>
                <w:lang w:eastAsia="ja-JP"/>
              </w:rPr>
              <w:t>signalling</w:t>
            </w:r>
            <w:proofErr w:type="spellEnd"/>
            <w:r w:rsidR="006674A0">
              <w:rPr>
                <w:szCs w:val="22"/>
                <w:lang w:eastAsia="ja-JP"/>
              </w:rPr>
              <w:t xml:space="preserve">. About the RAN3 handling the </w:t>
            </w:r>
            <w:proofErr w:type="spellStart"/>
            <w:r w:rsidR="006674A0">
              <w:rPr>
                <w:szCs w:val="22"/>
                <w:lang w:eastAsia="ja-JP"/>
              </w:rPr>
              <w:t>signalling</w:t>
            </w:r>
            <w:proofErr w:type="spellEnd"/>
            <w:r w:rsidR="006674A0">
              <w:rPr>
                <w:szCs w:val="22"/>
                <w:lang w:eastAsia="ja-JP"/>
              </w:rPr>
              <w:t xml:space="preserve">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2"/>
      </w:pPr>
      <w:r>
        <w:lastRenderedPageBreak/>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1"/>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1"/>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xml:space="preserve">, the </w:t>
      </w:r>
      <w:proofErr w:type="spellStart"/>
      <w:r>
        <w:rPr>
          <w:lang w:eastAsia="ja-JP"/>
        </w:rPr>
        <w:t>gNBs</w:t>
      </w:r>
      <w:proofErr w:type="spellEnd"/>
      <w:r>
        <w:rPr>
          <w:lang w:eastAsia="ja-JP"/>
        </w:rPr>
        <w:t xml:space="preserve">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w:t>
      </w:r>
      <w:proofErr w:type="spellStart"/>
      <w:r>
        <w:rPr>
          <w:lang w:eastAsia="ja-JP"/>
        </w:rPr>
        <w:t>gNBs</w:t>
      </w:r>
      <w:proofErr w:type="spellEnd"/>
      <w:r>
        <w:rPr>
          <w:lang w:eastAsia="ja-JP"/>
        </w:rPr>
        <w:t xml:space="preserve">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w:t>
      </w:r>
      <w:proofErr w:type="spellStart"/>
      <w:r>
        <w:rPr>
          <w:lang w:eastAsia="ja-JP"/>
        </w:rPr>
        <w:t>gNBs</w:t>
      </w:r>
      <w:proofErr w:type="spellEnd"/>
      <w:r>
        <w:rPr>
          <w:lang w:eastAsia="ja-JP"/>
        </w:rPr>
        <w:t xml:space="preserve">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3"/>
        <w:tblW w:w="5000" w:type="pct"/>
        <w:tblLook w:val="04A0" w:firstRow="1" w:lastRow="0" w:firstColumn="1" w:lastColumn="0" w:noHBand="0" w:noVBand="1"/>
      </w:tblPr>
      <w:tblGrid>
        <w:gridCol w:w="1447"/>
        <w:gridCol w:w="1593"/>
        <w:gridCol w:w="2321"/>
        <w:gridCol w:w="4720"/>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宋体" w:hint="eastAsia"/>
                <w:szCs w:val="22"/>
              </w:rPr>
              <w:t>Y</w:t>
            </w:r>
            <w:r>
              <w:rPr>
                <w:rFonts w:eastAsia="宋体"/>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宋体"/>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inter-node resource 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w:t>
            </w:r>
            <w:proofErr w:type="spellStart"/>
            <w:r>
              <w:rPr>
                <w:szCs w:val="22"/>
                <w:lang w:eastAsia="ja-JP"/>
              </w:rPr>
              <w:t>non support</w:t>
            </w:r>
            <w:proofErr w:type="spellEnd"/>
            <w:r>
              <w:rPr>
                <w:szCs w:val="22"/>
                <w:lang w:eastAsia="ja-JP"/>
              </w:rPr>
              <w:t xml:space="preserve"> of simultaneous Rx/</w:t>
            </w:r>
            <w:proofErr w:type="spellStart"/>
            <w:r>
              <w:rPr>
                <w:szCs w:val="22"/>
                <w:lang w:eastAsia="ja-JP"/>
              </w:rPr>
              <w:t>Tx</w:t>
            </w:r>
            <w:proofErr w:type="spellEnd"/>
            <w:r>
              <w:rPr>
                <w:szCs w:val="22"/>
                <w:lang w:eastAsia="ja-JP"/>
              </w:rPr>
              <w:t xml:space="preserve">. But we would be </w:t>
            </w:r>
            <w:r>
              <w:rPr>
                <w:szCs w:val="22"/>
                <w:lang w:eastAsia="ja-JP"/>
              </w:rPr>
              <w:lastRenderedPageBreak/>
              <w:t xml:space="preserve">fine to send </w:t>
            </w:r>
            <w:proofErr w:type="gramStart"/>
            <w:r>
              <w:rPr>
                <w:szCs w:val="22"/>
                <w:lang w:eastAsia="ja-JP"/>
              </w:rPr>
              <w:t>an LS</w:t>
            </w:r>
            <w:proofErr w:type="gramEnd"/>
            <w:r>
              <w:rPr>
                <w:szCs w:val="22"/>
                <w:lang w:eastAsia="ja-JP"/>
              </w:rPr>
              <w:t xml:space="preserve">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lastRenderedPageBreak/>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r>
              <w:rPr>
                <w:szCs w:val="22"/>
                <w:lang w:eastAsia="ja-JP"/>
              </w:rPr>
              <w:t>Yes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w:t>
      </w:r>
      <w:proofErr w:type="spellStart"/>
      <w:r>
        <w:rPr>
          <w:color w:val="4472C4" w:themeColor="accent1"/>
          <w:lang w:eastAsia="ja-JP"/>
        </w:rPr>
        <w:t>not</w:t>
      </w:r>
      <w:proofErr w:type="spellEnd"/>
      <w:r>
        <w:rPr>
          <w:color w:val="4472C4" w:themeColor="accent1"/>
          <w:lang w:eastAsia="ja-JP"/>
        </w:rPr>
        <w:t xml:space="preserve">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 xml:space="preserve">companies were ok to send </w:t>
      </w:r>
      <w:proofErr w:type="gramStart"/>
      <w:r w:rsidR="000E6C1A">
        <w:rPr>
          <w:color w:val="4472C4" w:themeColor="accent1"/>
          <w:lang w:eastAsia="ja-JP"/>
        </w:rPr>
        <w:t>an LS</w:t>
      </w:r>
      <w:proofErr w:type="gramEnd"/>
      <w:r w:rsidR="000E6C1A">
        <w:rPr>
          <w:color w:val="4472C4" w:themeColor="accent1"/>
          <w:lang w:eastAsia="ja-JP"/>
        </w:rPr>
        <w:t xml:space="preserve">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af3"/>
        <w:tblW w:w="4928" w:type="pct"/>
        <w:tblLook w:val="04A0" w:firstRow="1" w:lastRow="0" w:firstColumn="1" w:lastColumn="0" w:noHBand="0" w:noVBand="1"/>
      </w:tblPr>
      <w:tblGrid>
        <w:gridCol w:w="2365"/>
        <w:gridCol w:w="757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w:t>
            </w:r>
            <w:proofErr w:type="gramStart"/>
            <w:r w:rsidR="00886A99">
              <w:rPr>
                <w:lang w:eastAsia="ja-JP"/>
              </w:rPr>
              <w:t>an</w:t>
            </w:r>
            <w:proofErr w:type="gramEnd"/>
            <w:r w:rsidR="00886A99">
              <w:rPr>
                <w:lang w:eastAsia="ja-JP"/>
              </w:rPr>
              <w:t xml:space="preserve">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lastRenderedPageBreak/>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3"/>
        <w:tblW w:w="5000" w:type="pct"/>
        <w:tblLook w:val="04A0" w:firstRow="1" w:lastRow="0" w:firstColumn="1" w:lastColumn="0" w:noHBand="0" w:noVBand="1"/>
      </w:tblPr>
      <w:tblGrid>
        <w:gridCol w:w="2750"/>
        <w:gridCol w:w="1450"/>
        <w:gridCol w:w="5881"/>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535042">
        <w:tc>
          <w:tcPr>
            <w:tcW w:w="1364" w:type="pct"/>
          </w:tcPr>
          <w:p w14:paraId="7C9772AE" w14:textId="57FF2564" w:rsidR="0071088F" w:rsidRPr="00EE245F" w:rsidRDefault="00EE245F" w:rsidP="0071088F">
            <w:pPr>
              <w:spacing w:after="0" w:line="276" w:lineRule="auto"/>
              <w:jc w:val="center"/>
              <w:rPr>
                <w:rFonts w:eastAsia="宋体"/>
                <w:szCs w:val="22"/>
              </w:rPr>
            </w:pPr>
            <w:r>
              <w:rPr>
                <w:rFonts w:eastAsia="宋体"/>
                <w:szCs w:val="22"/>
              </w:rPr>
              <w:t>OPPO</w:t>
            </w:r>
          </w:p>
        </w:tc>
        <w:tc>
          <w:tcPr>
            <w:tcW w:w="719" w:type="pct"/>
          </w:tcPr>
          <w:p w14:paraId="59178594" w14:textId="1FC2386E" w:rsidR="0071088F" w:rsidRPr="00EE245F" w:rsidRDefault="00EE245F" w:rsidP="0071088F">
            <w:pPr>
              <w:spacing w:after="0" w:line="276" w:lineRule="auto"/>
              <w:jc w:val="center"/>
              <w:rPr>
                <w:rFonts w:eastAsia="宋体"/>
                <w:szCs w:val="22"/>
              </w:rPr>
            </w:pPr>
            <w:r>
              <w:rPr>
                <w:rFonts w:eastAsia="宋体" w:hint="eastAsia"/>
                <w:szCs w:val="22"/>
              </w:rPr>
              <w:t>R</w:t>
            </w:r>
            <w:r>
              <w:rPr>
                <w:rFonts w:eastAsia="宋体"/>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29E50630" w:rsidR="0071088F" w:rsidRDefault="00506AD8" w:rsidP="0071088F">
            <w:pPr>
              <w:spacing w:after="0" w:line="276" w:lineRule="auto"/>
              <w:jc w:val="center"/>
              <w:rPr>
                <w:szCs w:val="22"/>
                <w:lang w:eastAsia="ja-JP"/>
              </w:rPr>
            </w:pPr>
            <w:r>
              <w:rPr>
                <w:szCs w:val="22"/>
                <w:lang w:eastAsia="ja-JP"/>
              </w:rPr>
              <w:t>MediaTek</w:t>
            </w:r>
          </w:p>
        </w:tc>
        <w:tc>
          <w:tcPr>
            <w:tcW w:w="719" w:type="pct"/>
          </w:tcPr>
          <w:p w14:paraId="355B6362" w14:textId="522B2B7D" w:rsidR="0071088F" w:rsidRDefault="00506AD8" w:rsidP="0071088F">
            <w:pPr>
              <w:spacing w:after="0" w:line="276" w:lineRule="auto"/>
              <w:jc w:val="center"/>
              <w:rPr>
                <w:szCs w:val="22"/>
                <w:lang w:eastAsia="ja-JP"/>
              </w:rPr>
            </w:pPr>
            <w:r>
              <w:rPr>
                <w:szCs w:val="22"/>
                <w:lang w:eastAsia="ja-JP"/>
              </w:rPr>
              <w:t>Rel-16</w:t>
            </w:r>
          </w:p>
        </w:tc>
        <w:tc>
          <w:tcPr>
            <w:tcW w:w="2917" w:type="pct"/>
          </w:tcPr>
          <w:p w14:paraId="0E008816" w14:textId="5155F62F" w:rsidR="0071088F" w:rsidRPr="00DD497D" w:rsidRDefault="001D4C6E" w:rsidP="0071088F">
            <w:pPr>
              <w:spacing w:after="0" w:line="276" w:lineRule="auto"/>
              <w:rPr>
                <w:lang w:eastAsia="ja-JP"/>
              </w:rPr>
            </w:pPr>
            <w:r>
              <w:rPr>
                <w:szCs w:val="22"/>
                <w:lang w:eastAsia="ja-JP"/>
              </w:rPr>
              <w:t xml:space="preserve">The proposal is to have fine granularity for </w:t>
            </w:r>
            <w:proofErr w:type="spellStart"/>
            <w:r w:rsidRPr="001D4C6E">
              <w:rPr>
                <w:i/>
                <w:lang w:eastAsia="ja-JP"/>
              </w:rPr>
              <w:t>simultaneousRxTxInterBandCA</w:t>
            </w:r>
            <w:proofErr w:type="spellEnd"/>
            <w:r>
              <w:rPr>
                <w:lang w:eastAsia="ja-JP"/>
              </w:rPr>
              <w:t>. This does not look like essential as the original capability (in coarse granularity) also work in some level. It is our preference to start this change from Rel-16.</w:t>
            </w:r>
          </w:p>
        </w:tc>
      </w:tr>
      <w:tr w:rsidR="0071088F" w14:paraId="08B28227" w14:textId="77777777" w:rsidTr="00535042">
        <w:tc>
          <w:tcPr>
            <w:tcW w:w="1364" w:type="pct"/>
          </w:tcPr>
          <w:p w14:paraId="2C6A0372" w14:textId="01B4B73A" w:rsidR="0071088F" w:rsidRDefault="00F45484" w:rsidP="0071088F">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7A12FA7C" w14:textId="27EFB927" w:rsidR="0071088F" w:rsidRDefault="00F45484" w:rsidP="0071088F">
            <w:pPr>
              <w:spacing w:after="0" w:line="276" w:lineRule="auto"/>
              <w:jc w:val="center"/>
              <w:rPr>
                <w:szCs w:val="22"/>
                <w:lang w:eastAsia="ja-JP"/>
              </w:rPr>
            </w:pPr>
            <w:r>
              <w:rPr>
                <w:szCs w:val="22"/>
                <w:lang w:eastAsia="ja-JP"/>
              </w:rPr>
              <w:t>Rel-15</w:t>
            </w:r>
          </w:p>
        </w:tc>
        <w:tc>
          <w:tcPr>
            <w:tcW w:w="2917" w:type="pct"/>
          </w:tcPr>
          <w:p w14:paraId="45207197" w14:textId="0D77E29F" w:rsidR="0071088F" w:rsidRPr="00F45484" w:rsidRDefault="00F45484" w:rsidP="0071088F">
            <w:pPr>
              <w:spacing w:after="0" w:line="276" w:lineRule="auto"/>
              <w:rPr>
                <w:rFonts w:eastAsia="宋体"/>
                <w:szCs w:val="22"/>
              </w:rPr>
            </w:pPr>
            <w:r>
              <w:rPr>
                <w:rFonts w:eastAsia="宋体"/>
                <w:szCs w:val="22"/>
              </w:rPr>
              <w:t xml:space="preserve">The issue solved by new </w:t>
            </w:r>
            <w:r w:rsidRPr="00446947">
              <w:rPr>
                <w:lang w:eastAsia="ja-JP"/>
              </w:rPr>
              <w:t xml:space="preserve">granularity </w:t>
            </w:r>
            <w:r>
              <w:rPr>
                <w:rFonts w:eastAsia="宋体"/>
                <w:szCs w:val="22"/>
              </w:rPr>
              <w:t xml:space="preserve">signaling exists in Rel-15 and there is no NBC issue, </w:t>
            </w:r>
            <w:r w:rsidR="00C55BE3">
              <w:rPr>
                <w:rFonts w:eastAsia="宋体"/>
                <w:szCs w:val="22"/>
              </w:rPr>
              <w:t>so ok to introduce it</w:t>
            </w:r>
            <w:r w:rsidR="00C55BE3">
              <w:rPr>
                <w:szCs w:val="22"/>
                <w:lang w:eastAsia="ja-JP"/>
              </w:rPr>
              <w:t xml:space="preserve"> from Rel-15.</w:t>
            </w:r>
          </w:p>
        </w:tc>
      </w:tr>
      <w:tr w:rsidR="0071088F" w14:paraId="05995AD5" w14:textId="77777777" w:rsidTr="00535042">
        <w:tc>
          <w:tcPr>
            <w:tcW w:w="1364" w:type="pct"/>
          </w:tcPr>
          <w:p w14:paraId="1E15A7D3" w14:textId="33EFB4BF" w:rsidR="0071088F" w:rsidRDefault="00D868F5" w:rsidP="0071088F">
            <w:pPr>
              <w:spacing w:after="0" w:line="276" w:lineRule="auto"/>
              <w:jc w:val="center"/>
              <w:rPr>
                <w:szCs w:val="22"/>
                <w:lang w:eastAsia="ja-JP"/>
              </w:rPr>
            </w:pPr>
            <w:r>
              <w:rPr>
                <w:szCs w:val="22"/>
                <w:lang w:eastAsia="ja-JP"/>
              </w:rPr>
              <w:t>SoftBank</w:t>
            </w:r>
          </w:p>
        </w:tc>
        <w:tc>
          <w:tcPr>
            <w:tcW w:w="719" w:type="pct"/>
          </w:tcPr>
          <w:p w14:paraId="3FD3FA5B" w14:textId="78CCEDE9" w:rsidR="0071088F" w:rsidRDefault="00D868F5" w:rsidP="0071088F">
            <w:pPr>
              <w:spacing w:after="0" w:line="276" w:lineRule="auto"/>
              <w:jc w:val="center"/>
              <w:rPr>
                <w:szCs w:val="22"/>
                <w:lang w:eastAsia="ja-JP"/>
              </w:rPr>
            </w:pPr>
            <w:r>
              <w:rPr>
                <w:szCs w:val="22"/>
                <w:lang w:eastAsia="ja-JP"/>
              </w:rPr>
              <w:t>Rel-15</w:t>
            </w:r>
          </w:p>
        </w:tc>
        <w:tc>
          <w:tcPr>
            <w:tcW w:w="2917" w:type="pct"/>
          </w:tcPr>
          <w:p w14:paraId="42385172" w14:textId="0722BF78" w:rsidR="0071088F" w:rsidRDefault="00D868F5" w:rsidP="0071088F">
            <w:pPr>
              <w:spacing w:after="0" w:line="276" w:lineRule="auto"/>
              <w:rPr>
                <w:szCs w:val="22"/>
                <w:lang w:eastAsia="ja-JP"/>
              </w:rPr>
            </w:pPr>
            <w:r>
              <w:rPr>
                <w:szCs w:val="22"/>
                <w:lang w:eastAsia="ja-JP"/>
              </w:rPr>
              <w:t>RAN4 LS clearly requested it should be introduced from Rel-15.</w:t>
            </w:r>
          </w:p>
        </w:tc>
      </w:tr>
      <w:tr w:rsidR="0071088F" w14:paraId="0384D8EB" w14:textId="77777777" w:rsidTr="00535042">
        <w:tc>
          <w:tcPr>
            <w:tcW w:w="1364" w:type="pct"/>
          </w:tcPr>
          <w:p w14:paraId="2B79A4EC" w14:textId="6B720C6B" w:rsidR="0071088F" w:rsidRDefault="00323687" w:rsidP="0071088F">
            <w:pPr>
              <w:spacing w:after="0" w:line="276" w:lineRule="auto"/>
              <w:jc w:val="center"/>
              <w:rPr>
                <w:szCs w:val="22"/>
              </w:rPr>
            </w:pPr>
            <w:r>
              <w:rPr>
                <w:rFonts w:hint="eastAsia"/>
                <w:szCs w:val="22"/>
              </w:rPr>
              <w:t>CATT</w:t>
            </w:r>
          </w:p>
        </w:tc>
        <w:tc>
          <w:tcPr>
            <w:tcW w:w="719" w:type="pct"/>
          </w:tcPr>
          <w:p w14:paraId="74B8CB32" w14:textId="00BF5D04" w:rsidR="0071088F" w:rsidRDefault="00323687" w:rsidP="00AD12AC">
            <w:pPr>
              <w:spacing w:after="0" w:line="276" w:lineRule="auto"/>
              <w:jc w:val="center"/>
              <w:rPr>
                <w:szCs w:val="22"/>
              </w:rPr>
            </w:pPr>
            <w:r>
              <w:rPr>
                <w:rFonts w:hint="eastAsia"/>
                <w:szCs w:val="22"/>
              </w:rPr>
              <w:t>Rel-1</w:t>
            </w:r>
            <w:r w:rsidR="00AD12AC">
              <w:rPr>
                <w:rFonts w:hint="eastAsia"/>
                <w:szCs w:val="22"/>
              </w:rPr>
              <w:t>6</w:t>
            </w:r>
          </w:p>
        </w:tc>
        <w:tc>
          <w:tcPr>
            <w:tcW w:w="2917" w:type="pct"/>
          </w:tcPr>
          <w:p w14:paraId="705838B8" w14:textId="50D8BDC2" w:rsidR="0071088F" w:rsidRPr="00AD12AC" w:rsidRDefault="00AD12AC" w:rsidP="0071088F">
            <w:pPr>
              <w:spacing w:after="0" w:line="276" w:lineRule="auto"/>
              <w:rPr>
                <w:rFonts w:eastAsiaTheme="minorEastAsia"/>
                <w:szCs w:val="22"/>
              </w:rPr>
            </w:pPr>
            <w:r>
              <w:rPr>
                <w:szCs w:val="22"/>
              </w:rPr>
              <w:t>A</w:t>
            </w:r>
            <w:r>
              <w:rPr>
                <w:rFonts w:hint="eastAsia"/>
                <w:szCs w:val="22"/>
              </w:rPr>
              <w:t>gree with MTK.</w:t>
            </w:r>
            <w:bookmarkStart w:id="6" w:name="_GoBack"/>
            <w:bookmarkEnd w:id="6"/>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 xml:space="preserve">he network nodes may also need the information on whether the resource is used for UL or </w:t>
      </w:r>
      <w:proofErr w:type="gramStart"/>
      <w:r w:rsidRPr="004155DC">
        <w:rPr>
          <w:lang w:eastAsia="ja-JP"/>
        </w:rPr>
        <w:t>DL,</w:t>
      </w:r>
      <w:proofErr w:type="gramEnd"/>
      <w:r w:rsidRPr="004155DC">
        <w:rPr>
          <w:lang w:eastAsia="ja-JP"/>
        </w:rPr>
        <w:t xml:space="preserve"> hence</w:t>
      </w:r>
      <w:r w:rsidR="002A49CC">
        <w:rPr>
          <w:lang w:eastAsia="ja-JP"/>
        </w:rPr>
        <w:t xml:space="preserve"> they thought</w:t>
      </w:r>
      <w:r w:rsidRPr="004155DC">
        <w:rPr>
          <w:lang w:eastAsia="ja-JP"/>
        </w:rPr>
        <w:t xml:space="preserve"> </w:t>
      </w:r>
      <w:proofErr w:type="spellStart"/>
      <w:r w:rsidRPr="002A49CC">
        <w:rPr>
          <w:i/>
          <w:lang w:eastAsia="ja-JP"/>
        </w:rPr>
        <w:t>selectedBandEntriesMNList</w:t>
      </w:r>
      <w:proofErr w:type="spellEnd"/>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1"/>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w:t>
      </w:r>
      <w:proofErr w:type="spellStart"/>
      <w:r w:rsidR="00BC534C" w:rsidRPr="007F78F2">
        <w:rPr>
          <w:i/>
          <w:iCs/>
          <w:lang w:eastAsia="ja-JP"/>
        </w:rPr>
        <w:t>ConfigInfo</w:t>
      </w:r>
      <w:proofErr w:type="spellEnd"/>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proofErr w:type="spellStart"/>
      <w:r w:rsidR="00BC534C" w:rsidRPr="007F78F2">
        <w:rPr>
          <w:i/>
          <w:iCs/>
          <w:lang w:eastAsia="ja-JP"/>
        </w:rPr>
        <w:t>selectedBandEntriesMNList</w:t>
      </w:r>
      <w:proofErr w:type="spellEnd"/>
      <w:r w:rsidR="00BC534C">
        <w:rPr>
          <w:lang w:eastAsia="ja-JP"/>
        </w:rPr>
        <w:t xml:space="preserve"> entry; and</w:t>
      </w:r>
    </w:p>
    <w:p w14:paraId="6D82D3CA" w14:textId="13159682" w:rsidR="007F78F2" w:rsidRDefault="00BC534C" w:rsidP="007F78F2">
      <w:pPr>
        <w:pStyle w:val="af1"/>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1"/>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proofErr w:type="spellStart"/>
      <w:r w:rsidR="00BC534C" w:rsidRPr="007F78F2">
        <w:rPr>
          <w:i/>
          <w:lang w:eastAsia="ja-JP"/>
        </w:rPr>
        <w:t>selectedBandEntriesMNList</w:t>
      </w:r>
      <w:proofErr w:type="spellEnd"/>
      <w:r w:rsidR="00BC534C">
        <w:rPr>
          <w:lang w:eastAsia="ja-JP"/>
        </w:rPr>
        <w:t>)</w:t>
      </w:r>
      <w:r w:rsidR="007F78F2">
        <w:rPr>
          <w:lang w:eastAsia="ja-JP"/>
        </w:rPr>
        <w:t>; and</w:t>
      </w:r>
    </w:p>
    <w:p w14:paraId="0EF54962" w14:textId="183B753E" w:rsidR="00BC534C" w:rsidRDefault="00F40CC7" w:rsidP="007F78F2">
      <w:pPr>
        <w:pStyle w:val="af1"/>
        <w:numPr>
          <w:ilvl w:val="1"/>
          <w:numId w:val="21"/>
        </w:numPr>
        <w:ind w:leftChars="0"/>
        <w:rPr>
          <w:lang w:eastAsia="ja-JP"/>
        </w:rPr>
      </w:pPr>
      <w:r>
        <w:rPr>
          <w:lang w:eastAsia="ja-JP"/>
        </w:rPr>
        <w:t>(</w:t>
      </w:r>
      <w:r w:rsidR="007F78F2">
        <w:rPr>
          <w:lang w:eastAsia="ja-JP"/>
        </w:rPr>
        <w:t xml:space="preserve">c) </w:t>
      </w:r>
      <w:proofErr w:type="gramStart"/>
      <w:r w:rsidR="00BC534C">
        <w:rPr>
          <w:lang w:eastAsia="ja-JP"/>
        </w:rPr>
        <w:t>the</w:t>
      </w:r>
      <w:proofErr w:type="gramEnd"/>
      <w:r w:rsidR="00BC534C">
        <w:rPr>
          <w:lang w:eastAsia="ja-JP"/>
        </w:rPr>
        <w:t xml:space="preserv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proofErr w:type="spellStart"/>
      <w:r w:rsidRPr="007F78F2">
        <w:rPr>
          <w:i/>
          <w:lang w:eastAsia="ja-JP"/>
        </w:rPr>
        <w:t>selectedBandEntriesMNList</w:t>
      </w:r>
      <w:proofErr w:type="spellEnd"/>
      <w:r w:rsidRPr="007F78F2">
        <w:rPr>
          <w:lang w:eastAsia="ja-JP"/>
        </w:rPr>
        <w:t>.</w:t>
      </w:r>
      <w:r>
        <w:rPr>
          <w:lang w:eastAsia="ja-JP"/>
        </w:rPr>
        <w:t>, i.e. in order for the MN to decide which band out of the who</w:t>
      </w:r>
      <w:r w:rsidR="0015578C">
        <w:rPr>
          <w:lang w:eastAsia="ja-JP"/>
        </w:rPr>
        <w:t xml:space="preserve">le </w:t>
      </w:r>
      <w:proofErr w:type="spellStart"/>
      <w:r w:rsidR="0015578C" w:rsidRPr="0015578C">
        <w:rPr>
          <w:i/>
          <w:lang w:eastAsia="ja-JP"/>
        </w:rPr>
        <w:t>selectedBandCombination</w:t>
      </w:r>
      <w:proofErr w:type="spellEnd"/>
      <w:r>
        <w:rPr>
          <w:lang w:eastAsia="ja-JP"/>
        </w:rPr>
        <w:t xml:space="preserve"> (potentially before </w:t>
      </w:r>
      <w:proofErr w:type="spellStart"/>
      <w:r>
        <w:rPr>
          <w:lang w:eastAsia="ja-JP"/>
        </w:rPr>
        <w:t>fallback</w:t>
      </w:r>
      <w:proofErr w:type="spellEnd"/>
      <w:r>
        <w:rPr>
          <w:lang w:eastAsia="ja-JP"/>
        </w:rPr>
        <w:t>) it should validate the simultaneous Rx/Tx capability.</w:t>
      </w:r>
    </w:p>
    <w:p w14:paraId="070A54AF" w14:textId="5EAE1135" w:rsidR="005C373F" w:rsidRDefault="005C373F" w:rsidP="007F78F2">
      <w:pPr>
        <w:rPr>
          <w:lang w:eastAsia="ja-JP"/>
        </w:rPr>
      </w:pPr>
      <w:r>
        <w:rPr>
          <w:rFonts w:hint="eastAsia"/>
          <w:lang w:eastAsia="ja-JP"/>
        </w:rPr>
        <w:lastRenderedPageBreak/>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7" w:name="OLE_LINK4"/>
      <w:bookmarkStart w:id="8" w:name="OLE_LINK5"/>
      <w:r w:rsidRPr="005C373F">
        <w:rPr>
          <w:rFonts w:ascii="Courier New" w:eastAsia="Times New Roman" w:hAnsi="Courier New" w:cs="Times New Roman"/>
          <w:noProof/>
          <w:sz w:val="16"/>
          <w:highlight w:val="cyan"/>
        </w:rPr>
        <w:t>maxBandComb</w:t>
      </w:r>
      <w:bookmarkEnd w:id="7"/>
      <w:bookmarkEnd w:id="8"/>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3"/>
        <w:tblW w:w="5000" w:type="pct"/>
        <w:tblLook w:val="04A0" w:firstRow="1" w:lastRow="0" w:firstColumn="1" w:lastColumn="0" w:noHBand="0" w:noVBand="1"/>
      </w:tblPr>
      <w:tblGrid>
        <w:gridCol w:w="2750"/>
        <w:gridCol w:w="1885"/>
        <w:gridCol w:w="5446"/>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The lack of granularity is observed in the field for EN-DC, including multi-vendor setup. Hence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 xml:space="preserve">With the band information (i.e. </w:t>
            </w:r>
            <w:proofErr w:type="spellStart"/>
            <w:r w:rsidRPr="007F78F2">
              <w:rPr>
                <w:i/>
                <w:lang w:eastAsia="ja-JP"/>
              </w:rPr>
              <w:t>selectedBandEntriesMNList</w:t>
            </w:r>
            <w:proofErr w:type="spellEnd"/>
            <w:r>
              <w:rPr>
                <w:iCs/>
                <w:lang w:eastAsia="ja-JP"/>
              </w:rPr>
              <w:t xml:space="preserve"> clarification and (b) above), MN/SN can know </w:t>
            </w:r>
            <w:r>
              <w:rPr>
                <w:szCs w:val="22"/>
                <w:lang w:eastAsia="ja-JP"/>
              </w:rPr>
              <w:t>which bands are used in the other node, and they can use the new per-band-pair UE capability. However, without the UL/DL info (a and c), the MN/SN would unnecessarily validate the DL-only band pairs, for which the simultaneous Rx/Tx never occurs (as there’d be 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0C45EF68" w:rsidR="0071088F" w:rsidRDefault="00C55BE3" w:rsidP="0071088F">
            <w:pPr>
              <w:spacing w:after="0" w:line="276" w:lineRule="auto"/>
              <w:jc w:val="center"/>
              <w:rPr>
                <w:szCs w:val="22"/>
                <w:lang w:eastAsia="ja-JP"/>
              </w:rPr>
            </w:pPr>
            <w:r w:rsidRPr="002B114B">
              <w:rPr>
                <w:rFonts w:eastAsiaTheme="minorEastAsia"/>
                <w:szCs w:val="22"/>
                <w:lang w:eastAsia="ja-JP"/>
              </w:rPr>
              <w:lastRenderedPageBreak/>
              <w:t xml:space="preserve">Huawei, </w:t>
            </w:r>
            <w:proofErr w:type="spellStart"/>
            <w:r w:rsidRPr="002B114B">
              <w:rPr>
                <w:rFonts w:eastAsiaTheme="minorEastAsia"/>
                <w:szCs w:val="22"/>
                <w:lang w:eastAsia="ja-JP"/>
              </w:rPr>
              <w:t>HiSilicon</w:t>
            </w:r>
            <w:proofErr w:type="spellEnd"/>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400AEC52" w:rsidR="0071088F" w:rsidRPr="00C55BE3" w:rsidRDefault="00C55BE3" w:rsidP="00C55BE3">
            <w:pPr>
              <w:spacing w:after="0" w:line="276" w:lineRule="auto"/>
              <w:rPr>
                <w:rFonts w:eastAsia="宋体"/>
                <w:szCs w:val="22"/>
              </w:rPr>
            </w:pPr>
            <w:r>
              <w:rPr>
                <w:rFonts w:eastAsia="宋体"/>
                <w:szCs w:val="22"/>
              </w:rPr>
              <w:t xml:space="preserve">We understand this is further optimization, can </w:t>
            </w:r>
            <w:r>
              <w:rPr>
                <w:szCs w:val="22"/>
                <w:lang w:eastAsia="ja-JP"/>
              </w:rPr>
              <w:t>go with the majority.</w:t>
            </w:r>
          </w:p>
        </w:tc>
      </w:tr>
      <w:tr w:rsidR="0071088F" w14:paraId="1A52F834" w14:textId="77777777" w:rsidTr="004155DC">
        <w:tc>
          <w:tcPr>
            <w:tcW w:w="1364" w:type="pct"/>
          </w:tcPr>
          <w:p w14:paraId="2956CAC1" w14:textId="46309414" w:rsidR="0071088F" w:rsidRDefault="00D868F5" w:rsidP="0071088F">
            <w:pPr>
              <w:spacing w:after="0" w:line="276" w:lineRule="auto"/>
              <w:jc w:val="center"/>
              <w:rPr>
                <w:szCs w:val="22"/>
                <w:lang w:eastAsia="ja-JP"/>
              </w:rPr>
            </w:pPr>
            <w:r>
              <w:rPr>
                <w:szCs w:val="22"/>
                <w:lang w:eastAsia="ja-JP"/>
              </w:rPr>
              <w:t>SoftBank</w:t>
            </w: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452A9C23" w:rsidR="0071088F" w:rsidRDefault="00D868F5" w:rsidP="0071088F">
            <w:pPr>
              <w:spacing w:after="0" w:line="276" w:lineRule="auto"/>
              <w:rPr>
                <w:szCs w:val="22"/>
                <w:lang w:eastAsia="ja-JP"/>
              </w:rPr>
            </w:pPr>
            <w:r>
              <w:rPr>
                <w:szCs w:val="22"/>
                <w:lang w:eastAsia="ja-JP"/>
              </w:rPr>
              <w:t>No strong view</w:t>
            </w:r>
          </w:p>
        </w:tc>
      </w:tr>
      <w:tr w:rsidR="0071088F" w14:paraId="360410C9" w14:textId="77777777" w:rsidTr="004155DC">
        <w:tc>
          <w:tcPr>
            <w:tcW w:w="1364" w:type="pct"/>
          </w:tcPr>
          <w:p w14:paraId="7C08AA25" w14:textId="672E26A8" w:rsidR="0071088F" w:rsidRDefault="00323687" w:rsidP="0071088F">
            <w:pPr>
              <w:spacing w:after="0" w:line="276" w:lineRule="auto"/>
              <w:jc w:val="center"/>
              <w:rPr>
                <w:szCs w:val="22"/>
              </w:rPr>
            </w:pPr>
            <w:r>
              <w:rPr>
                <w:rFonts w:hint="eastAsia"/>
                <w:szCs w:val="22"/>
              </w:rPr>
              <w:t>CATT</w:t>
            </w: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25AA3FF4" w:rsidR="0071088F" w:rsidRPr="00323687" w:rsidRDefault="00323687" w:rsidP="0071088F">
            <w:pPr>
              <w:spacing w:after="0" w:line="276" w:lineRule="auto"/>
              <w:rPr>
                <w:rFonts w:eastAsiaTheme="minorEastAsia"/>
                <w:szCs w:val="22"/>
              </w:rPr>
            </w:pPr>
            <w:r>
              <w:rPr>
                <w:rFonts w:hint="eastAsia"/>
                <w:szCs w:val="22"/>
              </w:rPr>
              <w:t xml:space="preserve">No strong view whether to introduce further </w:t>
            </w:r>
            <w:r>
              <w:rPr>
                <w:szCs w:val="22"/>
              </w:rPr>
              <w:t>optimization;</w:t>
            </w:r>
            <w:r>
              <w:rPr>
                <w:rFonts w:hint="eastAsia"/>
                <w:szCs w:val="22"/>
              </w:rPr>
              <w:t xml:space="preserve"> we are fine to go with the majority.</w:t>
            </w: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proofErr w:type="spellStart"/>
      <w:r w:rsidRPr="002E0066">
        <w:rPr>
          <w:i/>
          <w:kern w:val="2"/>
        </w:rPr>
        <w:t>selectedBandEntriesMNList</w:t>
      </w:r>
      <w:proofErr w:type="spellEnd"/>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 xml:space="preserve">While there was </w:t>
      </w:r>
      <w:proofErr w:type="spellStart"/>
      <w:r w:rsidRPr="001C715A">
        <w:rPr>
          <w:bCs/>
          <w:lang w:eastAsia="ja-JP"/>
        </w:rPr>
        <w:t>no</w:t>
      </w:r>
      <w:r>
        <w:rPr>
          <w:bCs/>
          <w:lang w:eastAsia="ja-JP"/>
        </w:rPr>
        <w:t>t</w:t>
      </w:r>
      <w:proofErr w:type="spellEnd"/>
      <w:r>
        <w:rPr>
          <w:bCs/>
          <w:lang w:eastAsia="ja-JP"/>
        </w:rPr>
        <w:t xml:space="preserve">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 xml:space="preserve">companies were ok to send </w:t>
      </w:r>
      <w:proofErr w:type="gramStart"/>
      <w:r w:rsidRPr="001C715A">
        <w:rPr>
          <w:bCs/>
          <w:lang w:eastAsia="ja-JP"/>
        </w:rPr>
        <w:t>an LS</w:t>
      </w:r>
      <w:proofErr w:type="gramEnd"/>
      <w:r w:rsidRPr="001C715A">
        <w:rPr>
          <w:bCs/>
          <w:lang w:eastAsia="ja-JP"/>
        </w:rPr>
        <w:t xml:space="preserve">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w:t>
      </w:r>
      <w:proofErr w:type="gramStart"/>
      <w:r w:rsidRPr="00FA54AA">
        <w:rPr>
          <w:lang w:eastAsia="ja-JP"/>
        </w:rPr>
        <w:t>][</w:t>
      </w:r>
      <w:proofErr w:type="gramEnd"/>
      <w:r w:rsidRPr="00FA54AA">
        <w:rPr>
          <w:lang w:eastAsia="ja-JP"/>
        </w:rPr>
        <w:t>016][NR15] UE Capabilities II</w:t>
      </w:r>
      <w:r>
        <w:rPr>
          <w:lang w:eastAsia="ja-JP"/>
        </w:rPr>
        <w:t xml:space="preserve">, </w:t>
      </w:r>
      <w:r w:rsidRPr="00FA54AA">
        <w:rPr>
          <w:lang w:eastAsia="ja-JP"/>
        </w:rPr>
        <w:t xml:space="preserve">Huawei, </w:t>
      </w:r>
      <w:proofErr w:type="spellStart"/>
      <w:r w:rsidRPr="00FA54AA">
        <w:rPr>
          <w:lang w:eastAsia="ja-JP"/>
        </w:rPr>
        <w:t>HiSilicon</w:t>
      </w:r>
      <w:proofErr w:type="spellEnd"/>
      <w:r>
        <w:rPr>
          <w:lang w:eastAsia="ja-JP"/>
        </w:rPr>
        <w:t>.</w:t>
      </w:r>
    </w:p>
    <w:p w14:paraId="4879842A" w14:textId="78351483" w:rsidR="00FA54AA" w:rsidRDefault="00FA54AA" w:rsidP="00FA54AA">
      <w:pPr>
        <w:rPr>
          <w:lang w:eastAsia="ja-JP"/>
        </w:rPr>
      </w:pPr>
      <w:r>
        <w:rPr>
          <w:lang w:eastAsia="ja-JP"/>
        </w:rPr>
        <w:lastRenderedPageBreak/>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F9234" w14:textId="77777777" w:rsidR="00CD1AF7" w:rsidRDefault="00CD1AF7">
      <w:pPr>
        <w:spacing w:after="0"/>
      </w:pPr>
      <w:r>
        <w:separator/>
      </w:r>
    </w:p>
  </w:endnote>
  <w:endnote w:type="continuationSeparator" w:id="0">
    <w:p w14:paraId="70A2BDE6" w14:textId="77777777" w:rsidR="00CD1AF7" w:rsidRDefault="00CD1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239E0" w14:textId="77777777" w:rsidR="00CD1AF7" w:rsidRDefault="00CD1AF7">
      <w:pPr>
        <w:spacing w:after="0"/>
      </w:pPr>
      <w:r>
        <w:separator/>
      </w:r>
    </w:p>
  </w:footnote>
  <w:footnote w:type="continuationSeparator" w:id="0">
    <w:p w14:paraId="194F05A4" w14:textId="77777777" w:rsidR="00CD1AF7" w:rsidRDefault="00CD1A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90366D"/>
    <w:multiLevelType w:val="multilevel"/>
    <w:tmpl w:val="311A1462"/>
    <w:numStyleLink w:val="SectionNumbers"/>
  </w:abstractNum>
  <w:abstractNum w:abstractNumId="9">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1C50"/>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23687"/>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D56A0"/>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13AF"/>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53E20"/>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C3D87"/>
    <w:rsid w:val="00AD12AC"/>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5BE3"/>
    <w:rsid w:val="00C56EC7"/>
    <w:rsid w:val="00C66E0E"/>
    <w:rsid w:val="00C735A3"/>
    <w:rsid w:val="00C7510D"/>
    <w:rsid w:val="00C92DEB"/>
    <w:rsid w:val="00C96DD4"/>
    <w:rsid w:val="00CB3882"/>
    <w:rsid w:val="00CD0427"/>
    <w:rsid w:val="00CD1AF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868F5"/>
    <w:rsid w:val="00D91C01"/>
    <w:rsid w:val="00DA2678"/>
    <w:rsid w:val="00DB0224"/>
    <w:rsid w:val="00DB08B1"/>
    <w:rsid w:val="00DC0576"/>
    <w:rsid w:val="00DD497D"/>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F0138B"/>
    <w:rsid w:val="00F06D4D"/>
    <w:rsid w:val="00F13648"/>
    <w:rsid w:val="00F15C5F"/>
    <w:rsid w:val="00F40CC7"/>
    <w:rsid w:val="00F45484"/>
    <w:rsid w:val="00F47449"/>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3"/>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4"/>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4">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3">
    <w:name w:val="列出段落 Char"/>
    <w:basedOn w:val="a0"/>
    <w:link w:val="af1"/>
    <w:uiPriority w:val="34"/>
    <w:qFormat/>
    <w:rsid w:val="009B18E5"/>
    <w:rPr>
      <w:rFonts w:asciiTheme="minorHAnsi" w:hAnsiTheme="minorHAnsi" w:cstheme="minorHAnsi"/>
    </w:rPr>
  </w:style>
  <w:style w:type="character" w:customStyle="1" w:styleId="Observation0">
    <w:name w:val="Observation (文字)"/>
    <w:basedOn w:val="Char3"/>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3">
    <w:name w:val="Table Grid"/>
    <w:basedOn w:val="a1"/>
    <w:uiPriority w:val="39"/>
    <w:qFormat/>
    <w:rsid w:val="001B5562"/>
    <w:pPr>
      <w:spacing w:after="180"/>
    </w:pPr>
    <w:rPr>
      <w:rFonts w:ascii="CG Times (WN)" w:eastAsia="Batang"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4">
    <w:name w:val="annotation subject"/>
    <w:basedOn w:val="a5"/>
    <w:next w:val="a5"/>
    <w:link w:val="Char5"/>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har0">
    <w:name w:val="批注文字 Char"/>
    <w:basedOn w:val="a0"/>
    <w:link w:val="a5"/>
    <w:semiHidden/>
    <w:rsid w:val="003179F0"/>
    <w:rPr>
      <w:rFonts w:ascii="Arial" w:hAnsi="Arial" w:cstheme="minorHAnsi"/>
    </w:rPr>
  </w:style>
  <w:style w:type="character" w:customStyle="1" w:styleId="Char5">
    <w:name w:val="批注主题 Char"/>
    <w:basedOn w:val="Char0"/>
    <w:link w:val="af4"/>
    <w:uiPriority w:val="99"/>
    <w:semiHidden/>
    <w:rsid w:val="003179F0"/>
    <w:rPr>
      <w:rFonts w:asciiTheme="minorHAnsi" w:hAnsiTheme="minorHAnsi" w:cs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3"/>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4"/>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4">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3">
    <w:name w:val="列出段落 Char"/>
    <w:basedOn w:val="a0"/>
    <w:link w:val="af1"/>
    <w:uiPriority w:val="34"/>
    <w:qFormat/>
    <w:rsid w:val="009B18E5"/>
    <w:rPr>
      <w:rFonts w:asciiTheme="minorHAnsi" w:hAnsiTheme="minorHAnsi" w:cstheme="minorHAnsi"/>
    </w:rPr>
  </w:style>
  <w:style w:type="character" w:customStyle="1" w:styleId="Observation0">
    <w:name w:val="Observation (文字)"/>
    <w:basedOn w:val="Char3"/>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3">
    <w:name w:val="Table Grid"/>
    <w:basedOn w:val="a1"/>
    <w:uiPriority w:val="39"/>
    <w:qFormat/>
    <w:rsid w:val="001B5562"/>
    <w:pPr>
      <w:spacing w:after="180"/>
    </w:pPr>
    <w:rPr>
      <w:rFonts w:ascii="CG Times (WN)" w:eastAsia="Batang"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4">
    <w:name w:val="annotation subject"/>
    <w:basedOn w:val="a5"/>
    <w:next w:val="a5"/>
    <w:link w:val="Char5"/>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har0">
    <w:name w:val="批注文字 Char"/>
    <w:basedOn w:val="a0"/>
    <w:link w:val="a5"/>
    <w:semiHidden/>
    <w:rsid w:val="003179F0"/>
    <w:rPr>
      <w:rFonts w:ascii="Arial" w:hAnsi="Arial" w:cstheme="minorHAnsi"/>
    </w:rPr>
  </w:style>
  <w:style w:type="character" w:customStyle="1" w:styleId="Char5">
    <w:name w:val="批注主题 Char"/>
    <w:basedOn w:val="Char0"/>
    <w:link w:val="af4"/>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D563A26C-AE2A-4625-9B93-ECBFE1E8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4329</Words>
  <Characters>24681</Characters>
  <Application>Microsoft Office Word</Application>
  <DocSecurity>0</DocSecurity>
  <Lines>205</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28953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CATT-zbf</cp:lastModifiedBy>
  <cp:revision>2</cp:revision>
  <cp:lastPrinted>2002-04-23T07:10:00Z</cp:lastPrinted>
  <dcterms:created xsi:type="dcterms:W3CDTF">2021-10-19T07:02:00Z</dcterms:created>
  <dcterms:modified xsi:type="dcterms:W3CDTF">2021-10-19T07:02:00Z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ies>
</file>