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9"/>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宋体" w:hint="eastAsia"/>
                <w:szCs w:val="22"/>
              </w:rPr>
              <w:t>k</w:t>
            </w:r>
            <w:r>
              <w:rPr>
                <w:rFonts w:eastAsia="宋体"/>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宋体" w:hint="eastAsia"/>
                <w:szCs w:val="22"/>
              </w:rPr>
              <w:t>O</w:t>
            </w:r>
            <w:r>
              <w:rPr>
                <w:rFonts w:eastAsia="宋体"/>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宋体"/>
                <w:szCs w:val="22"/>
              </w:rPr>
              <w:t>duzhongda@oppo.com</w:t>
            </w:r>
          </w:p>
        </w:tc>
      </w:tr>
      <w:tr w:rsidR="007125A8" w14:paraId="21CCFFED" w14:textId="77777777" w:rsidTr="00147E11">
        <w:tc>
          <w:tcPr>
            <w:tcW w:w="1190" w:type="pct"/>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5"/>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5"/>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5"/>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af9"/>
        <w:tblW w:w="5000" w:type="pct"/>
        <w:tblLook w:val="04A0" w:firstRow="1" w:lastRow="0" w:firstColumn="1" w:lastColumn="0" w:noHBand="0" w:noVBand="1"/>
      </w:tblPr>
      <w:tblGrid>
        <w:gridCol w:w="1778"/>
        <w:gridCol w:w="1368"/>
        <w:gridCol w:w="6709"/>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We do not prefer Solution 2 as its overhead could be larger than other solutions. However, if UE vendors can ensure that overhead is comparable to other solutions, i.e.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宋体" w:hint="eastAsia"/>
                <w:szCs w:val="22"/>
              </w:rPr>
              <w:t>CATT</w:t>
            </w:r>
          </w:p>
        </w:tc>
        <w:tc>
          <w:tcPr>
            <w:tcW w:w="694" w:type="pct"/>
          </w:tcPr>
          <w:p w14:paraId="7EF0906D" w14:textId="77777777" w:rsidR="00EA4BDF" w:rsidRPr="003A1725" w:rsidRDefault="00EA4BDF" w:rsidP="00461A9B">
            <w:pPr>
              <w:spacing w:after="0" w:line="276" w:lineRule="auto"/>
              <w:rPr>
                <w:rFonts w:eastAsia="宋体"/>
                <w:szCs w:val="22"/>
              </w:rPr>
            </w:pPr>
            <w:r>
              <w:rPr>
                <w:rFonts w:eastAsia="宋体"/>
                <w:szCs w:val="22"/>
              </w:rPr>
              <w:t>S</w:t>
            </w:r>
            <w:r>
              <w:rPr>
                <w:rFonts w:eastAsia="宋体"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宋体"/>
                <w:szCs w:val="22"/>
              </w:rPr>
            </w:pPr>
            <w:r>
              <w:rPr>
                <w:rFonts w:eastAsia="宋体"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宋体"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宋体"/>
                <w:szCs w:val="22"/>
              </w:rPr>
            </w:pPr>
            <w:r>
              <w:rPr>
                <w:rFonts w:eastAsia="宋体"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43C32CC3" w14:textId="77777777" w:rsidR="00EA4BDF" w:rsidRDefault="00EA4BDF" w:rsidP="00461A9B">
            <w:pPr>
              <w:spacing w:after="0" w:line="276" w:lineRule="auto"/>
              <w:jc w:val="center"/>
              <w:rPr>
                <w:szCs w:val="22"/>
                <w:lang w:eastAsia="ja-JP"/>
              </w:rPr>
            </w:pPr>
            <w:r>
              <w:rPr>
                <w:rFonts w:eastAsia="宋体"/>
                <w:szCs w:val="22"/>
              </w:rPr>
              <w:t>S</w:t>
            </w:r>
            <w:r>
              <w:rPr>
                <w:rFonts w:eastAsia="宋体"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possible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to have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宋体" w:hint="eastAsia"/>
                <w:szCs w:val="22"/>
              </w:rPr>
              <w:t>O</w:t>
            </w:r>
            <w:r>
              <w:rPr>
                <w:rFonts w:eastAsia="宋体"/>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宋体" w:hint="eastAsia"/>
                <w:szCs w:val="22"/>
              </w:rPr>
              <w:t>S</w:t>
            </w:r>
            <w:r>
              <w:rPr>
                <w:rFonts w:eastAsia="宋体"/>
                <w:szCs w:val="22"/>
              </w:rPr>
              <w:t>olution 1</w:t>
            </w:r>
          </w:p>
        </w:tc>
        <w:tc>
          <w:tcPr>
            <w:tcW w:w="3404" w:type="pct"/>
          </w:tcPr>
          <w:p w14:paraId="6CB3A15D" w14:textId="77777777" w:rsidR="007125A8" w:rsidRDefault="007125A8" w:rsidP="007125A8">
            <w:pPr>
              <w:spacing w:after="0" w:line="276" w:lineRule="auto"/>
              <w:rPr>
                <w:rFonts w:eastAsia="宋体"/>
                <w:szCs w:val="22"/>
              </w:rPr>
            </w:pPr>
            <w:r>
              <w:rPr>
                <w:rFonts w:eastAsia="宋体"/>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宋体"/>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61A9B">
        <w:tc>
          <w:tcPr>
            <w:tcW w:w="902" w:type="pct"/>
          </w:tcPr>
          <w:p w14:paraId="6B825251" w14:textId="373E52D8" w:rsidR="002B2260" w:rsidRDefault="002B2260" w:rsidP="007125A8">
            <w:pPr>
              <w:spacing w:after="0" w:line="276" w:lineRule="auto"/>
              <w:jc w:val="center"/>
              <w:rPr>
                <w:rFonts w:eastAsia="宋体"/>
                <w:szCs w:val="22"/>
              </w:rPr>
            </w:pPr>
            <w:r>
              <w:rPr>
                <w:rFonts w:eastAsia="宋体"/>
                <w:szCs w:val="22"/>
              </w:rPr>
              <w:t>Nokia</w:t>
            </w:r>
          </w:p>
        </w:tc>
        <w:tc>
          <w:tcPr>
            <w:tcW w:w="694" w:type="pct"/>
          </w:tcPr>
          <w:p w14:paraId="019CDFC5" w14:textId="727E2163" w:rsidR="002B2260" w:rsidRDefault="002B2260" w:rsidP="007125A8">
            <w:pPr>
              <w:spacing w:after="0" w:line="276" w:lineRule="auto"/>
              <w:jc w:val="center"/>
              <w:rPr>
                <w:rFonts w:eastAsia="宋体"/>
                <w:szCs w:val="22"/>
              </w:rPr>
            </w:pPr>
            <w:r>
              <w:rPr>
                <w:rFonts w:eastAsia="宋体"/>
                <w:szCs w:val="22"/>
              </w:rPr>
              <w:t>Solution 1</w:t>
            </w:r>
          </w:p>
        </w:tc>
        <w:tc>
          <w:tcPr>
            <w:tcW w:w="3404" w:type="pct"/>
          </w:tcPr>
          <w:p w14:paraId="7A41433B" w14:textId="1823A570" w:rsidR="002B2260" w:rsidRDefault="002B2260" w:rsidP="007125A8">
            <w:pPr>
              <w:spacing w:after="0" w:line="276" w:lineRule="auto"/>
              <w:rPr>
                <w:rFonts w:eastAsia="宋体"/>
                <w:szCs w:val="22"/>
              </w:rPr>
            </w:pPr>
            <w:r>
              <w:rPr>
                <w:rFonts w:eastAsia="宋体"/>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lastRenderedPageBreak/>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r>
        <w:rPr>
          <w:b/>
          <w:i/>
          <w:iCs/>
          <w:lang w:eastAsia="ja-JP"/>
        </w:rPr>
        <w:t>s</w:t>
      </w:r>
      <w:r w:rsidR="00036AFC" w:rsidRPr="00036AFC">
        <w:rPr>
          <w:b/>
          <w:i/>
          <w:iCs/>
          <w:lang w:eastAsia="ja-JP"/>
        </w:rPr>
        <w:t>electedBandEntriesMNList</w:t>
      </w:r>
      <w:bookmarkEnd w:id="0"/>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r w:rsidRPr="00036AFC">
        <w:rPr>
          <w:b/>
          <w:i/>
          <w:iCs/>
          <w:lang w:eastAsia="ja-JP"/>
        </w:rPr>
        <w:t>servFrequenciesMN-NR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9"/>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r w:rsidRPr="00773513">
              <w:rPr>
                <w:lang w:eastAsia="sv-SE"/>
              </w:rPr>
              <w:t>servFrequenciesMN-NR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9"/>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665DE316" w:rsidR="00404053" w:rsidRDefault="006674A0" w:rsidP="00147E11">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147E11">
            <w:pPr>
              <w:spacing w:after="0" w:line="276" w:lineRule="auto"/>
              <w:rPr>
                <w:szCs w:val="22"/>
                <w:lang w:eastAsia="ja-JP"/>
              </w:rPr>
            </w:pPr>
            <w:r w:rsidRPr="006674A0">
              <w:rPr>
                <w:i/>
                <w:iCs/>
                <w:lang w:eastAsia="sv-SE"/>
              </w:rPr>
              <w:t>selectedBandEntriesMNList</w:t>
            </w:r>
            <w:r>
              <w:rPr>
                <w:i/>
                <w:iCs/>
                <w:lang w:eastAsia="sv-SE"/>
              </w:rPr>
              <w:t xml:space="preserve"> </w:t>
            </w:r>
            <w:r>
              <w:rPr>
                <w:lang w:eastAsia="sv-SE"/>
              </w:rPr>
              <w:t>looks like a good candidate for signalling the required field</w:t>
            </w: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宋体"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宋体"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宋体"/>
                <w:iCs/>
              </w:rPr>
              <w:t>I</w:t>
            </w:r>
            <w:r>
              <w:rPr>
                <w:rFonts w:eastAsia="宋体" w:hint="eastAsia"/>
                <w:iCs/>
              </w:rPr>
              <w:t xml:space="preserve">f option 1 is not adopted, SN does not know the </w:t>
            </w:r>
            <w:r>
              <w:rPr>
                <w:bCs/>
                <w:lang w:eastAsia="ja-JP"/>
              </w:rPr>
              <w:t>frequency bands used by the MN, which</w:t>
            </w:r>
            <w:r>
              <w:rPr>
                <w:rFonts w:eastAsia="宋体" w:hint="eastAsia"/>
                <w:bCs/>
              </w:rPr>
              <w:t xml:space="preserve"> cannot </w:t>
            </w:r>
            <w:r>
              <w:rPr>
                <w:bCs/>
                <w:lang w:eastAsia="ja-JP"/>
              </w:rPr>
              <w:t xml:space="preserve">enable the </w:t>
            </w:r>
            <w:r>
              <w:rPr>
                <w:rFonts w:eastAsia="宋体"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宋体"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宋体"/>
                <w:szCs w:val="22"/>
              </w:rPr>
              <w:t>F</w:t>
            </w:r>
            <w:r>
              <w:rPr>
                <w:rFonts w:eastAsia="宋体" w:hint="eastAsia"/>
                <w:szCs w:val="22"/>
              </w:rPr>
              <w:t>o</w:t>
            </w:r>
            <w:r>
              <w:rPr>
                <w:rFonts w:eastAsia="宋体"/>
                <w:szCs w:val="22"/>
              </w:rPr>
              <w:t xml:space="preserve">r the issue indicated in </w:t>
            </w:r>
            <w:r w:rsidRPr="00FA3098">
              <w:rPr>
                <w:rFonts w:eastAsia="宋体"/>
                <w:szCs w:val="22"/>
              </w:rPr>
              <w:t>R2-2107389</w:t>
            </w:r>
            <w:r>
              <w:rPr>
                <w:rFonts w:eastAsia="宋体"/>
                <w:szCs w:val="22"/>
              </w:rPr>
              <w:t>, it can be addressed by extending</w:t>
            </w:r>
            <w:r w:rsidRPr="002E0066">
              <w:rPr>
                <w:rFonts w:eastAsia="宋体"/>
                <w:szCs w:val="22"/>
              </w:rPr>
              <w:t xml:space="preserve"> the </w:t>
            </w:r>
            <w:r w:rsidRPr="002E0066">
              <w:rPr>
                <w:i/>
                <w:kern w:val="2"/>
              </w:rPr>
              <w:t>selectedBandEntriesMNList</w:t>
            </w:r>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1" w:name="_Hlk85115947"/>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bookmarkEnd w:id="1"/>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2" w:name="_Hlk85094579"/>
            <w:r>
              <w:rPr>
                <w:szCs w:val="22"/>
                <w:lang w:eastAsia="ja-JP"/>
              </w:rPr>
              <w:t xml:space="preserve">Definitely Option 1 seems to be the long term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2"/>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signalling. About the RAN3 handling the signalling we are not so sure about this aspect. Maybe moderator can explain why RAN3 cannot do this after a discussion?</w:t>
            </w: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3"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lastRenderedPageBreak/>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information, and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3"/>
    <w:p w14:paraId="66FE4872" w14:textId="576E0751" w:rsidR="00B879E6" w:rsidRDefault="001B5562" w:rsidP="00B879E6">
      <w:pPr>
        <w:pStyle w:val="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 w:name="_Hlk84352322"/>
      <w:r w:rsidR="003F6FDB">
        <w:rPr>
          <w:rFonts w:hint="eastAsia"/>
          <w:kern w:val="2"/>
          <w:lang w:eastAsia="zh-CN"/>
        </w:rPr>
        <w:t xml:space="preserve">MR-DC Resource Coordination Information </w:t>
      </w:r>
      <w:bookmarkEnd w:id="4"/>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5"/>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5"/>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af9"/>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宋体" w:hint="eastAsia"/>
                <w:szCs w:val="22"/>
              </w:rPr>
              <w:t>Y</w:t>
            </w:r>
            <w:r>
              <w:rPr>
                <w:rFonts w:eastAsia="宋体"/>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宋体"/>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 xml:space="preserve">inter-node resource </w:t>
            </w:r>
            <w:r w:rsidRPr="008D6FD7">
              <w:rPr>
                <w:lang w:val="en-GB"/>
              </w:rPr>
              <w:lastRenderedPageBreak/>
              <w:t>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lastRenderedPageBreak/>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non support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r>
              <w:rPr>
                <w:szCs w:val="22"/>
                <w:lang w:eastAsia="ja-JP"/>
              </w:rPr>
              <w:t>Yes we are fine to check with RAN3 by giving a clear example of what they need to check. It would be good to fix issues with NR-DC if found earlier than later.</w:t>
            </w: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not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companies were ok to send an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
      <w:r w:rsidR="001B5562">
        <w:rPr>
          <w:b/>
          <w:bCs/>
          <w:lang w:eastAsia="ja-JP"/>
        </w:rPr>
        <w:t xml:space="preserve"> sections?</w:t>
      </w:r>
    </w:p>
    <w:tbl>
      <w:tblPr>
        <w:tblStyle w:val="af9"/>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an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1"/>
      </w:pPr>
      <w:r>
        <w:t>Phase 2 Discussion</w:t>
      </w:r>
    </w:p>
    <w:p w14:paraId="42DB66BF" w14:textId="45847462" w:rsidR="00820197" w:rsidRDefault="00B820FD" w:rsidP="00B820FD">
      <w:pPr>
        <w:pStyle w:val="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r w:rsidR="00446947">
        <w:rPr>
          <w:lang w:eastAsia="ja-JP"/>
        </w:rPr>
        <w:t>Also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71088F" w:rsidRPr="0071088F" w14:paraId="76BE65CE" w14:textId="77777777" w:rsidTr="00535042">
        <w:tc>
          <w:tcPr>
            <w:tcW w:w="1364" w:type="pct"/>
          </w:tcPr>
          <w:p w14:paraId="2909900F" w14:textId="42B4C944" w:rsidR="0071088F" w:rsidRDefault="0071088F" w:rsidP="0071088F">
            <w:pPr>
              <w:spacing w:after="0" w:line="276" w:lineRule="auto"/>
              <w:jc w:val="center"/>
              <w:rPr>
                <w:szCs w:val="22"/>
                <w:lang w:eastAsia="ja-JP"/>
              </w:rPr>
            </w:pPr>
            <w:r>
              <w:rPr>
                <w:szCs w:val="22"/>
                <w:lang w:eastAsia="ja-JP"/>
              </w:rPr>
              <w:t>Docomo</w:t>
            </w:r>
          </w:p>
        </w:tc>
        <w:tc>
          <w:tcPr>
            <w:tcW w:w="719" w:type="pct"/>
          </w:tcPr>
          <w:p w14:paraId="6EE85BCC" w14:textId="2C9A20B4" w:rsidR="0071088F" w:rsidRDefault="0071088F" w:rsidP="0071088F">
            <w:pPr>
              <w:spacing w:after="0" w:line="276" w:lineRule="auto"/>
              <w:jc w:val="center"/>
              <w:rPr>
                <w:szCs w:val="22"/>
                <w:lang w:eastAsia="ja-JP"/>
              </w:rPr>
            </w:pPr>
            <w:r>
              <w:rPr>
                <w:szCs w:val="22"/>
                <w:lang w:eastAsia="ja-JP"/>
              </w:rPr>
              <w:t>Rel-15</w:t>
            </w:r>
          </w:p>
        </w:tc>
        <w:tc>
          <w:tcPr>
            <w:tcW w:w="2917" w:type="pct"/>
          </w:tcPr>
          <w:p w14:paraId="6316A4D5" w14:textId="48695C6A" w:rsidR="0071088F" w:rsidRDefault="0071088F" w:rsidP="0071088F">
            <w:pPr>
              <w:spacing w:after="0" w:line="276" w:lineRule="auto"/>
              <w:rPr>
                <w:szCs w:val="22"/>
                <w:lang w:eastAsia="ja-JP"/>
              </w:rPr>
            </w:pPr>
            <w:r>
              <w:rPr>
                <w:szCs w:val="22"/>
                <w:lang w:eastAsia="ja-JP"/>
              </w:rPr>
              <w:t>The lack of capability is observed in the field. The solution should be available from Rel-15.</w:t>
            </w:r>
          </w:p>
        </w:tc>
      </w:tr>
      <w:tr w:rsidR="0071088F" w14:paraId="38EE5D2F" w14:textId="77777777" w:rsidTr="00535042">
        <w:tc>
          <w:tcPr>
            <w:tcW w:w="1364" w:type="pct"/>
          </w:tcPr>
          <w:p w14:paraId="7C9772AE" w14:textId="57FF2564" w:rsidR="0071088F" w:rsidRPr="00EE245F" w:rsidRDefault="00EE245F" w:rsidP="0071088F">
            <w:pPr>
              <w:spacing w:after="0" w:line="276" w:lineRule="auto"/>
              <w:jc w:val="center"/>
              <w:rPr>
                <w:rFonts w:eastAsia="宋体" w:hint="eastAsia"/>
                <w:szCs w:val="22"/>
              </w:rPr>
            </w:pPr>
            <w:r>
              <w:rPr>
                <w:rFonts w:eastAsia="宋体"/>
                <w:szCs w:val="22"/>
              </w:rPr>
              <w:t>OPPO</w:t>
            </w:r>
          </w:p>
        </w:tc>
        <w:tc>
          <w:tcPr>
            <w:tcW w:w="719" w:type="pct"/>
          </w:tcPr>
          <w:p w14:paraId="59178594" w14:textId="1FC2386E" w:rsidR="0071088F" w:rsidRPr="00EE245F" w:rsidRDefault="00EE245F" w:rsidP="0071088F">
            <w:pPr>
              <w:spacing w:after="0" w:line="276" w:lineRule="auto"/>
              <w:jc w:val="center"/>
              <w:rPr>
                <w:rFonts w:eastAsia="宋体" w:hint="eastAsia"/>
                <w:szCs w:val="22"/>
              </w:rPr>
            </w:pPr>
            <w:r>
              <w:rPr>
                <w:rFonts w:eastAsia="宋体" w:hint="eastAsia"/>
                <w:szCs w:val="22"/>
              </w:rPr>
              <w:t>R</w:t>
            </w:r>
            <w:r>
              <w:rPr>
                <w:rFonts w:eastAsia="宋体"/>
                <w:szCs w:val="22"/>
              </w:rPr>
              <w:t>el-16</w:t>
            </w:r>
          </w:p>
        </w:tc>
        <w:tc>
          <w:tcPr>
            <w:tcW w:w="2917" w:type="pct"/>
          </w:tcPr>
          <w:p w14:paraId="766C6F15" w14:textId="72102683" w:rsidR="0071088F" w:rsidRDefault="0071088F" w:rsidP="0071088F">
            <w:pPr>
              <w:spacing w:after="0" w:line="276" w:lineRule="auto"/>
              <w:rPr>
                <w:szCs w:val="22"/>
                <w:lang w:eastAsia="ja-JP"/>
              </w:rPr>
            </w:pPr>
          </w:p>
        </w:tc>
      </w:tr>
      <w:tr w:rsidR="0071088F" w14:paraId="45717388" w14:textId="77777777" w:rsidTr="00535042">
        <w:tc>
          <w:tcPr>
            <w:tcW w:w="1364" w:type="pct"/>
          </w:tcPr>
          <w:p w14:paraId="69A335FF" w14:textId="77777777" w:rsidR="0071088F" w:rsidRDefault="0071088F" w:rsidP="0071088F">
            <w:pPr>
              <w:spacing w:after="0" w:line="276" w:lineRule="auto"/>
              <w:jc w:val="center"/>
              <w:rPr>
                <w:szCs w:val="22"/>
                <w:lang w:eastAsia="ja-JP"/>
              </w:rPr>
            </w:pPr>
          </w:p>
        </w:tc>
        <w:tc>
          <w:tcPr>
            <w:tcW w:w="719" w:type="pct"/>
          </w:tcPr>
          <w:p w14:paraId="355B6362" w14:textId="77777777" w:rsidR="0071088F" w:rsidRDefault="0071088F" w:rsidP="0071088F">
            <w:pPr>
              <w:spacing w:after="0" w:line="276" w:lineRule="auto"/>
              <w:jc w:val="center"/>
              <w:rPr>
                <w:szCs w:val="22"/>
                <w:lang w:eastAsia="ja-JP"/>
              </w:rPr>
            </w:pPr>
          </w:p>
        </w:tc>
        <w:tc>
          <w:tcPr>
            <w:tcW w:w="2917" w:type="pct"/>
          </w:tcPr>
          <w:p w14:paraId="0E008816" w14:textId="77777777" w:rsidR="0071088F" w:rsidRDefault="0071088F" w:rsidP="0071088F">
            <w:pPr>
              <w:spacing w:after="0" w:line="276" w:lineRule="auto"/>
              <w:rPr>
                <w:szCs w:val="22"/>
                <w:lang w:eastAsia="ja-JP"/>
              </w:rPr>
            </w:pPr>
          </w:p>
        </w:tc>
      </w:tr>
      <w:tr w:rsidR="0071088F" w14:paraId="08B28227" w14:textId="77777777" w:rsidTr="00535042">
        <w:tc>
          <w:tcPr>
            <w:tcW w:w="1364" w:type="pct"/>
          </w:tcPr>
          <w:p w14:paraId="2C6A0372" w14:textId="77777777" w:rsidR="0071088F" w:rsidRDefault="0071088F" w:rsidP="0071088F">
            <w:pPr>
              <w:spacing w:after="0" w:line="276" w:lineRule="auto"/>
              <w:jc w:val="center"/>
              <w:rPr>
                <w:szCs w:val="22"/>
                <w:lang w:eastAsia="ja-JP"/>
              </w:rPr>
            </w:pPr>
          </w:p>
        </w:tc>
        <w:tc>
          <w:tcPr>
            <w:tcW w:w="719" w:type="pct"/>
          </w:tcPr>
          <w:p w14:paraId="7A12FA7C" w14:textId="77777777" w:rsidR="0071088F" w:rsidRDefault="0071088F" w:rsidP="0071088F">
            <w:pPr>
              <w:spacing w:after="0" w:line="276" w:lineRule="auto"/>
              <w:jc w:val="center"/>
              <w:rPr>
                <w:szCs w:val="22"/>
                <w:lang w:eastAsia="ja-JP"/>
              </w:rPr>
            </w:pPr>
          </w:p>
        </w:tc>
        <w:tc>
          <w:tcPr>
            <w:tcW w:w="2917" w:type="pct"/>
          </w:tcPr>
          <w:p w14:paraId="45207197" w14:textId="77777777" w:rsidR="0071088F" w:rsidRDefault="0071088F" w:rsidP="0071088F">
            <w:pPr>
              <w:spacing w:after="0" w:line="276" w:lineRule="auto"/>
              <w:rPr>
                <w:szCs w:val="22"/>
                <w:lang w:eastAsia="ja-JP"/>
              </w:rPr>
            </w:pPr>
          </w:p>
        </w:tc>
      </w:tr>
      <w:tr w:rsidR="0071088F" w14:paraId="05995AD5" w14:textId="77777777" w:rsidTr="00535042">
        <w:tc>
          <w:tcPr>
            <w:tcW w:w="1364" w:type="pct"/>
          </w:tcPr>
          <w:p w14:paraId="1E15A7D3" w14:textId="77777777" w:rsidR="0071088F" w:rsidRDefault="0071088F" w:rsidP="0071088F">
            <w:pPr>
              <w:spacing w:after="0" w:line="276" w:lineRule="auto"/>
              <w:jc w:val="center"/>
              <w:rPr>
                <w:szCs w:val="22"/>
                <w:lang w:eastAsia="ja-JP"/>
              </w:rPr>
            </w:pPr>
          </w:p>
        </w:tc>
        <w:tc>
          <w:tcPr>
            <w:tcW w:w="719" w:type="pct"/>
          </w:tcPr>
          <w:p w14:paraId="3FD3FA5B" w14:textId="77777777" w:rsidR="0071088F" w:rsidRDefault="0071088F" w:rsidP="0071088F">
            <w:pPr>
              <w:spacing w:after="0" w:line="276" w:lineRule="auto"/>
              <w:jc w:val="center"/>
              <w:rPr>
                <w:szCs w:val="22"/>
                <w:lang w:eastAsia="ja-JP"/>
              </w:rPr>
            </w:pPr>
          </w:p>
        </w:tc>
        <w:tc>
          <w:tcPr>
            <w:tcW w:w="2917" w:type="pct"/>
          </w:tcPr>
          <w:p w14:paraId="42385172" w14:textId="77777777" w:rsidR="0071088F" w:rsidRDefault="0071088F" w:rsidP="0071088F">
            <w:pPr>
              <w:spacing w:after="0" w:line="276" w:lineRule="auto"/>
              <w:rPr>
                <w:szCs w:val="22"/>
                <w:lang w:eastAsia="ja-JP"/>
              </w:rPr>
            </w:pPr>
          </w:p>
        </w:tc>
      </w:tr>
      <w:tr w:rsidR="0071088F" w14:paraId="0384D8EB" w14:textId="77777777" w:rsidTr="00535042">
        <w:tc>
          <w:tcPr>
            <w:tcW w:w="1364" w:type="pct"/>
          </w:tcPr>
          <w:p w14:paraId="2B79A4EC" w14:textId="54BF1275" w:rsidR="0071088F" w:rsidRDefault="0071088F" w:rsidP="0071088F">
            <w:pPr>
              <w:spacing w:after="0" w:line="276" w:lineRule="auto"/>
              <w:jc w:val="center"/>
              <w:rPr>
                <w:szCs w:val="22"/>
                <w:lang w:eastAsia="ja-JP"/>
              </w:rPr>
            </w:pPr>
          </w:p>
        </w:tc>
        <w:tc>
          <w:tcPr>
            <w:tcW w:w="719" w:type="pct"/>
          </w:tcPr>
          <w:p w14:paraId="74B8CB32" w14:textId="0F4E9537" w:rsidR="0071088F" w:rsidRDefault="0071088F" w:rsidP="0071088F">
            <w:pPr>
              <w:spacing w:after="0" w:line="276" w:lineRule="auto"/>
              <w:jc w:val="center"/>
              <w:rPr>
                <w:szCs w:val="22"/>
                <w:lang w:eastAsia="ja-JP"/>
              </w:rPr>
            </w:pPr>
          </w:p>
        </w:tc>
        <w:tc>
          <w:tcPr>
            <w:tcW w:w="2917" w:type="pct"/>
          </w:tcPr>
          <w:p w14:paraId="705838B8" w14:textId="7603EAAB" w:rsidR="0071088F" w:rsidRDefault="0071088F" w:rsidP="0071088F">
            <w:pPr>
              <w:spacing w:after="0" w:line="276" w:lineRule="auto"/>
              <w:rPr>
                <w:szCs w:val="22"/>
                <w:lang w:eastAsia="ja-JP"/>
              </w:rPr>
            </w:pPr>
          </w:p>
        </w:tc>
      </w:tr>
      <w:tr w:rsidR="0071088F" w14:paraId="412AC067" w14:textId="77777777" w:rsidTr="00535042">
        <w:tc>
          <w:tcPr>
            <w:tcW w:w="1364" w:type="pct"/>
          </w:tcPr>
          <w:p w14:paraId="1A825C68" w14:textId="7EC56BBC" w:rsidR="0071088F" w:rsidRPr="00D139BD" w:rsidRDefault="0071088F" w:rsidP="0071088F">
            <w:pPr>
              <w:spacing w:after="0" w:line="276" w:lineRule="auto"/>
              <w:jc w:val="center"/>
              <w:rPr>
                <w:rFonts w:eastAsiaTheme="minorEastAsia"/>
                <w:szCs w:val="22"/>
                <w:lang w:eastAsia="ja-JP"/>
              </w:rPr>
            </w:pPr>
          </w:p>
        </w:tc>
        <w:tc>
          <w:tcPr>
            <w:tcW w:w="719" w:type="pct"/>
          </w:tcPr>
          <w:p w14:paraId="161FBBA1" w14:textId="4133E42D" w:rsidR="0071088F" w:rsidRPr="00D139BD" w:rsidRDefault="0071088F" w:rsidP="0071088F">
            <w:pPr>
              <w:spacing w:after="0" w:line="276" w:lineRule="auto"/>
              <w:jc w:val="center"/>
              <w:rPr>
                <w:rFonts w:eastAsiaTheme="minorEastAsia"/>
                <w:szCs w:val="22"/>
                <w:lang w:eastAsia="ja-JP"/>
              </w:rPr>
            </w:pPr>
          </w:p>
        </w:tc>
        <w:tc>
          <w:tcPr>
            <w:tcW w:w="2917" w:type="pct"/>
          </w:tcPr>
          <w:p w14:paraId="5A6DCBA8" w14:textId="77777777" w:rsidR="0071088F" w:rsidRDefault="0071088F" w:rsidP="0071088F">
            <w:pPr>
              <w:spacing w:after="0" w:line="276" w:lineRule="auto"/>
              <w:rPr>
                <w:szCs w:val="22"/>
                <w:lang w:eastAsia="ja-JP"/>
              </w:rPr>
            </w:pPr>
          </w:p>
        </w:tc>
      </w:tr>
      <w:tr w:rsidR="0071088F" w14:paraId="395F28D2" w14:textId="77777777" w:rsidTr="00535042">
        <w:tc>
          <w:tcPr>
            <w:tcW w:w="1364" w:type="pct"/>
          </w:tcPr>
          <w:p w14:paraId="2023F720" w14:textId="6453F765" w:rsidR="0071088F" w:rsidRDefault="0071088F" w:rsidP="0071088F">
            <w:pPr>
              <w:spacing w:after="0" w:line="276" w:lineRule="auto"/>
              <w:jc w:val="center"/>
              <w:rPr>
                <w:szCs w:val="22"/>
                <w:lang w:eastAsia="ja-JP"/>
              </w:rPr>
            </w:pPr>
          </w:p>
        </w:tc>
        <w:tc>
          <w:tcPr>
            <w:tcW w:w="719" w:type="pct"/>
          </w:tcPr>
          <w:p w14:paraId="1ECC59F3" w14:textId="31DF7338" w:rsidR="0071088F" w:rsidRDefault="0071088F" w:rsidP="0071088F">
            <w:pPr>
              <w:spacing w:after="0" w:line="276" w:lineRule="auto"/>
              <w:jc w:val="center"/>
              <w:rPr>
                <w:szCs w:val="22"/>
                <w:lang w:eastAsia="ja-JP"/>
              </w:rPr>
            </w:pPr>
          </w:p>
        </w:tc>
        <w:tc>
          <w:tcPr>
            <w:tcW w:w="2917" w:type="pct"/>
          </w:tcPr>
          <w:p w14:paraId="20A37228" w14:textId="76C2FFE2" w:rsidR="0071088F" w:rsidRPr="00371F78" w:rsidRDefault="0071088F" w:rsidP="0071088F">
            <w:pPr>
              <w:spacing w:after="0" w:line="276" w:lineRule="auto"/>
              <w:rPr>
                <w:iCs/>
                <w:szCs w:val="22"/>
                <w:lang w:eastAsia="ja-JP"/>
              </w:rPr>
            </w:pPr>
          </w:p>
        </w:tc>
      </w:tr>
      <w:tr w:rsidR="0071088F" w14:paraId="59EED66D" w14:textId="77777777" w:rsidTr="00535042">
        <w:tc>
          <w:tcPr>
            <w:tcW w:w="1364" w:type="pct"/>
          </w:tcPr>
          <w:p w14:paraId="12ADD449" w14:textId="2A1535E5" w:rsidR="0071088F" w:rsidRDefault="0071088F" w:rsidP="0071088F">
            <w:pPr>
              <w:spacing w:after="0" w:line="276" w:lineRule="auto"/>
              <w:jc w:val="center"/>
              <w:rPr>
                <w:szCs w:val="22"/>
                <w:lang w:eastAsia="ja-JP"/>
              </w:rPr>
            </w:pPr>
          </w:p>
        </w:tc>
        <w:tc>
          <w:tcPr>
            <w:tcW w:w="719" w:type="pct"/>
          </w:tcPr>
          <w:p w14:paraId="31B5BFC0" w14:textId="0446C58C" w:rsidR="0071088F" w:rsidRDefault="0071088F" w:rsidP="0071088F">
            <w:pPr>
              <w:spacing w:after="0" w:line="276" w:lineRule="auto"/>
              <w:jc w:val="center"/>
              <w:rPr>
                <w:szCs w:val="22"/>
                <w:lang w:eastAsia="ja-JP"/>
              </w:rPr>
            </w:pPr>
          </w:p>
        </w:tc>
        <w:tc>
          <w:tcPr>
            <w:tcW w:w="2917" w:type="pct"/>
          </w:tcPr>
          <w:p w14:paraId="2489EA50" w14:textId="77777777" w:rsidR="0071088F" w:rsidRDefault="0071088F" w:rsidP="0071088F">
            <w:pPr>
              <w:spacing w:after="0" w:line="276" w:lineRule="auto"/>
              <w:rPr>
                <w:szCs w:val="22"/>
                <w:lang w:eastAsia="ja-JP"/>
              </w:rPr>
            </w:pPr>
          </w:p>
        </w:tc>
      </w:tr>
      <w:tr w:rsidR="0071088F" w14:paraId="033C911D" w14:textId="77777777" w:rsidTr="00535042">
        <w:tc>
          <w:tcPr>
            <w:tcW w:w="1364" w:type="pct"/>
          </w:tcPr>
          <w:p w14:paraId="3AA50BDC" w14:textId="77777777" w:rsidR="0071088F" w:rsidRDefault="0071088F" w:rsidP="0071088F">
            <w:pPr>
              <w:spacing w:after="0" w:line="276" w:lineRule="auto"/>
              <w:jc w:val="center"/>
              <w:rPr>
                <w:szCs w:val="22"/>
                <w:lang w:eastAsia="ja-JP"/>
              </w:rPr>
            </w:pPr>
          </w:p>
        </w:tc>
        <w:tc>
          <w:tcPr>
            <w:tcW w:w="719" w:type="pct"/>
          </w:tcPr>
          <w:p w14:paraId="68C4BEDA" w14:textId="77777777" w:rsidR="0071088F" w:rsidRDefault="0071088F" w:rsidP="0071088F">
            <w:pPr>
              <w:spacing w:after="0" w:line="276" w:lineRule="auto"/>
              <w:jc w:val="center"/>
              <w:rPr>
                <w:szCs w:val="22"/>
                <w:lang w:eastAsia="ja-JP"/>
              </w:rPr>
            </w:pPr>
          </w:p>
        </w:tc>
        <w:tc>
          <w:tcPr>
            <w:tcW w:w="2917" w:type="pct"/>
          </w:tcPr>
          <w:p w14:paraId="5EDA996B" w14:textId="77777777" w:rsidR="0071088F" w:rsidRDefault="0071088F" w:rsidP="0071088F">
            <w:pPr>
              <w:spacing w:after="0" w:line="276" w:lineRule="auto"/>
              <w:rPr>
                <w:szCs w:val="22"/>
                <w:lang w:eastAsia="ja-JP"/>
              </w:rPr>
            </w:pPr>
          </w:p>
        </w:tc>
      </w:tr>
      <w:tr w:rsidR="0071088F" w14:paraId="450BEEAC" w14:textId="77777777" w:rsidTr="001A3370">
        <w:trPr>
          <w:trHeight w:val="50"/>
        </w:trPr>
        <w:tc>
          <w:tcPr>
            <w:tcW w:w="1364" w:type="pct"/>
          </w:tcPr>
          <w:p w14:paraId="4597C6F3" w14:textId="77777777" w:rsidR="0071088F" w:rsidRDefault="0071088F" w:rsidP="0071088F">
            <w:pPr>
              <w:spacing w:after="0" w:line="276" w:lineRule="auto"/>
              <w:jc w:val="center"/>
              <w:rPr>
                <w:szCs w:val="22"/>
                <w:lang w:eastAsia="ja-JP"/>
              </w:rPr>
            </w:pPr>
          </w:p>
        </w:tc>
        <w:tc>
          <w:tcPr>
            <w:tcW w:w="719" w:type="pct"/>
          </w:tcPr>
          <w:p w14:paraId="6AB821B5" w14:textId="77777777" w:rsidR="0071088F" w:rsidRDefault="0071088F" w:rsidP="0071088F">
            <w:pPr>
              <w:spacing w:after="0" w:line="276" w:lineRule="auto"/>
              <w:jc w:val="center"/>
              <w:rPr>
                <w:szCs w:val="22"/>
                <w:lang w:eastAsia="ja-JP"/>
              </w:rPr>
            </w:pPr>
          </w:p>
        </w:tc>
        <w:tc>
          <w:tcPr>
            <w:tcW w:w="2917" w:type="pct"/>
          </w:tcPr>
          <w:p w14:paraId="34F20DE6" w14:textId="77777777" w:rsidR="0071088F" w:rsidRDefault="0071088F" w:rsidP="0071088F">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r w:rsidRPr="002A49CC">
        <w:rPr>
          <w:i/>
          <w:lang w:eastAsia="ja-JP"/>
        </w:rPr>
        <w:t>selectedBandEntriesMNList</w:t>
      </w:r>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complement to each band information, and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af5"/>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CG-ConfigInfo</w:t>
      </w:r>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r w:rsidR="00BC534C" w:rsidRPr="007F78F2">
        <w:rPr>
          <w:i/>
          <w:iCs/>
          <w:lang w:eastAsia="ja-JP"/>
        </w:rPr>
        <w:t>selectedBandEntriesMNList</w:t>
      </w:r>
      <w:r w:rsidR="00BC534C">
        <w:rPr>
          <w:lang w:eastAsia="ja-JP"/>
        </w:rPr>
        <w:t xml:space="preserve"> entry; and</w:t>
      </w:r>
    </w:p>
    <w:p w14:paraId="6D82D3CA" w14:textId="13159682" w:rsidR="007F78F2" w:rsidRDefault="00BC534C" w:rsidP="007F78F2">
      <w:pPr>
        <w:pStyle w:val="af5"/>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af5"/>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r w:rsidR="00BC534C" w:rsidRPr="007F78F2">
        <w:rPr>
          <w:i/>
          <w:lang w:eastAsia="ja-JP"/>
        </w:rPr>
        <w:t>selectedBandEntriesMNList</w:t>
      </w:r>
      <w:r w:rsidR="00BC534C">
        <w:rPr>
          <w:lang w:eastAsia="ja-JP"/>
        </w:rPr>
        <w:t>)</w:t>
      </w:r>
      <w:r w:rsidR="007F78F2">
        <w:rPr>
          <w:lang w:eastAsia="ja-JP"/>
        </w:rPr>
        <w:t>; and</w:t>
      </w:r>
    </w:p>
    <w:p w14:paraId="0EF54962" w14:textId="183B753E" w:rsidR="00BC534C" w:rsidRDefault="00F40CC7" w:rsidP="007F78F2">
      <w:pPr>
        <w:pStyle w:val="af5"/>
        <w:numPr>
          <w:ilvl w:val="1"/>
          <w:numId w:val="21"/>
        </w:numPr>
        <w:ind w:leftChars="0"/>
        <w:rPr>
          <w:lang w:eastAsia="ja-JP"/>
        </w:rPr>
      </w:pPr>
      <w:r>
        <w:rPr>
          <w:lang w:eastAsia="ja-JP"/>
        </w:rPr>
        <w:t>(</w:t>
      </w:r>
      <w:r w:rsidR="007F78F2">
        <w:rPr>
          <w:lang w:eastAsia="ja-JP"/>
        </w:rPr>
        <w:t xml:space="preserve">c) </w:t>
      </w:r>
      <w:r w:rsidR="00BC534C">
        <w:rPr>
          <w:lang w:eastAsia="ja-JP"/>
        </w:rPr>
        <w:t xml:space="preserve">the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r w:rsidRPr="007F78F2">
        <w:rPr>
          <w:i/>
          <w:lang w:eastAsia="ja-JP"/>
        </w:rPr>
        <w:t>selectedBandEntriesMNList</w:t>
      </w:r>
      <w:r w:rsidRPr="007F78F2">
        <w:rPr>
          <w:lang w:eastAsia="ja-JP"/>
        </w:rPr>
        <w:t>.</w:t>
      </w:r>
      <w:r>
        <w:rPr>
          <w:lang w:eastAsia="ja-JP"/>
        </w:rPr>
        <w:t>, i.e. in order for the MN to decide which band out of the who</w:t>
      </w:r>
      <w:r w:rsidR="0015578C">
        <w:rPr>
          <w:lang w:eastAsia="ja-JP"/>
        </w:rPr>
        <w:t xml:space="preserve">le </w:t>
      </w:r>
      <w:r w:rsidR="0015578C" w:rsidRPr="0015578C">
        <w:rPr>
          <w:i/>
          <w:lang w:eastAsia="ja-JP"/>
        </w:rPr>
        <w:t>selectedBandCombination</w:t>
      </w:r>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lastRenderedPageBreak/>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(1..maxBandComb))</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bookmarkStart w:id="6" w:name="_GoBack"/>
      <w:bookmarkEnd w:id="6"/>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af9"/>
        <w:tblW w:w="5000" w:type="pct"/>
        <w:tblLook w:val="04A0" w:firstRow="1" w:lastRow="0" w:firstColumn="1" w:lastColumn="0" w:noHBand="0" w:noVBand="1"/>
      </w:tblPr>
      <w:tblGrid>
        <w:gridCol w:w="2688"/>
        <w:gridCol w:w="1843"/>
        <w:gridCol w:w="5324"/>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4571E297" w:rsidR="004155DC" w:rsidRDefault="003B57F4" w:rsidP="001B7037">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1B7037">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1B7037">
            <w:pPr>
              <w:spacing w:after="0" w:line="276" w:lineRule="auto"/>
              <w:rPr>
                <w:szCs w:val="22"/>
                <w:lang w:eastAsia="ja-JP"/>
              </w:rPr>
            </w:pPr>
            <w:r>
              <w:rPr>
                <w:szCs w:val="22"/>
                <w:lang w:eastAsia="ja-JP"/>
              </w:rPr>
              <w:t>We are fine to go with the majority</w:t>
            </w:r>
          </w:p>
        </w:tc>
      </w:tr>
      <w:tr w:rsidR="0071088F" w14:paraId="53CB967D" w14:textId="77777777" w:rsidTr="004155DC">
        <w:tc>
          <w:tcPr>
            <w:tcW w:w="1364" w:type="pct"/>
          </w:tcPr>
          <w:p w14:paraId="68C28DE4" w14:textId="5CCA85ED" w:rsidR="0071088F" w:rsidRDefault="0071088F" w:rsidP="0071088F">
            <w:pPr>
              <w:spacing w:after="0" w:line="276" w:lineRule="auto"/>
              <w:jc w:val="center"/>
              <w:rPr>
                <w:szCs w:val="22"/>
                <w:lang w:eastAsia="ja-JP"/>
              </w:rPr>
            </w:pPr>
            <w:r>
              <w:rPr>
                <w:szCs w:val="22"/>
                <w:lang w:eastAsia="ja-JP"/>
              </w:rPr>
              <w:t>Docomo</w:t>
            </w:r>
          </w:p>
        </w:tc>
        <w:tc>
          <w:tcPr>
            <w:tcW w:w="935" w:type="pct"/>
          </w:tcPr>
          <w:p w14:paraId="0ACA514D" w14:textId="6080B1EF" w:rsidR="0071088F" w:rsidRDefault="0071088F" w:rsidP="0071088F">
            <w:pPr>
              <w:spacing w:after="0" w:line="276" w:lineRule="auto"/>
              <w:jc w:val="center"/>
              <w:rPr>
                <w:szCs w:val="22"/>
                <w:lang w:eastAsia="ja-JP"/>
              </w:rPr>
            </w:pPr>
            <w:r>
              <w:rPr>
                <w:szCs w:val="22"/>
                <w:lang w:eastAsia="ja-JP"/>
              </w:rPr>
              <w:t>Yes</w:t>
            </w:r>
          </w:p>
        </w:tc>
        <w:tc>
          <w:tcPr>
            <w:tcW w:w="2701" w:type="pct"/>
          </w:tcPr>
          <w:p w14:paraId="44370527" w14:textId="1F34BB3E" w:rsidR="0071088F" w:rsidRDefault="0071088F" w:rsidP="0071088F">
            <w:pPr>
              <w:spacing w:after="0" w:line="276" w:lineRule="auto"/>
              <w:rPr>
                <w:szCs w:val="22"/>
                <w:lang w:eastAsia="ja-JP"/>
              </w:rPr>
            </w:pPr>
            <w:r>
              <w:rPr>
                <w:szCs w:val="22"/>
                <w:lang w:eastAsia="ja-JP"/>
              </w:rPr>
              <w:t>The lack of granularity is observed in the field for EN-DC, including multi-vendor setup. Hence we think we really need the solution on how to validate the per-band-pair capability.</w:t>
            </w:r>
          </w:p>
          <w:p w14:paraId="0DCD6F28" w14:textId="77777777" w:rsidR="0071088F" w:rsidRDefault="0071088F" w:rsidP="0071088F">
            <w:pPr>
              <w:spacing w:after="0" w:line="276" w:lineRule="auto"/>
              <w:rPr>
                <w:szCs w:val="22"/>
                <w:lang w:eastAsia="ja-JP"/>
              </w:rPr>
            </w:pPr>
          </w:p>
          <w:p w14:paraId="1D2DF7AC" w14:textId="77777777" w:rsidR="0071088F" w:rsidRDefault="0071088F" w:rsidP="0071088F">
            <w:pPr>
              <w:spacing w:after="0" w:line="276" w:lineRule="auto"/>
              <w:rPr>
                <w:szCs w:val="22"/>
                <w:lang w:eastAsia="ja-JP"/>
              </w:rPr>
            </w:pPr>
            <w:r>
              <w:rPr>
                <w:szCs w:val="22"/>
                <w:lang w:eastAsia="ja-JP"/>
              </w:rPr>
              <w:t>The remaining question is to what extent we should optimize the solution.</w:t>
            </w:r>
          </w:p>
          <w:p w14:paraId="0783466C" w14:textId="372038FA" w:rsidR="0071088F" w:rsidRDefault="0071088F" w:rsidP="0071088F">
            <w:pPr>
              <w:spacing w:after="0" w:line="276" w:lineRule="auto"/>
              <w:rPr>
                <w:szCs w:val="22"/>
                <w:lang w:eastAsia="ja-JP"/>
              </w:rPr>
            </w:pPr>
            <w:r>
              <w:rPr>
                <w:szCs w:val="22"/>
                <w:lang w:eastAsia="ja-JP"/>
              </w:rPr>
              <w:t>Under the current spec, MN/SN does not know which bands are used in the other node, and they can only continue to use the legacy per-BC capability.</w:t>
            </w:r>
          </w:p>
          <w:p w14:paraId="523154E8" w14:textId="702B850A" w:rsidR="0071088F" w:rsidRDefault="0071088F" w:rsidP="0071088F">
            <w:pPr>
              <w:spacing w:after="0" w:line="276" w:lineRule="auto"/>
              <w:rPr>
                <w:iCs/>
                <w:lang w:eastAsia="ja-JP"/>
              </w:rPr>
            </w:pPr>
            <w:r>
              <w:rPr>
                <w:szCs w:val="22"/>
                <w:lang w:eastAsia="ja-JP"/>
              </w:rPr>
              <w:t xml:space="preserve">With the band information (i.e. </w:t>
            </w:r>
            <w:r w:rsidRPr="007F78F2">
              <w:rPr>
                <w:i/>
                <w:lang w:eastAsia="ja-JP"/>
              </w:rPr>
              <w:t>selectedBandEntriesMNList</w:t>
            </w:r>
            <w:r>
              <w:rPr>
                <w:iCs/>
                <w:lang w:eastAsia="ja-JP"/>
              </w:rPr>
              <w:t xml:space="preserve"> clarification and (b) above), MN/SN can know </w:t>
            </w:r>
            <w:r>
              <w:rPr>
                <w:szCs w:val="22"/>
                <w:lang w:eastAsia="ja-JP"/>
              </w:rPr>
              <w:t>which bands are used in the other node, and they can use the new per-band-pair UE capability. However, without the UL/DL info (a and c), the MN/SN would unnecessarily validate the DL-only band pairs, for which the simultaneous Rx/Tx never occurs (as there’d be no Tx). With (a) and (c) above, we can optimize for this kind of band pairs at the cost of some additional spec impact.</w:t>
            </w:r>
          </w:p>
          <w:p w14:paraId="4993208C" w14:textId="77777777" w:rsidR="0071088F" w:rsidRDefault="0071088F" w:rsidP="0071088F">
            <w:pPr>
              <w:spacing w:after="0" w:line="276" w:lineRule="auto"/>
              <w:rPr>
                <w:iCs/>
                <w:szCs w:val="22"/>
                <w:lang w:eastAsia="ja-JP"/>
              </w:rPr>
            </w:pPr>
          </w:p>
          <w:p w14:paraId="0E9DB8EA" w14:textId="2C5473A7" w:rsidR="0071088F" w:rsidRDefault="0071088F" w:rsidP="0071088F">
            <w:pPr>
              <w:spacing w:after="0" w:line="276" w:lineRule="auto"/>
              <w:rPr>
                <w:szCs w:val="22"/>
                <w:lang w:eastAsia="ja-JP"/>
              </w:rPr>
            </w:pPr>
            <w:r>
              <w:rPr>
                <w:iCs/>
                <w:szCs w:val="22"/>
                <w:lang w:eastAsia="ja-JP"/>
              </w:rPr>
              <w:t>We think all the information (a, b, c) is beneficial, and the band info (b) is especially important to make use of the new per-band-pair UE capability.</w:t>
            </w:r>
          </w:p>
        </w:tc>
      </w:tr>
      <w:tr w:rsidR="0071088F" w14:paraId="50C1A669" w14:textId="77777777" w:rsidTr="004155DC">
        <w:tc>
          <w:tcPr>
            <w:tcW w:w="1364" w:type="pct"/>
          </w:tcPr>
          <w:p w14:paraId="44591D11" w14:textId="77777777" w:rsidR="0071088F" w:rsidRDefault="0071088F" w:rsidP="0071088F">
            <w:pPr>
              <w:spacing w:after="0" w:line="276" w:lineRule="auto"/>
              <w:jc w:val="center"/>
              <w:rPr>
                <w:szCs w:val="22"/>
                <w:lang w:eastAsia="ja-JP"/>
              </w:rPr>
            </w:pPr>
          </w:p>
        </w:tc>
        <w:tc>
          <w:tcPr>
            <w:tcW w:w="935" w:type="pct"/>
          </w:tcPr>
          <w:p w14:paraId="29BCDEFB" w14:textId="77777777" w:rsidR="0071088F" w:rsidRDefault="0071088F" w:rsidP="0071088F">
            <w:pPr>
              <w:spacing w:after="0" w:line="276" w:lineRule="auto"/>
              <w:jc w:val="center"/>
              <w:rPr>
                <w:szCs w:val="22"/>
                <w:lang w:eastAsia="ja-JP"/>
              </w:rPr>
            </w:pPr>
          </w:p>
        </w:tc>
        <w:tc>
          <w:tcPr>
            <w:tcW w:w="2701" w:type="pct"/>
          </w:tcPr>
          <w:p w14:paraId="4DC319CD" w14:textId="77777777" w:rsidR="0071088F" w:rsidRDefault="0071088F" w:rsidP="0071088F">
            <w:pPr>
              <w:spacing w:after="0" w:line="276" w:lineRule="auto"/>
              <w:rPr>
                <w:szCs w:val="22"/>
                <w:lang w:eastAsia="ja-JP"/>
              </w:rPr>
            </w:pPr>
          </w:p>
        </w:tc>
      </w:tr>
      <w:tr w:rsidR="0071088F" w14:paraId="1A52F834" w14:textId="77777777" w:rsidTr="004155DC">
        <w:tc>
          <w:tcPr>
            <w:tcW w:w="1364" w:type="pct"/>
          </w:tcPr>
          <w:p w14:paraId="2956CAC1" w14:textId="77777777" w:rsidR="0071088F" w:rsidRDefault="0071088F" w:rsidP="0071088F">
            <w:pPr>
              <w:spacing w:after="0" w:line="276" w:lineRule="auto"/>
              <w:jc w:val="center"/>
              <w:rPr>
                <w:szCs w:val="22"/>
                <w:lang w:eastAsia="ja-JP"/>
              </w:rPr>
            </w:pPr>
          </w:p>
        </w:tc>
        <w:tc>
          <w:tcPr>
            <w:tcW w:w="935" w:type="pct"/>
          </w:tcPr>
          <w:p w14:paraId="01AD21F6" w14:textId="77777777" w:rsidR="0071088F" w:rsidRDefault="0071088F" w:rsidP="0071088F">
            <w:pPr>
              <w:spacing w:after="0" w:line="276" w:lineRule="auto"/>
              <w:jc w:val="center"/>
              <w:rPr>
                <w:szCs w:val="22"/>
                <w:lang w:eastAsia="ja-JP"/>
              </w:rPr>
            </w:pPr>
          </w:p>
        </w:tc>
        <w:tc>
          <w:tcPr>
            <w:tcW w:w="2701" w:type="pct"/>
          </w:tcPr>
          <w:p w14:paraId="69FC97A8" w14:textId="77777777" w:rsidR="0071088F" w:rsidRDefault="0071088F" w:rsidP="0071088F">
            <w:pPr>
              <w:spacing w:after="0" w:line="276" w:lineRule="auto"/>
              <w:rPr>
                <w:szCs w:val="22"/>
                <w:lang w:eastAsia="ja-JP"/>
              </w:rPr>
            </w:pPr>
          </w:p>
        </w:tc>
      </w:tr>
      <w:tr w:rsidR="0071088F" w14:paraId="360410C9" w14:textId="77777777" w:rsidTr="004155DC">
        <w:tc>
          <w:tcPr>
            <w:tcW w:w="1364" w:type="pct"/>
          </w:tcPr>
          <w:p w14:paraId="7C08AA25" w14:textId="77777777" w:rsidR="0071088F" w:rsidRDefault="0071088F" w:rsidP="0071088F">
            <w:pPr>
              <w:spacing w:after="0" w:line="276" w:lineRule="auto"/>
              <w:jc w:val="center"/>
              <w:rPr>
                <w:szCs w:val="22"/>
                <w:lang w:eastAsia="ja-JP"/>
              </w:rPr>
            </w:pPr>
          </w:p>
        </w:tc>
        <w:tc>
          <w:tcPr>
            <w:tcW w:w="935" w:type="pct"/>
          </w:tcPr>
          <w:p w14:paraId="737443AD" w14:textId="77777777" w:rsidR="0071088F" w:rsidRDefault="0071088F" w:rsidP="0071088F">
            <w:pPr>
              <w:spacing w:after="0" w:line="276" w:lineRule="auto"/>
              <w:jc w:val="center"/>
              <w:rPr>
                <w:szCs w:val="22"/>
                <w:lang w:eastAsia="ja-JP"/>
              </w:rPr>
            </w:pPr>
          </w:p>
        </w:tc>
        <w:tc>
          <w:tcPr>
            <w:tcW w:w="2701" w:type="pct"/>
          </w:tcPr>
          <w:p w14:paraId="4E5535F7" w14:textId="77777777" w:rsidR="0071088F" w:rsidRDefault="0071088F" w:rsidP="0071088F">
            <w:pPr>
              <w:spacing w:after="0" w:line="276" w:lineRule="auto"/>
              <w:rPr>
                <w:szCs w:val="22"/>
                <w:lang w:eastAsia="ja-JP"/>
              </w:rPr>
            </w:pPr>
          </w:p>
        </w:tc>
      </w:tr>
      <w:tr w:rsidR="0071088F" w14:paraId="3B34FE95" w14:textId="77777777" w:rsidTr="004155DC">
        <w:tc>
          <w:tcPr>
            <w:tcW w:w="1364" w:type="pct"/>
          </w:tcPr>
          <w:p w14:paraId="3019FB4A" w14:textId="77777777" w:rsidR="0071088F" w:rsidRPr="00D139BD" w:rsidRDefault="0071088F" w:rsidP="0071088F">
            <w:pPr>
              <w:spacing w:after="0" w:line="276" w:lineRule="auto"/>
              <w:jc w:val="center"/>
              <w:rPr>
                <w:rFonts w:eastAsiaTheme="minorEastAsia"/>
                <w:szCs w:val="22"/>
                <w:lang w:eastAsia="ja-JP"/>
              </w:rPr>
            </w:pPr>
          </w:p>
        </w:tc>
        <w:tc>
          <w:tcPr>
            <w:tcW w:w="935" w:type="pct"/>
          </w:tcPr>
          <w:p w14:paraId="6FCA03FF" w14:textId="77777777" w:rsidR="0071088F" w:rsidRPr="00D139BD" w:rsidRDefault="0071088F" w:rsidP="0071088F">
            <w:pPr>
              <w:spacing w:after="0" w:line="276" w:lineRule="auto"/>
              <w:jc w:val="center"/>
              <w:rPr>
                <w:rFonts w:eastAsiaTheme="minorEastAsia"/>
                <w:szCs w:val="22"/>
                <w:lang w:eastAsia="ja-JP"/>
              </w:rPr>
            </w:pPr>
          </w:p>
        </w:tc>
        <w:tc>
          <w:tcPr>
            <w:tcW w:w="2701" w:type="pct"/>
          </w:tcPr>
          <w:p w14:paraId="34083DBB" w14:textId="77777777" w:rsidR="0071088F" w:rsidRDefault="0071088F" w:rsidP="0071088F">
            <w:pPr>
              <w:spacing w:after="0" w:line="276" w:lineRule="auto"/>
              <w:rPr>
                <w:szCs w:val="22"/>
                <w:lang w:eastAsia="ja-JP"/>
              </w:rPr>
            </w:pPr>
          </w:p>
        </w:tc>
      </w:tr>
      <w:tr w:rsidR="0071088F" w14:paraId="53789808" w14:textId="77777777" w:rsidTr="004155DC">
        <w:tc>
          <w:tcPr>
            <w:tcW w:w="1364" w:type="pct"/>
          </w:tcPr>
          <w:p w14:paraId="7B177730" w14:textId="77777777" w:rsidR="0071088F" w:rsidRDefault="0071088F" w:rsidP="0071088F">
            <w:pPr>
              <w:spacing w:after="0" w:line="276" w:lineRule="auto"/>
              <w:jc w:val="center"/>
              <w:rPr>
                <w:szCs w:val="22"/>
                <w:lang w:eastAsia="ja-JP"/>
              </w:rPr>
            </w:pPr>
          </w:p>
        </w:tc>
        <w:tc>
          <w:tcPr>
            <w:tcW w:w="935" w:type="pct"/>
          </w:tcPr>
          <w:p w14:paraId="4E445D34" w14:textId="77777777" w:rsidR="0071088F" w:rsidRDefault="0071088F" w:rsidP="0071088F">
            <w:pPr>
              <w:spacing w:after="0" w:line="276" w:lineRule="auto"/>
              <w:jc w:val="center"/>
              <w:rPr>
                <w:szCs w:val="22"/>
                <w:lang w:eastAsia="ja-JP"/>
              </w:rPr>
            </w:pPr>
          </w:p>
        </w:tc>
        <w:tc>
          <w:tcPr>
            <w:tcW w:w="2701" w:type="pct"/>
          </w:tcPr>
          <w:p w14:paraId="2FB87BF8" w14:textId="77777777" w:rsidR="0071088F" w:rsidRPr="00371F78" w:rsidRDefault="0071088F" w:rsidP="0071088F">
            <w:pPr>
              <w:spacing w:after="0" w:line="276" w:lineRule="auto"/>
              <w:rPr>
                <w:iCs/>
                <w:szCs w:val="22"/>
                <w:lang w:eastAsia="ja-JP"/>
              </w:rPr>
            </w:pPr>
          </w:p>
        </w:tc>
      </w:tr>
      <w:tr w:rsidR="0071088F" w14:paraId="47AE875A" w14:textId="77777777" w:rsidTr="004155DC">
        <w:tc>
          <w:tcPr>
            <w:tcW w:w="1364" w:type="pct"/>
          </w:tcPr>
          <w:p w14:paraId="546D5AEC" w14:textId="77777777" w:rsidR="0071088F" w:rsidRDefault="0071088F" w:rsidP="0071088F">
            <w:pPr>
              <w:spacing w:after="0" w:line="276" w:lineRule="auto"/>
              <w:jc w:val="center"/>
              <w:rPr>
                <w:szCs w:val="22"/>
                <w:lang w:eastAsia="ja-JP"/>
              </w:rPr>
            </w:pPr>
          </w:p>
        </w:tc>
        <w:tc>
          <w:tcPr>
            <w:tcW w:w="935" w:type="pct"/>
          </w:tcPr>
          <w:p w14:paraId="0245FEC8" w14:textId="77777777" w:rsidR="0071088F" w:rsidRDefault="0071088F" w:rsidP="0071088F">
            <w:pPr>
              <w:spacing w:after="0" w:line="276" w:lineRule="auto"/>
              <w:jc w:val="center"/>
              <w:rPr>
                <w:szCs w:val="22"/>
                <w:lang w:eastAsia="ja-JP"/>
              </w:rPr>
            </w:pPr>
          </w:p>
        </w:tc>
        <w:tc>
          <w:tcPr>
            <w:tcW w:w="2701" w:type="pct"/>
          </w:tcPr>
          <w:p w14:paraId="524BF979" w14:textId="77777777" w:rsidR="0071088F" w:rsidRDefault="0071088F" w:rsidP="0071088F">
            <w:pPr>
              <w:spacing w:after="0" w:line="276" w:lineRule="auto"/>
              <w:rPr>
                <w:szCs w:val="22"/>
                <w:lang w:eastAsia="ja-JP"/>
              </w:rPr>
            </w:pPr>
          </w:p>
        </w:tc>
      </w:tr>
      <w:tr w:rsidR="0071088F" w14:paraId="3441E190" w14:textId="77777777" w:rsidTr="004155DC">
        <w:tc>
          <w:tcPr>
            <w:tcW w:w="1364" w:type="pct"/>
          </w:tcPr>
          <w:p w14:paraId="0D8B63DC" w14:textId="77777777" w:rsidR="0071088F" w:rsidRDefault="0071088F" w:rsidP="0071088F">
            <w:pPr>
              <w:spacing w:after="0" w:line="276" w:lineRule="auto"/>
              <w:jc w:val="center"/>
              <w:rPr>
                <w:szCs w:val="22"/>
                <w:lang w:eastAsia="ja-JP"/>
              </w:rPr>
            </w:pPr>
          </w:p>
        </w:tc>
        <w:tc>
          <w:tcPr>
            <w:tcW w:w="935" w:type="pct"/>
          </w:tcPr>
          <w:p w14:paraId="3782B26F" w14:textId="77777777" w:rsidR="0071088F" w:rsidRDefault="0071088F" w:rsidP="0071088F">
            <w:pPr>
              <w:spacing w:after="0" w:line="276" w:lineRule="auto"/>
              <w:jc w:val="center"/>
              <w:rPr>
                <w:szCs w:val="22"/>
                <w:lang w:eastAsia="ja-JP"/>
              </w:rPr>
            </w:pPr>
          </w:p>
        </w:tc>
        <w:tc>
          <w:tcPr>
            <w:tcW w:w="2701" w:type="pct"/>
          </w:tcPr>
          <w:p w14:paraId="2C04190D" w14:textId="77777777" w:rsidR="0071088F" w:rsidRDefault="0071088F" w:rsidP="0071088F">
            <w:pPr>
              <w:spacing w:after="0" w:line="276" w:lineRule="auto"/>
              <w:rPr>
                <w:szCs w:val="22"/>
                <w:lang w:eastAsia="ja-JP"/>
              </w:rPr>
            </w:pPr>
          </w:p>
        </w:tc>
      </w:tr>
      <w:tr w:rsidR="0071088F" w14:paraId="45DE6543" w14:textId="77777777" w:rsidTr="004155DC">
        <w:tc>
          <w:tcPr>
            <w:tcW w:w="1364" w:type="pct"/>
          </w:tcPr>
          <w:p w14:paraId="5E7722FC" w14:textId="77777777" w:rsidR="0071088F" w:rsidRDefault="0071088F" w:rsidP="0071088F">
            <w:pPr>
              <w:spacing w:after="0" w:line="276" w:lineRule="auto"/>
              <w:jc w:val="center"/>
              <w:rPr>
                <w:szCs w:val="22"/>
                <w:lang w:eastAsia="ja-JP"/>
              </w:rPr>
            </w:pPr>
          </w:p>
        </w:tc>
        <w:tc>
          <w:tcPr>
            <w:tcW w:w="935" w:type="pct"/>
          </w:tcPr>
          <w:p w14:paraId="1B85F6F0" w14:textId="77777777" w:rsidR="0071088F" w:rsidRDefault="0071088F" w:rsidP="0071088F">
            <w:pPr>
              <w:spacing w:after="0" w:line="276" w:lineRule="auto"/>
              <w:jc w:val="center"/>
              <w:rPr>
                <w:szCs w:val="22"/>
                <w:lang w:eastAsia="ja-JP"/>
              </w:rPr>
            </w:pPr>
          </w:p>
        </w:tc>
        <w:tc>
          <w:tcPr>
            <w:tcW w:w="2701" w:type="pct"/>
          </w:tcPr>
          <w:p w14:paraId="7D5F2369" w14:textId="77777777" w:rsidR="0071088F" w:rsidRDefault="0071088F" w:rsidP="0071088F">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1"/>
      </w:pPr>
      <w:r>
        <w:rPr>
          <w:rFonts w:hint="eastAsia"/>
        </w:rPr>
        <w:t>S</w:t>
      </w:r>
      <w:r>
        <w:t>ummary and Proposal</w:t>
      </w:r>
    </w:p>
    <w:p w14:paraId="1A6E9FE9" w14:textId="4083CBE7" w:rsidR="001C715A" w:rsidRPr="001C715A" w:rsidRDefault="001C715A" w:rsidP="001C715A">
      <w:pPr>
        <w:pStyle w:val="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r w:rsidRPr="002E0066">
        <w:rPr>
          <w:i/>
          <w:kern w:val="2"/>
        </w:rPr>
        <w:t>selectedBandEntriesMNList</w:t>
      </w:r>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t>While there was no</w:t>
      </w:r>
      <w:r>
        <w:rPr>
          <w:bCs/>
          <w:lang w:eastAsia="ja-JP"/>
        </w:rPr>
        <w:t xml:space="preserve">t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companies were ok to send an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lastRenderedPageBreak/>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C72B" w14:textId="77777777" w:rsidR="006305DA" w:rsidRDefault="006305DA">
      <w:pPr>
        <w:spacing w:after="0"/>
      </w:pPr>
      <w:r>
        <w:separator/>
      </w:r>
    </w:p>
  </w:endnote>
  <w:endnote w:type="continuationSeparator" w:id="0">
    <w:p w14:paraId="52DB24E0" w14:textId="77777777" w:rsidR="006305DA" w:rsidRDefault="006305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E889" w14:textId="77777777" w:rsidR="006305DA" w:rsidRDefault="006305DA">
      <w:pPr>
        <w:spacing w:after="0"/>
      </w:pPr>
      <w:r>
        <w:separator/>
      </w:r>
    </w:p>
  </w:footnote>
  <w:footnote w:type="continuationSeparator" w:id="0">
    <w:p w14:paraId="1AB94469" w14:textId="77777777" w:rsidR="006305DA" w:rsidRDefault="006305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7C2B"/>
    <w:rsid w:val="001E0F44"/>
    <w:rsid w:val="001F2B1D"/>
    <w:rsid w:val="001F5DE8"/>
    <w:rsid w:val="00212750"/>
    <w:rsid w:val="002146A9"/>
    <w:rsid w:val="002242A4"/>
    <w:rsid w:val="00232006"/>
    <w:rsid w:val="0024628D"/>
    <w:rsid w:val="00251D4E"/>
    <w:rsid w:val="002551CC"/>
    <w:rsid w:val="002605A3"/>
    <w:rsid w:val="00284052"/>
    <w:rsid w:val="002866B3"/>
    <w:rsid w:val="00295401"/>
    <w:rsid w:val="002961A1"/>
    <w:rsid w:val="002A49CC"/>
    <w:rsid w:val="002B2260"/>
    <w:rsid w:val="002B2662"/>
    <w:rsid w:val="002B6134"/>
    <w:rsid w:val="002C596B"/>
    <w:rsid w:val="002D7429"/>
    <w:rsid w:val="002E0066"/>
    <w:rsid w:val="002F1940"/>
    <w:rsid w:val="00310467"/>
    <w:rsid w:val="0031621A"/>
    <w:rsid w:val="003179F0"/>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77C9"/>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305DA"/>
    <w:rsid w:val="00651C9D"/>
    <w:rsid w:val="00657340"/>
    <w:rsid w:val="006636E0"/>
    <w:rsid w:val="006674A0"/>
    <w:rsid w:val="006722AE"/>
    <w:rsid w:val="0067681A"/>
    <w:rsid w:val="00686018"/>
    <w:rsid w:val="00686023"/>
    <w:rsid w:val="00697283"/>
    <w:rsid w:val="006A1407"/>
    <w:rsid w:val="006C76C3"/>
    <w:rsid w:val="006D1615"/>
    <w:rsid w:val="006D1AD8"/>
    <w:rsid w:val="006D3C13"/>
    <w:rsid w:val="006D522D"/>
    <w:rsid w:val="006E40BF"/>
    <w:rsid w:val="00704BDA"/>
    <w:rsid w:val="0071088F"/>
    <w:rsid w:val="007125A8"/>
    <w:rsid w:val="007167F7"/>
    <w:rsid w:val="0072021B"/>
    <w:rsid w:val="00734449"/>
    <w:rsid w:val="00746CC7"/>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D4E13"/>
    <w:rsid w:val="00AE0C82"/>
    <w:rsid w:val="00AE423A"/>
    <w:rsid w:val="00AE43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6EC7"/>
    <w:rsid w:val="00C66E0E"/>
    <w:rsid w:val="00C735A3"/>
    <w:rsid w:val="00C7510D"/>
    <w:rsid w:val="00C92DEB"/>
    <w:rsid w:val="00C96DD4"/>
    <w:rsid w:val="00CB3882"/>
    <w:rsid w:val="00CD042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91C01"/>
    <w:rsid w:val="00DA2678"/>
    <w:rsid w:val="00DB0224"/>
    <w:rsid w:val="00DB08B1"/>
    <w:rsid w:val="00DC0576"/>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E245F"/>
    <w:rsid w:val="00EF3F83"/>
    <w:rsid w:val="00F0138B"/>
    <w:rsid w:val="00F06D4D"/>
    <w:rsid w:val="00F13648"/>
    <w:rsid w:val="00F15C5F"/>
    <w:rsid w:val="00F40CC7"/>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5">
    <w:name w:val="List Paragraph"/>
    <w:basedOn w:val="a"/>
    <w:link w:val="af6"/>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7">
    <w:name w:val="Title"/>
    <w:basedOn w:val="a"/>
    <w:next w:val="a"/>
    <w:link w:val="af8"/>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8">
    <w:name w:val="标题 字符"/>
    <w:basedOn w:val="a0"/>
    <w:link w:val="af7"/>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5"/>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6">
    <w:name w:val="列出段落 字符"/>
    <w:basedOn w:val="a0"/>
    <w:link w:val="af5"/>
    <w:uiPriority w:val="34"/>
    <w:qFormat/>
    <w:rsid w:val="009B18E5"/>
    <w:rPr>
      <w:rFonts w:asciiTheme="minorHAnsi" w:hAnsiTheme="minorHAnsi" w:cstheme="minorHAnsi"/>
    </w:rPr>
  </w:style>
  <w:style w:type="character" w:customStyle="1" w:styleId="Observation0">
    <w:name w:val="Observation (文字)"/>
    <w:basedOn w:val="af6"/>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af9">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a">
    <w:name w:val="annotation subject"/>
    <w:basedOn w:val="a6"/>
    <w:next w:val="a6"/>
    <w:link w:val="afb"/>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a7">
    <w:name w:val="批注文字 字符"/>
    <w:basedOn w:val="a0"/>
    <w:link w:val="a6"/>
    <w:semiHidden/>
    <w:rsid w:val="003179F0"/>
    <w:rPr>
      <w:rFonts w:ascii="Arial" w:hAnsi="Arial" w:cstheme="minorHAnsi"/>
    </w:rPr>
  </w:style>
  <w:style w:type="character" w:customStyle="1" w:styleId="afb">
    <w:name w:val="批注主题 字符"/>
    <w:basedOn w:val="a7"/>
    <w:link w:val="afa"/>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FB5A1DAD-F346-4342-B3DE-C05E6E06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4224</Words>
  <Characters>24080</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28248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OPPO(Zhongda)</cp:lastModifiedBy>
  <cp:revision>3</cp:revision>
  <cp:lastPrinted>2002-04-23T07:10:00Z</cp:lastPrinted>
  <dcterms:created xsi:type="dcterms:W3CDTF">2021-10-15T06:49:00Z</dcterms:created>
  <dcterms:modified xsi:type="dcterms:W3CDTF">2021-10-15T06:50:00Z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