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Introdution</w:t>
      </w:r>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 xml:space="preserve">For sub-sequent SDT (i.e.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 xml:space="preserve">For sub-sequent SDT (i.e.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For opt.6a), the TDoc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Yes, your understanding is right. I.e., current list is based on RAN2#114e TDoc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59.5pt;mso-width-percent:0;mso-height-percent:0;mso-width-percent:0;mso-height-percent:0" o:ole="">
            <v:imagedata r:id="rId11" o:title=""/>
          </v:shape>
          <o:OLEObject Type="Embed" ProgID="Visio.Drawing.11" ShapeID="_x0000_i1025" DrawAspect="Content" ObjectID="_1689667038"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Huawei, HiSilicon</w:t>
            </w:r>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r>
              <w:t xml:space="preserve">Yes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RRCResume,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of  PDCP PDUs cannot be ensured in this case </w:t>
            </w:r>
          </w:p>
          <w:p w14:paraId="41EF1937" w14:textId="77777777" w:rsidR="00025331" w:rsidRDefault="0089377C">
            <w:pPr>
              <w:spacing w:after="0"/>
            </w:pPr>
            <w:r>
              <w:t xml:space="preserve">It should be noted that lossless delivery as agreed in RAN2, requires also the in order delivery  of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inorder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From our perspective, we prefer option 1 to ensure the in order delivery and avoid the redundancy.</w:t>
            </w:r>
          </w:p>
        </w:tc>
      </w:tr>
      <w:tr w:rsidR="00025331" w14:paraId="702BD2FE" w14:textId="77777777">
        <w:tc>
          <w:tcPr>
            <w:tcW w:w="1975" w:type="dxa"/>
          </w:tcPr>
          <w:p w14:paraId="7E5E1F3B" w14:textId="77777777" w:rsidR="00025331" w:rsidRDefault="0089377C">
            <w:pPr>
              <w:spacing w:after="0"/>
            </w:pPr>
            <w:r>
              <w:t>InterDigital</w:t>
            </w:r>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Our preference is to enable option 1.a) via approach A) i.e.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Huawei, HiSilicon</w:t>
            </w:r>
          </w:p>
        </w:tc>
        <w:tc>
          <w:tcPr>
            <w:tcW w:w="1261" w:type="dxa"/>
          </w:tcPr>
          <w:p w14:paraId="0CDEA1F3" w14:textId="77777777" w:rsidR="00025331" w:rsidRDefault="0089377C">
            <w:pPr>
              <w:spacing w:after="0"/>
            </w:pPr>
            <w:r>
              <w:t>Worth checking with SA3 whether this is an issue, other approaches than updating the security key for RRCResume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r>
              <w:rPr>
                <w:rFonts w:hint="eastAsia"/>
              </w:rPr>
              <w:t>InterDigital</w:t>
            </w:r>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We also support to further check with SA3 even though the lack of key separation may have seem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Huawei, HiSilicon</w:t>
            </w:r>
          </w:p>
        </w:tc>
        <w:tc>
          <w:tcPr>
            <w:tcW w:w="4281" w:type="pct"/>
          </w:tcPr>
          <w:p w14:paraId="033649BC" w14:textId="77777777"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r>
              <w:rPr>
                <w:rFonts w:hint="eastAsia"/>
              </w:rPr>
              <w:t>InterDigital</w:t>
            </w:r>
          </w:p>
        </w:tc>
        <w:tc>
          <w:tcPr>
            <w:tcW w:w="4281" w:type="pct"/>
          </w:tcPr>
          <w:p w14:paraId="57DB0AFD" w14:textId="77777777"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As commented in Q2, Point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We share the understanding explained by Rappetour’s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security keys needs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Huawei, HiSilicon</w:t>
            </w:r>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47E9A296" w14:textId="77777777" w:rsidR="00025331" w:rsidRDefault="0089377C">
            <w:pPr>
              <w:spacing w:after="0"/>
            </w:pPr>
            <w:r>
              <w:t>If we agree some other more complex solution, then it seems we do need some more detailed communication with RAN3 (e.g.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r>
              <w:t>InterDigital</w:t>
            </w:r>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26552292" w14:textId="77777777" w:rsidR="00025331" w:rsidRDefault="0089377C">
            <w:pPr>
              <w:spacing w:after="0"/>
            </w:pPr>
            <w:r>
              <w:t>RAN2 should make a working assumption that the new serving gNB decodes the RRCResumeComplete msg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Huawei, HiSilicon</w:t>
            </w:r>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3289B9D2" w14:textId="77777777"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r>
              <w:t>InterDigital</w:t>
            </w:r>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Huawei, HiSilicon</w:t>
            </w:r>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For anchor relocation case or in case serving gNB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r>
              <w:lastRenderedPageBreak/>
              <w:t>InterDigital</w:t>
            </w:r>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Same review with InterDigital</w:t>
            </w:r>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We share the same view as InterDigital.</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Huawei, HiSilicon</w:t>
            </w:r>
          </w:p>
        </w:tc>
        <w:tc>
          <w:tcPr>
            <w:tcW w:w="3944" w:type="pct"/>
          </w:tcPr>
          <w:p w14:paraId="404D4303" w14:textId="77777777" w:rsidR="00025331" w:rsidRDefault="0089377C">
            <w:pPr>
              <w:spacing w:after="0"/>
            </w:pPr>
            <w:r>
              <w:t>The UE should terminate the current RACH procedure and initiate a new one, i.e. send a non-SDT RACH preamble and CCCH/RRCResumeRequest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RRCResume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14:paraId="5039B378" w14:textId="77777777">
        <w:tc>
          <w:tcPr>
            <w:tcW w:w="1056" w:type="pct"/>
          </w:tcPr>
          <w:p w14:paraId="55D42E90" w14:textId="77777777" w:rsidR="00025331" w:rsidRDefault="0089377C">
            <w:pPr>
              <w:spacing w:after="0"/>
            </w:pPr>
            <w:r>
              <w:t>InterDigital</w:t>
            </w:r>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Huawei, HiSilicon</w:t>
            </w:r>
          </w:p>
        </w:tc>
        <w:tc>
          <w:tcPr>
            <w:tcW w:w="3944" w:type="pct"/>
          </w:tcPr>
          <w:p w14:paraId="75B47D57" w14:textId="77777777" w:rsidR="00025331" w:rsidRDefault="0089377C">
            <w:pPr>
              <w:spacing w:after="0"/>
            </w:pPr>
            <w:r>
              <w:t>The same as in Q7, i.e. the UE should terminate the current RACH procedure and initiate a new one, i.e. send a non-SDT RACH preamble and CCCH/RRCResumeRequest message.</w:t>
            </w:r>
          </w:p>
        </w:tc>
      </w:tr>
      <w:tr w:rsidR="00025331" w14:paraId="72646FB2" w14:textId="77777777">
        <w:tc>
          <w:tcPr>
            <w:tcW w:w="1056" w:type="pct"/>
          </w:tcPr>
          <w:p w14:paraId="3AC33151" w14:textId="77777777" w:rsidR="00025331" w:rsidRDefault="0089377C">
            <w:pPr>
              <w:spacing w:after="0"/>
            </w:pPr>
            <w:r>
              <w:t>InterDigital</w:t>
            </w:r>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Huawei, HiSilicon</w:t>
            </w:r>
          </w:p>
        </w:tc>
        <w:tc>
          <w:tcPr>
            <w:tcW w:w="3944" w:type="pct"/>
          </w:tcPr>
          <w:p w14:paraId="7FF6069B" w14:textId="77777777" w:rsidR="00025331" w:rsidRDefault="0089377C">
            <w:pPr>
              <w:spacing w:after="0"/>
            </w:pPr>
            <w:r>
              <w:t>Similar as in Q7, i.e. the UE should terminate the ongoing SDT procedure and initiate a RACH procedure, i.e. send a non-SDT RACH preamble and CCCH/RRCResumeRequest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r>
              <w:rPr>
                <w:rFonts w:hint="eastAsia"/>
              </w:rPr>
              <w:t>InterDigital</w:t>
            </w:r>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Huawei, HiSilicon</w:t>
            </w:r>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0A82FF9E" w14:textId="77777777" w:rsidR="00025331" w:rsidRDefault="0089377C">
            <w:pPr>
              <w:pStyle w:val="ListParagraph"/>
              <w:numPr>
                <w:ilvl w:val="0"/>
                <w:numId w:val="8"/>
              </w:numPr>
              <w:spacing w:after="0"/>
            </w:pPr>
            <w:r>
              <w:t>Is it the key in the UE INACTIVE AS context (this is how it works currently if we assume second RRCResume works exactly same as the first RRCResume) or</w:t>
            </w:r>
          </w:p>
          <w:p w14:paraId="5E94F82F" w14:textId="77777777" w:rsidR="00025331" w:rsidRDefault="0089377C">
            <w:pPr>
              <w:pStyle w:val="ListParagraph"/>
              <w:numPr>
                <w:ilvl w:val="0"/>
                <w:numId w:val="8"/>
              </w:numPr>
              <w:spacing w:after="0"/>
            </w:pPr>
            <w:r>
              <w:t>Is it the key derived after first RRCResume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CN"/>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ListParagraph"/>
              <w:numPr>
                <w:ilvl w:val="0"/>
                <w:numId w:val="52"/>
              </w:numPr>
              <w:spacing w:after="0"/>
            </w:pPr>
            <w:r>
              <w:t>For the initial RRCResume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260FE206" w14:textId="77777777"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r>
              <w:lastRenderedPageBreak/>
              <w:t>InterDigital</w:t>
            </w:r>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Reuse the legacy behavior,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solution for fake gNB</w:t>
            </w:r>
          </w:p>
        </w:tc>
        <w:tc>
          <w:tcPr>
            <w:tcW w:w="6205" w:type="dxa"/>
          </w:tcPr>
          <w:p w14:paraId="28BD4934" w14:textId="77777777" w:rsidR="00025331" w:rsidRDefault="0089377C">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Huawei, HiSilicon</w:t>
            </w:r>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14:paraId="54266EB8" w14:textId="77777777">
        <w:tc>
          <w:tcPr>
            <w:tcW w:w="1975" w:type="dxa"/>
          </w:tcPr>
          <w:p w14:paraId="2FFFCB24" w14:textId="77777777" w:rsidR="00025331" w:rsidRDefault="0089377C">
            <w:pPr>
              <w:spacing w:after="0"/>
            </w:pPr>
            <w:r>
              <w:t>InterDigital</w:t>
            </w:r>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When receiving a RRCResumeRequest msg which is sent by the UE due to non-SDT available, the gNB may:</w:t>
            </w:r>
          </w:p>
          <w:p w14:paraId="4A71FBBA" w14:textId="77777777" w:rsidR="00025331" w:rsidRDefault="0089377C">
            <w:pPr>
              <w:spacing w:after="0"/>
            </w:pPr>
            <w:r>
              <w:t>-</w:t>
            </w:r>
            <w:r>
              <w:tab/>
              <w:t>Have received the first RRCResumeRequest msg and perform anchor relocation;</w:t>
            </w:r>
          </w:p>
          <w:p w14:paraId="11D2F2D4" w14:textId="77777777" w:rsidR="00025331" w:rsidRDefault="0089377C">
            <w:pPr>
              <w:spacing w:after="0"/>
            </w:pPr>
            <w:r>
              <w:t>-</w:t>
            </w:r>
            <w:r>
              <w:tab/>
              <w:t>Have received the first RRCResumeRequest msg but not perform anchor relocation;</w:t>
            </w:r>
          </w:p>
          <w:p w14:paraId="64BA63D7" w14:textId="77777777" w:rsidR="00025331" w:rsidRDefault="0089377C">
            <w:pPr>
              <w:spacing w:after="0"/>
            </w:pPr>
            <w:r>
              <w:t>-</w:t>
            </w:r>
            <w:r>
              <w:tab/>
              <w:t>Not have received the first RRCResumeRequest msg.</w:t>
            </w:r>
          </w:p>
          <w:p w14:paraId="5D950B1E" w14:textId="77777777" w:rsidR="00025331" w:rsidRDefault="0089377C">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RRCResumeRequest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Huawei, HiSilicon</w:t>
            </w:r>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New key is derived at the UE using Horizontal key derviation for second RRCResume (note this either needs new indication in the second RRCResume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(i.e.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r>
              <w:t>InterDigital</w:t>
            </w:r>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Reusing the existing behavior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Huawei, HiSilicon</w:t>
            </w:r>
          </w:p>
        </w:tc>
        <w:tc>
          <w:tcPr>
            <w:tcW w:w="3793" w:type="pct"/>
          </w:tcPr>
          <w:p w14:paraId="47EE8ABD" w14:textId="77777777"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r>
              <w:t>InterDigital</w:t>
            </w:r>
          </w:p>
        </w:tc>
        <w:tc>
          <w:tcPr>
            <w:tcW w:w="3793" w:type="pct"/>
          </w:tcPr>
          <w:p w14:paraId="6AEAA41E" w14:textId="77777777" w:rsidR="00025331" w:rsidRDefault="0089377C">
            <w:pPr>
              <w:spacing w:after="0"/>
            </w:pPr>
            <w:r>
              <w:t>The discussion should be other way around. If any new key derivation is required by SA3, then PDCP COUNT should be reset. Otherwise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RRCResumeRequest msg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 xml:space="preserve">If NW can identify the non-SDT access is during the ongoing SDT session (i.e.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VarResumeMAC-Input; </w:t>
      </w:r>
    </w:p>
    <w:p w14:paraId="58D31229" w14:textId="77777777" w:rsidR="00025331" w:rsidRDefault="0089377C">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Huawei, HiSilicon</w:t>
            </w:r>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r>
              <w:t>InterDigital</w:t>
            </w:r>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5.5pt;height:220.5pt;mso-width-percent:0;mso-height-percent:0;mso-width-percent:0;mso-height-percent:0" o:ole="">
                  <v:imagedata r:id="rId14" o:title=""/>
                </v:shape>
                <o:OLEObject Type="Embed" ProgID="Visio.Drawing.15" ShapeID="_x0000_i1026" DrawAspect="Content" ObjectID="_1689667039"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5.5pt;height:220.5pt;mso-width-percent:0;mso-height-percent:0;mso-width-percent:0;mso-height-percent:0" o:ole="">
                  <v:imagedata r:id="rId16" o:title=""/>
                </v:shape>
                <o:OLEObject Type="Embed" ProgID="Visio.Drawing.15" ShapeID="_x0000_i1027" DrawAspect="Content" ObjectID="_1689667040"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5.5pt;height:220.5pt;mso-width-percent:0;mso-height-percent:0;mso-width-percent:0;mso-height-percent:0" o:ole="">
                  <v:imagedata r:id="rId18" o:title=""/>
                </v:shape>
                <o:OLEObject Type="Embed" ProgID="Visio.Drawing.15" ShapeID="_x0000_i1028" DrawAspect="Content" ObjectID="_1689667041"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5.5pt;height:252pt;mso-width-percent:0;mso-height-percent:0;mso-width-percent:0;mso-height-percent:0" o:ole="">
                  <v:imagedata r:id="rId20" o:title=""/>
                </v:shape>
                <o:OLEObject Type="Embed" ProgID="Visio.Drawing.15" ShapeID="_x0000_i1029" DrawAspect="Content" ObjectID="_1689667042"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41A7D43" w14:textId="77777777" w:rsidR="00025331" w:rsidRDefault="0089377C">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5CF10E1A" w14:textId="77777777" w:rsidR="00025331" w:rsidRDefault="0089377C">
            <w:pPr>
              <w:spacing w:after="0"/>
              <w:ind w:left="720"/>
              <w:rPr>
                <w:i/>
                <w:iCs/>
              </w:rPr>
            </w:pPr>
            <w:r>
              <w:rPr>
                <w:i/>
                <w:iCs/>
              </w:rPr>
              <w:t xml:space="preserve">VarResumeMAC-Input  ::=     SEQUENCE </w:t>
            </w:r>
          </w:p>
          <w:p w14:paraId="26B6EE50" w14:textId="77777777" w:rsidR="00025331" w:rsidRDefault="0089377C">
            <w:pPr>
              <w:spacing w:after="0"/>
              <w:ind w:left="720"/>
              <w:rPr>
                <w:i/>
                <w:iCs/>
              </w:rPr>
            </w:pPr>
            <w:r>
              <w:rPr>
                <w:i/>
                <w:iCs/>
              </w:rPr>
              <w:t xml:space="preserve">{    sourcePhysCellId                        PhysCellId,    </w:t>
            </w:r>
          </w:p>
          <w:p w14:paraId="52E137FF" w14:textId="77777777" w:rsidR="00025331" w:rsidRDefault="0089377C">
            <w:pPr>
              <w:spacing w:after="0"/>
              <w:ind w:left="720"/>
              <w:rPr>
                <w:i/>
                <w:iCs/>
              </w:rPr>
            </w:pPr>
            <w:r>
              <w:rPr>
                <w:i/>
                <w:iCs/>
              </w:rPr>
              <w:t xml:space="preserve">      targetCellIdentity                      CellIdentity,    </w:t>
            </w:r>
          </w:p>
          <w:p w14:paraId="252E0FAC" w14:textId="77777777" w:rsidR="00025331" w:rsidRDefault="0089377C">
            <w:pPr>
              <w:spacing w:after="0"/>
              <w:ind w:left="720"/>
            </w:pPr>
            <w:r>
              <w:rPr>
                <w:i/>
                <w:iCs/>
              </w:rPr>
              <w:t xml:space="preserve">      source-c-RNTI                           RNTI-Value   }</w:t>
            </w:r>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  or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ption 6.d</w:t>
            </w:r>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We prefer to reuse the existing UE behavior.</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5pt;height:388.5pt;mso-width-percent:0;mso-height-percent:0;mso-width-percent:0;mso-height-percent:0" o:ole="">
            <v:imagedata r:id="rId22" o:title=""/>
            <o:lock v:ext="edit" aspectratio="f"/>
          </v:shape>
          <o:OLEObject Type="Embed" ProgID="Visio.Drawing.15" ShapeID="_x0000_i1030" DrawAspect="Content" ObjectID="_1689667043"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5625D860" w14:textId="77777777" w:rsidR="00025331" w:rsidRDefault="0089377C">
      <w:pPr>
        <w:pStyle w:val="ListParagraph"/>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Huawei, HiSilicon</w:t>
            </w:r>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issues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r>
              <w:t>InterDigital</w:t>
            </w:r>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As the UE context is still kept at the anchor gNB,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Option 7.a</w:t>
            </w:r>
          </w:p>
        </w:tc>
        <w:tc>
          <w:tcPr>
            <w:tcW w:w="6205" w:type="dxa"/>
          </w:tcPr>
          <w:p w14:paraId="18884038" w14:textId="77777777" w:rsidR="00025331" w:rsidRDefault="0089377C">
            <w:pPr>
              <w:spacing w:after="0"/>
              <w:rPr>
                <w:lang w:val="en-US" w:eastAsia="zh-CN"/>
              </w:rPr>
            </w:pPr>
            <w:r>
              <w:rPr>
                <w:lang w:val="en-US" w:eastAsia="zh-CN"/>
              </w:rPr>
              <w:t>7.a is the baseline. And we donot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r>
              <w:rPr>
                <w:lang w:eastAsia="zh-CN"/>
              </w:rPr>
              <w:t>Qulacomm</w:t>
            </w:r>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2.75pt;height:3in;mso-width-percent:0;mso-height-percent:0;mso-width-percent:0;mso-height-percent:0" o:ole="">
            <v:imagedata r:id="rId24" o:title=""/>
          </v:shape>
          <o:OLEObject Type="Embed" ProgID="Visio.Drawing.11" ShapeID="_x0000_i1031" DrawAspect="Content" ObjectID="_1689667044"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Huawei, HiSilicon</w:t>
            </w:r>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r>
              <w:t>InterDigital</w:t>
            </w:r>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If PDCP COUNT is reset with CCCH-based approach, the security key needs to be updated in both UE and gNB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14:paraId="32329979" w14:textId="77777777"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r>
              <w:rPr>
                <w:lang w:eastAsia="zh-CN"/>
              </w:rPr>
              <w:t>Yes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Huawei, HiSilicon</w:t>
            </w:r>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r>
              <w:t>InterDigital</w:t>
            </w:r>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Huawei/HiSilicon’s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r>
        <w:t>oint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Huawei, HiSilicon</w:t>
            </w:r>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In case we proceed with this approach, we prefer to reuse an existing message and UEAssistanceInformation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r>
              <w:t>InterDigital</w:t>
            </w:r>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The existing message plus a new IE, which tells gNB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9D96211" w14:textId="77777777"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We slightly prefer a new meassage,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Huawei, HiSilicon</w:t>
            </w:r>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sure,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r>
              <w:lastRenderedPageBreak/>
              <w:t>InterDigital</w:t>
            </w:r>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11.a)/11.b)/ 11.c)</w:t>
            </w:r>
          </w:p>
        </w:tc>
        <w:tc>
          <w:tcPr>
            <w:tcW w:w="6205" w:type="dxa"/>
          </w:tcPr>
          <w:p w14:paraId="488D9343" w14:textId="77777777"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7A5743FC" w14:textId="77777777"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11.c, 11.a, 11.b</w:t>
            </w:r>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Huawei, HiSilicon</w:t>
            </w:r>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r>
              <w:t>InterDigital</w:t>
            </w:r>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(i.e.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Huawei, HiSilicon</w:t>
            </w:r>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We are not sure if 16.1 and 16.2 are mutually exclusive. Our understanding is also that a network response is needed, but the response will be RRCResume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r>
              <w:t>InterDigital</w:t>
            </w:r>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(i.e.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Huawei, HiSilicon</w:t>
            </w:r>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025331" w14:paraId="3D99BA0B" w14:textId="77777777">
        <w:trPr>
          <w:trHeight w:val="43"/>
        </w:trPr>
        <w:tc>
          <w:tcPr>
            <w:tcW w:w="1975" w:type="dxa"/>
          </w:tcPr>
          <w:p w14:paraId="790A6D1B" w14:textId="77777777" w:rsidR="00025331" w:rsidRDefault="0089377C">
            <w:pPr>
              <w:spacing w:after="0"/>
            </w:pPr>
            <w:r>
              <w:lastRenderedPageBreak/>
              <w:t>InterDigital</w:t>
            </w:r>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Huawei/HiSilicon’s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Huawei, HiSilicon</w:t>
            </w:r>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r>
              <w:t>InterDigital</w:t>
            </w:r>
          </w:p>
        </w:tc>
        <w:tc>
          <w:tcPr>
            <w:tcW w:w="3944" w:type="pct"/>
          </w:tcPr>
          <w:p w14:paraId="2F8FA4CB" w14:textId="77777777"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shoul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Huawei, HiSilicon</w:t>
            </w:r>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r>
              <w:t>InterDigital</w:t>
            </w:r>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Huawei, HiSilicon</w:t>
            </w:r>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(e.g. NAS recovery is performed) or</w:t>
            </w:r>
          </w:p>
          <w:p w14:paraId="7A933C13" w14:textId="77777777" w:rsidR="00025331" w:rsidRDefault="0089377C">
            <w:pPr>
              <w:pStyle w:val="ListParagraph"/>
              <w:numPr>
                <w:ilvl w:val="0"/>
                <w:numId w:val="53"/>
              </w:numPr>
              <w:spacing w:after="0"/>
            </w:pPr>
            <w:r>
              <w:t xml:space="preserve">UE stays in RRC_INACTIVE state and initiates PDCP reestablishment based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r>
              <w:t>InterDigital</w:t>
            </w:r>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behavior is prefered,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UE goes to IDLE as a common UE behavior,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Huawei, HiSilicon</w:t>
            </w:r>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r>
              <w:t>InterDigital</w:t>
            </w:r>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5pt;height:138pt;mso-width-percent:0;mso-height-percent:0;mso-width-percent:0;mso-height-percent:0" o:ole="">
                  <v:imagedata r:id="rId26" o:title=""/>
                </v:shape>
                <o:OLEObject Type="Embed" ProgID="Visio.Drawing.15" ShapeID="_x0000_i1032" DrawAspect="Content" ObjectID="_1689667045"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(Huawei-HiSilicon, InterDigital,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PDCP SDUs are not discarded when the UE moves to RRC INACTIVE, i.e.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(Huawei-HiSilicon,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14:paraId="4537FB4D" w14:textId="77777777" w:rsidR="00025331" w:rsidRDefault="0089377C">
      <w:pPr>
        <w:pStyle w:val="ListParagraph"/>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Yes: 7 companies (ZTE, InterDigital,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[InterDigital]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(InterDigital)</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(Huawei-HiSilicon, Fujitsu, NEC, OPPO, FGI-APT, vivo)</w:t>
      </w:r>
    </w:p>
    <w:p w14:paraId="36DC8F11" w14:textId="77777777" w:rsidR="00025331" w:rsidRDefault="0089377C">
      <w:pPr>
        <w:pStyle w:val="ListParagraph"/>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(Huawei-HiSilicon,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(Huawei-HiSilicon,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(InterDigital,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(Huawei-HiSilicon, ZTE, InterDigital,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 : 13 companies (Huawei-HiSilicon, InterDigital,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[ZTE] (new) network indicates the RBs to re-establish when performing reconfiguration with sync but existing signaling already supports this.</w:t>
      </w:r>
    </w:p>
    <w:p w14:paraId="509A8711" w14:textId="77777777" w:rsidR="00025331" w:rsidRDefault="0089377C">
      <w:pPr>
        <w:pStyle w:val="ListParagraph"/>
        <w:numPr>
          <w:ilvl w:val="2"/>
          <w:numId w:val="24"/>
        </w:numPr>
        <w:spacing w:after="120"/>
        <w:contextualSpacing w:val="0"/>
        <w:jc w:val="both"/>
      </w:pPr>
      <w:r>
        <w:t>[LG, vivo] Network can indicate whether PDCP entities are or not re-established via RRCResume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reestablished in </w:t>
      </w:r>
      <w:r>
        <w:rPr>
          <w:i/>
        </w:rPr>
        <w:t>RRCRelease</w:t>
      </w:r>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This scenario is a corner case one: 5 companies (ZTE, InterDigital,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(Huawei-HiSilicon, ZTE, InterDigital, Samsung, NEC, OPPO, FGI-APT, Lenovo)</w:t>
      </w:r>
    </w:p>
    <w:p w14:paraId="2D8BCDA1" w14:textId="77777777" w:rsidR="00025331" w:rsidRDefault="0089377C">
      <w:pPr>
        <w:pStyle w:val="ListParagraph"/>
        <w:numPr>
          <w:ilvl w:val="0"/>
          <w:numId w:val="24"/>
        </w:numPr>
        <w:spacing w:after="120"/>
        <w:contextualSpacing w:val="0"/>
        <w:jc w:val="both"/>
      </w:pPr>
      <w:r>
        <w:t>For DCCH-based solution, UE continues current RACH proc.: 5 companies (ZTE, InterDigital, Samsung, OPPO, Lenovo)</w:t>
      </w:r>
    </w:p>
    <w:p w14:paraId="675C75F3" w14:textId="77777777" w:rsidR="00025331" w:rsidRDefault="0089377C">
      <w:pPr>
        <w:pStyle w:val="ListParagraph"/>
        <w:numPr>
          <w:ilvl w:val="0"/>
          <w:numId w:val="24"/>
        </w:numPr>
        <w:spacing w:after="240"/>
        <w:contextualSpacing w:val="0"/>
        <w:jc w:val="both"/>
      </w:pPr>
      <w:r>
        <w:t>An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(Huawei-HiSilicon,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14:paraId="10D03CF7" w14:textId="77777777" w:rsidR="00025331" w:rsidRDefault="0089377C">
      <w:pPr>
        <w:pStyle w:val="ListParagraph"/>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(Huawei-HiSilicon, ZTE, InterDigital,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New indication send to differentiate the 2</w:t>
      </w:r>
      <w:r>
        <w:rPr>
          <w:vertAlign w:val="superscript"/>
        </w:rPr>
        <w:t>nd</w:t>
      </w:r>
      <w:r>
        <w:t xml:space="preserve"> RRCResumeRequest msg.</w:t>
      </w:r>
    </w:p>
    <w:p w14:paraId="5DE0074F" w14:textId="77777777" w:rsidR="00025331" w:rsidRDefault="0089377C">
      <w:pPr>
        <w:pStyle w:val="ListParagraph"/>
        <w:numPr>
          <w:ilvl w:val="2"/>
          <w:numId w:val="24"/>
        </w:numPr>
        <w:spacing w:after="120"/>
        <w:contextualSpacing w:val="0"/>
        <w:jc w:val="both"/>
      </w:pPr>
      <w:r>
        <w:lastRenderedPageBreak/>
        <w:t>Not needed [Huawei-HiSilicon, InterDigital, Fujitsu, LG, NEC, Apple, OPPO, vivo]</w:t>
      </w:r>
    </w:p>
    <w:p w14:paraId="768556E2" w14:textId="77777777" w:rsidR="00025331" w:rsidRDefault="0089377C">
      <w:pPr>
        <w:pStyle w:val="ListParagraph"/>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14:paraId="74631F99" w14:textId="77777777" w:rsidR="00025331" w:rsidRDefault="0089377C">
      <w:pPr>
        <w:pStyle w:val="ListParagraph"/>
        <w:numPr>
          <w:ilvl w:val="3"/>
          <w:numId w:val="24"/>
        </w:numPr>
        <w:spacing w:after="120"/>
        <w:contextualSpacing w:val="0"/>
        <w:jc w:val="both"/>
      </w:pPr>
      <w:r>
        <w:t>gNB internal counter (not-standardized) can be used for this [Fujitsu]</w:t>
      </w:r>
    </w:p>
    <w:p w14:paraId="19C02865" w14:textId="77777777" w:rsidR="00025331" w:rsidRDefault="0089377C">
      <w:pPr>
        <w:pStyle w:val="ListParagraph"/>
        <w:numPr>
          <w:ilvl w:val="3"/>
          <w:numId w:val="24"/>
        </w:numPr>
        <w:spacing w:after="120"/>
        <w:contextualSpacing w:val="0"/>
        <w:jc w:val="both"/>
      </w:pPr>
      <w:r>
        <w:t>when gNB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14:paraId="1B998ADC" w14:textId="77777777" w:rsidR="00025331" w:rsidRDefault="0089377C">
      <w:pPr>
        <w:pStyle w:val="ListParagraph"/>
        <w:numPr>
          <w:ilvl w:val="3"/>
          <w:numId w:val="24"/>
        </w:numPr>
        <w:spacing w:after="120"/>
        <w:contextualSpacing w:val="0"/>
        <w:jc w:val="both"/>
      </w:pPr>
      <w:r>
        <w:t>when gNB cannot identify the UE e.g.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[Intel] For option 1.a) of Q10), i.e. PDCP suspend operation follows legacy suspend/resume, gNB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14:paraId="58795D19" w14:textId="77777777" w:rsidR="00025331" w:rsidRDefault="0089377C">
      <w:pPr>
        <w:pStyle w:val="ListParagraph"/>
        <w:numPr>
          <w:ilvl w:val="0"/>
          <w:numId w:val="24"/>
        </w:numPr>
        <w:spacing w:after="120"/>
        <w:contextualSpacing w:val="0"/>
        <w:jc w:val="both"/>
      </w:pPr>
      <w:r>
        <w:t>Yes: 13 companies (Huawei-HiSilicon, ZTE, InterDigital, CATT, Samsung, Fujitsu, Intel, Apple, OPPO, FGI-APT, Lenovo,  Qualcomm, Xiaomi)</w:t>
      </w:r>
    </w:p>
    <w:p w14:paraId="42F55F4C" w14:textId="77777777" w:rsidR="00025331" w:rsidRDefault="0089377C">
      <w:pPr>
        <w:pStyle w:val="ListParagraph"/>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14:paraId="5A55D0EE" w14:textId="77777777" w:rsidR="00025331" w:rsidRDefault="0089377C">
      <w:pPr>
        <w:pStyle w:val="ListParagraph"/>
        <w:numPr>
          <w:ilvl w:val="1"/>
          <w:numId w:val="24"/>
        </w:numPr>
        <w:spacing w:after="120"/>
        <w:contextualSpacing w:val="0"/>
        <w:jc w:val="both"/>
      </w:pPr>
      <w:r>
        <w:lastRenderedPageBreak/>
        <w:t>[ZTE, Intel] Lossless data (i.e.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(InterDigital, Samsung, LG, Intel, NEC, Apple, OPPO, Lenovo, vivo, Qualcomm)</w:t>
      </w:r>
    </w:p>
    <w:p w14:paraId="7091C274" w14:textId="77777777" w:rsidR="00025331" w:rsidRDefault="0089377C">
      <w:pPr>
        <w:pStyle w:val="ListParagraph"/>
        <w:numPr>
          <w:ilvl w:val="1"/>
          <w:numId w:val="24"/>
        </w:numPr>
        <w:spacing w:after="120"/>
        <w:contextualSpacing w:val="0"/>
        <w:jc w:val="both"/>
      </w:pPr>
      <w:r>
        <w:t>[InterDigital,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(Huawei-HiSilicon,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[InterDigital]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(Huawei-HiSilicon, ZTE, Intel, Samsung, LG, NEC, Apple, Lenovo, Qualcom)</w:t>
      </w:r>
    </w:p>
    <w:p w14:paraId="4343804B" w14:textId="77777777" w:rsidR="00025331" w:rsidRDefault="0089377C">
      <w:pPr>
        <w:pStyle w:val="ListParagraph"/>
        <w:numPr>
          <w:ilvl w:val="0"/>
          <w:numId w:val="24"/>
        </w:numPr>
        <w:spacing w:after="120"/>
        <w:contextualSpacing w:val="0"/>
        <w:jc w:val="both"/>
      </w:pPr>
      <w:r>
        <w:t>Option 6.d): 11 companies (Huawei-HiSilicon,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 xml:space="preserve">[Huawei-HiSilicon,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14:paraId="19735700" w14:textId="77777777"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78DD4FAC" w14:textId="77777777" w:rsidR="00025331" w:rsidRDefault="0089377C">
      <w:pPr>
        <w:pStyle w:val="ListParagraph"/>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14:paraId="3327D6F8" w14:textId="77777777" w:rsidR="00025331" w:rsidRDefault="0089377C">
      <w:pPr>
        <w:pStyle w:val="ListParagraph"/>
        <w:numPr>
          <w:ilvl w:val="0"/>
          <w:numId w:val="24"/>
        </w:numPr>
        <w:spacing w:after="120"/>
        <w:contextualSpacing w:val="0"/>
        <w:jc w:val="both"/>
      </w:pPr>
      <w:r>
        <w:t>Option 6.e): 4 companies (Huawei-HiSilicon,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UE’s new KRRCint key i.e. the one calculated when triggering SDT”.</w:t>
      </w:r>
    </w:p>
    <w:p w14:paraId="25CDC29A" w14:textId="77777777" w:rsidR="00025331" w:rsidRDefault="0089377C">
      <w:pPr>
        <w:pStyle w:val="ListParagraph"/>
        <w:numPr>
          <w:ilvl w:val="1"/>
          <w:numId w:val="24"/>
        </w:numPr>
        <w:spacing w:after="120"/>
        <w:contextualSpacing w:val="0"/>
        <w:jc w:val="both"/>
      </w:pPr>
      <w:r>
        <w:t>[Huawei-HiSilicon]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14:paraId="1EAF3867" w14:textId="77777777"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(Huawei-HiSilicon,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[Huawei-HiSilicon,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14:paraId="7061DD6A" w14:textId="77777777" w:rsidR="00025331" w:rsidRDefault="0089377C">
      <w:pPr>
        <w:pStyle w:val="ListParagraph"/>
        <w:numPr>
          <w:ilvl w:val="0"/>
          <w:numId w:val="24"/>
        </w:numPr>
        <w:spacing w:after="120"/>
        <w:contextualSpacing w:val="0"/>
        <w:jc w:val="both"/>
      </w:pPr>
      <w:r>
        <w:t>Option 7.a): 16 companies (Huawei-HiSilicon, ZTE, InterDigital,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14:paraId="1D76DF59" w14:textId="77777777" w:rsidR="00025331" w:rsidRDefault="0089377C">
      <w:pPr>
        <w:pStyle w:val="ListParagraph"/>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14:paraId="746319B1" w14:textId="77777777" w:rsidR="00025331" w:rsidRDefault="0089377C">
      <w:pPr>
        <w:pStyle w:val="ListParagraph"/>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(Huawei-HiSilicon, LG)</w:t>
      </w:r>
    </w:p>
    <w:p w14:paraId="08CE93C0" w14:textId="77777777" w:rsidR="00025331" w:rsidRDefault="0089377C">
      <w:pPr>
        <w:pStyle w:val="ListParagraph"/>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14:paraId="7806D642" w14:textId="77777777" w:rsidR="00025331" w:rsidRDefault="0089377C">
      <w:pPr>
        <w:pStyle w:val="ListParagraph"/>
        <w:numPr>
          <w:ilvl w:val="1"/>
          <w:numId w:val="24"/>
        </w:numPr>
        <w:spacing w:after="120"/>
        <w:contextualSpacing w:val="0"/>
        <w:jc w:val="both"/>
      </w:pPr>
      <w:r>
        <w:t>[Huawei-HiSilicon] Option 7.b) could be used if a new DL RRC message is agreed, e.g. to handle potential security issues for other cases</w:t>
      </w:r>
    </w:p>
    <w:p w14:paraId="395693F1" w14:textId="77777777" w:rsidR="00025331" w:rsidRDefault="0089377C">
      <w:pPr>
        <w:pStyle w:val="ListParagraph"/>
        <w:numPr>
          <w:ilvl w:val="1"/>
          <w:numId w:val="24"/>
        </w:numPr>
        <w:spacing w:after="120"/>
        <w:contextualSpacing w:val="0"/>
        <w:jc w:val="both"/>
      </w:pPr>
      <w:r>
        <w:t>[InterDigital]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(Huawei-HiSilicon, LG)</w:t>
      </w:r>
    </w:p>
    <w:p w14:paraId="731F39DC" w14:textId="77777777" w:rsidR="00025331" w:rsidRDefault="0089377C">
      <w:pPr>
        <w:pStyle w:val="ListParagraph"/>
        <w:numPr>
          <w:ilvl w:val="0"/>
          <w:numId w:val="24"/>
        </w:numPr>
        <w:spacing w:after="120"/>
        <w:contextualSpacing w:val="0"/>
        <w:jc w:val="both"/>
      </w:pPr>
      <w:r>
        <w:t>[InterDigital]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Yes: companies (ZTE, InterDigital,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ListParagraph"/>
        <w:numPr>
          <w:ilvl w:val="0"/>
          <w:numId w:val="24"/>
        </w:numPr>
        <w:spacing w:after="120"/>
        <w:contextualSpacing w:val="0"/>
        <w:jc w:val="both"/>
      </w:pPr>
      <w:r>
        <w:t>[Huawei-HiSilicon,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[Huawei-HiSilicon,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(Huawei-HiSilicon, ZTE, InterDigital,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[CATT, Samsung, NEC, Apple, FGI-APT, Qualcomm] DCCH msg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a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new UL RRC msg</w:t>
      </w:r>
      <w:r>
        <w:t>”.</w:t>
      </w:r>
    </w:p>
    <w:p w14:paraId="657AE704" w14:textId="77777777" w:rsidR="00025331" w:rsidRDefault="0089377C">
      <w:pPr>
        <w:pStyle w:val="ListParagraph"/>
        <w:numPr>
          <w:ilvl w:val="0"/>
          <w:numId w:val="24"/>
        </w:numPr>
        <w:spacing w:after="120"/>
        <w:contextualSpacing w:val="0"/>
        <w:jc w:val="both"/>
      </w:pPr>
      <w:r>
        <w:t>Option 10.b): 10 companies (Huawei-HiSilicon, ZTE, InterDigital,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re-using legacy UL RRC message e.g. UEAssistanceInformation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[Huawei-HiSilicon]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[Huawei-HiSilicon]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(Huawei-HiSilicon, ZTE, InterDigital,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[Huawei-HiSilicon]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[CATT, Intel] Beneficial for network handling differentiation e.g.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(Huawei-HiSilicon, ZTE, InterDigital,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[Huawei-HiSilicon] Option 16.1) is not acceptable e.g. for latency sensitive data.</w:t>
      </w:r>
    </w:p>
    <w:p w14:paraId="1B67DADF" w14:textId="77777777" w:rsidR="00025331" w:rsidRDefault="0089377C">
      <w:pPr>
        <w:pStyle w:val="ListParagraph"/>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7A44573A" w14:textId="77777777" w:rsidR="00025331" w:rsidRDefault="0089377C">
      <w:pPr>
        <w:pStyle w:val="ListParagraph"/>
        <w:numPr>
          <w:ilvl w:val="1"/>
          <w:numId w:val="24"/>
        </w:numPr>
        <w:spacing w:after="120"/>
        <w:contextualSpacing w:val="0"/>
        <w:jc w:val="both"/>
      </w:pPr>
      <w:r>
        <w:t>[CATT] DCCH msg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(Huawei-HiSilicon,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[LG] It should be discuss if DCCH msg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(Huawei-HiSilicon,  InterDigital,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[InterDigital] It needs to be discussed how to uniquely identify the UE from a DCCH message included in Msg3 or MsgA</w:t>
      </w:r>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mgs.4/MsgA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(Huawei-HiSilicon,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[InterDigital]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[CATT, Fujitsu] Details of the trigger events are still FFS e.g.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(Huawei-HiSilicon,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 xml:space="preserve">[Huawei-HiSilicon,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(InterDigital, LG, FGI-APT)</w:t>
      </w:r>
    </w:p>
    <w:p w14:paraId="343CC675" w14:textId="77777777" w:rsidR="00025331" w:rsidRDefault="0089377C">
      <w:pPr>
        <w:pStyle w:val="ListParagraph"/>
        <w:numPr>
          <w:ilvl w:val="1"/>
          <w:numId w:val="24"/>
        </w:numPr>
        <w:spacing w:after="120"/>
        <w:contextualSpacing w:val="0"/>
        <w:jc w:val="both"/>
      </w:pPr>
      <w:r>
        <w:t>[InterDigital] Different behaviors explained in previous question.</w:t>
      </w:r>
    </w:p>
    <w:p w14:paraId="1A9632F9" w14:textId="77777777" w:rsidR="00025331" w:rsidRDefault="0089377C">
      <w:pPr>
        <w:pStyle w:val="ListParagraph"/>
        <w:numPr>
          <w:ilvl w:val="1"/>
          <w:numId w:val="24"/>
        </w:numPr>
        <w:spacing w:after="120"/>
        <w:contextualSpacing w:val="0"/>
        <w:jc w:val="both"/>
      </w:pPr>
      <w:r>
        <w:t>[LG] Events 1-4 might be ok for a common behaviour but not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(Huawei-HiSilicon, ZTE, InterDigital,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[CATT] How would UE handle the recovery after sub-sequent failures e.g. would a 3rd RRCResumeRequest msg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gNB. </w:t>
      </w:r>
    </w:p>
    <w:p w14:paraId="250E40AA" w14:textId="77777777" w:rsidR="00025331" w:rsidRDefault="0089377C">
      <w:pPr>
        <w:pStyle w:val="ListParagraph"/>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14:paraId="6A9FA8A0" w14:textId="77777777">
        <w:trPr>
          <w:trHeight w:val="43"/>
        </w:trPr>
        <w:tc>
          <w:tcPr>
            <w:tcW w:w="1960" w:type="dxa"/>
          </w:tcPr>
          <w:p w14:paraId="3E1C9A5D" w14:textId="77777777" w:rsidR="00025331" w:rsidRDefault="0089377C">
            <w:pPr>
              <w:spacing w:after="0"/>
              <w:jc w:val="both"/>
            </w:pPr>
            <w:r>
              <w:t>xiaomi</w:t>
            </w:r>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ZTE: Thanks! Indeed, we agree that a new messge needs to be defined. We don’t think that defining a new message in RAN2 should be the show stopper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otherhand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has to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i.e.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procedure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(similar to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r>
              <w:rPr>
                <w:rFonts w:eastAsia="PMingLiU" w:hint="eastAsia"/>
                <w:lang w:eastAsia="zh-TW"/>
              </w:rPr>
              <w:t>A</w:t>
            </w:r>
            <w:r>
              <w:rPr>
                <w:rFonts w:eastAsia="PMingLiU"/>
                <w:lang w:eastAsia="zh-TW"/>
              </w:rPr>
              <w:t>SUSTeK</w:t>
            </w:r>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We think that the security issues for a CCCH based solution is not nec essarily</w:t>
            </w:r>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RRCResumeRequest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Infact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r w:rsidR="006E2197" w:rsidRPr="00AF24E5">
              <w:rPr>
                <w:color w:val="00B0F0"/>
                <w:lang w:eastAsia="zh-CN"/>
              </w:rPr>
              <w:t xml:space="preserve">Then,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a) The PDCP COUNT is not reset with this approach (exactly similar to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b) No new keys are derived with this approach and UE continues to use the old keys generated after first RRCResumeReq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resumeMAC-I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r w:rsidR="00642CF7" w:rsidRPr="00642CF7" w14:paraId="4BF83091" w14:textId="77777777">
        <w:trPr>
          <w:trHeight w:val="43"/>
        </w:trPr>
        <w:tc>
          <w:tcPr>
            <w:tcW w:w="1960" w:type="dxa"/>
          </w:tcPr>
          <w:p w14:paraId="786D2E16" w14:textId="7F37524C" w:rsidR="00642CF7" w:rsidRPr="00642CF7" w:rsidRDefault="00642CF7" w:rsidP="00BA17BA">
            <w:pPr>
              <w:spacing w:after="0"/>
              <w:jc w:val="both"/>
              <w:rPr>
                <w:lang w:eastAsia="zh-CN"/>
              </w:rPr>
            </w:pPr>
            <w:r>
              <w:rPr>
                <w:lang w:eastAsia="zh-CN"/>
              </w:rPr>
              <w:lastRenderedPageBreak/>
              <w:t>NEC</w:t>
            </w:r>
          </w:p>
        </w:tc>
        <w:tc>
          <w:tcPr>
            <w:tcW w:w="1283" w:type="dxa"/>
          </w:tcPr>
          <w:p w14:paraId="0F8E074B" w14:textId="79827894" w:rsidR="00642CF7" w:rsidRDefault="00642CF7" w:rsidP="00BA17BA">
            <w:pPr>
              <w:spacing w:after="0"/>
              <w:jc w:val="both"/>
              <w:rPr>
                <w:lang w:eastAsia="zh-CN"/>
              </w:rPr>
            </w:pPr>
            <w:r>
              <w:rPr>
                <w:rFonts w:eastAsia="PMingLiU" w:hint="eastAsia"/>
                <w:lang w:eastAsia="zh-TW"/>
              </w:rPr>
              <w:t>CCCH-based approach</w:t>
            </w:r>
          </w:p>
        </w:tc>
        <w:tc>
          <w:tcPr>
            <w:tcW w:w="6107" w:type="dxa"/>
          </w:tcPr>
          <w:p w14:paraId="1C2CE9F8" w14:textId="707EA82B" w:rsidR="00642CF7" w:rsidRDefault="00642CF7" w:rsidP="00BA17BA">
            <w:pPr>
              <w:spacing w:after="0"/>
              <w:jc w:val="both"/>
              <w:rPr>
                <w:lang w:eastAsia="zh-CN"/>
              </w:rPr>
            </w:pPr>
            <w:r>
              <w:rPr>
                <w:rFonts w:hint="eastAsia"/>
                <w:lang w:eastAsia="zh-CN"/>
              </w:rPr>
              <w:t>D</w:t>
            </w:r>
            <w:r>
              <w:rPr>
                <w:lang w:eastAsia="zh-CN"/>
              </w:rPr>
              <w:t xml:space="preserve">CCH message cannot be sent to network during the initial transmission phase, however, CCCH approach can be applied to all phases of SDT transmission as it terminates the SDT procedure immediately. </w:t>
            </w:r>
            <w:r w:rsidR="00682B92">
              <w:rPr>
                <w:lang w:eastAsia="zh-CN"/>
              </w:rPr>
              <w:t xml:space="preserve"> And w</w:t>
            </w:r>
            <w:r w:rsidR="00881C43">
              <w:rPr>
                <w:lang w:eastAsia="zh-CN"/>
              </w:rPr>
              <w:t>e also agree with LG and Ericss</w:t>
            </w:r>
            <w:r w:rsidR="00682B92">
              <w:rPr>
                <w:lang w:eastAsia="zh-CN"/>
              </w:rPr>
              <w:t>on’s comment on DCCH.</w:t>
            </w:r>
          </w:p>
          <w:p w14:paraId="0917179F" w14:textId="77777777" w:rsidR="00682B92" w:rsidRDefault="00682B92" w:rsidP="00BA17BA">
            <w:pPr>
              <w:spacing w:after="0"/>
              <w:jc w:val="both"/>
              <w:rPr>
                <w:lang w:eastAsia="zh-CN"/>
              </w:rPr>
            </w:pPr>
          </w:p>
          <w:p w14:paraId="12FAA2A1" w14:textId="35E17063" w:rsidR="00642CF7" w:rsidRDefault="00642CF7" w:rsidP="00682B92">
            <w:pPr>
              <w:spacing w:after="0"/>
              <w:jc w:val="both"/>
            </w:pPr>
            <w:r w:rsidRPr="00642CF7">
              <w:rPr>
                <w:lang w:eastAsia="zh-CN"/>
              </w:rPr>
              <w:t xml:space="preserve">For the resumeMAC-I replay issue of CCCH, we don’t really need to address this issue in SDT, as it already exists in </w:t>
            </w:r>
            <w:r w:rsidR="00B51D5F" w:rsidRPr="00B51D5F">
              <w:rPr>
                <w:lang w:eastAsia="zh-CN"/>
              </w:rPr>
              <w:t>legacy RRCResume procedure if RRCReject is received as a response</w:t>
            </w:r>
            <w:r w:rsidRPr="00642CF7">
              <w:rPr>
                <w:lang w:eastAsia="zh-CN"/>
              </w:rPr>
              <w:t>,</w:t>
            </w:r>
            <w:r w:rsidR="00682B92">
              <w:rPr>
                <w:lang w:eastAsia="zh-CN"/>
              </w:rPr>
              <w:t xml:space="preserve"> and SA3 is now working on this already. </w:t>
            </w:r>
            <w:r w:rsidR="00682B92" w:rsidRPr="00715963">
              <w:rPr>
                <w:lang w:eastAsia="zh-CN"/>
              </w:rPr>
              <w:t>S</w:t>
            </w:r>
            <w:r w:rsidRPr="00715963">
              <w:rPr>
                <w:lang w:eastAsia="zh-CN"/>
              </w:rPr>
              <w:t xml:space="preserve">ee </w:t>
            </w:r>
            <w:bookmarkStart w:id="302" w:name="specType1"/>
            <w:r w:rsidRPr="00715963">
              <w:rPr>
                <w:lang w:eastAsia="zh-CN"/>
              </w:rPr>
              <w:t>TR</w:t>
            </w:r>
            <w:bookmarkEnd w:id="302"/>
            <w:r w:rsidRPr="00715963">
              <w:rPr>
                <w:lang w:eastAsia="zh-CN"/>
              </w:rPr>
              <w:t xml:space="preserve"> </w:t>
            </w:r>
            <w:bookmarkStart w:id="303" w:name="specNumber"/>
            <w:r w:rsidRPr="00715963">
              <w:rPr>
                <w:lang w:eastAsia="zh-CN"/>
              </w:rPr>
              <w:t>33.</w:t>
            </w:r>
            <w:bookmarkEnd w:id="303"/>
            <w:r w:rsidRPr="00715963">
              <w:rPr>
                <w:lang w:eastAsia="zh-CN"/>
              </w:rPr>
              <w:t xml:space="preserve">809, </w:t>
            </w:r>
            <w:r w:rsidR="00715963">
              <w:rPr>
                <w:lang w:eastAsia="zh-CN"/>
              </w:rPr>
              <w:t>issue #1, which includ</w:t>
            </w:r>
            <w:r w:rsidR="00881C43">
              <w:rPr>
                <w:rFonts w:hint="eastAsia"/>
                <w:lang w:eastAsia="zh-CN"/>
              </w:rPr>
              <w:t>es</w:t>
            </w:r>
            <w:r w:rsidR="00715963">
              <w:rPr>
                <w:lang w:eastAsia="zh-CN"/>
              </w:rPr>
              <w:t xml:space="preserve"> the resumeMAC-I issue caused by replay and </w:t>
            </w:r>
            <w:r w:rsidR="00715963" w:rsidRPr="00BA4325">
              <w:t>MiTM</w:t>
            </w:r>
            <w:r w:rsidR="00715963">
              <w:t>.</w:t>
            </w:r>
          </w:p>
          <w:p w14:paraId="2FFCF728" w14:textId="77777777" w:rsidR="00715963" w:rsidRPr="00715963" w:rsidRDefault="00715963" w:rsidP="00682B92">
            <w:pPr>
              <w:spacing w:after="0"/>
              <w:jc w:val="both"/>
              <w:rPr>
                <w:lang w:eastAsia="zh-CN"/>
              </w:rPr>
            </w:pPr>
          </w:p>
          <w:p w14:paraId="56BA811E" w14:textId="6773499F" w:rsidR="00682B92" w:rsidRPr="00682B92" w:rsidRDefault="00682B92" w:rsidP="00715963">
            <w:pPr>
              <w:spacing w:after="0"/>
              <w:jc w:val="both"/>
              <w:rPr>
                <w:lang w:eastAsia="zh-CN"/>
              </w:rPr>
            </w:pPr>
            <w:r>
              <w:rPr>
                <w:rFonts w:hint="eastAsia"/>
                <w:lang w:eastAsia="zh-CN"/>
              </w:rPr>
              <w:t>F</w:t>
            </w:r>
            <w:r>
              <w:rPr>
                <w:lang w:eastAsia="zh-CN"/>
              </w:rPr>
              <w:t xml:space="preserve">or the key stream reuse issue, we can find some solution </w:t>
            </w:r>
            <w:r w:rsidR="00881C43">
              <w:rPr>
                <w:lang w:eastAsia="zh-CN"/>
              </w:rPr>
              <w:t xml:space="preserve">which can </w:t>
            </w:r>
            <w:r>
              <w:rPr>
                <w:lang w:eastAsia="zh-CN"/>
              </w:rPr>
              <w:t>avoid having impact to the SA3, e.g. by continuing PDCP COUNT value in the second RRC Resume procedure after SDT abortion.</w:t>
            </w:r>
          </w:p>
        </w:tc>
      </w:tr>
      <w:tr w:rsidR="007E109D" w:rsidRPr="00642CF7" w14:paraId="425B2485" w14:textId="77777777">
        <w:trPr>
          <w:trHeight w:val="43"/>
        </w:trPr>
        <w:tc>
          <w:tcPr>
            <w:tcW w:w="1960" w:type="dxa"/>
          </w:tcPr>
          <w:p w14:paraId="3FD53C35" w14:textId="66EEA5EF" w:rsidR="007E109D" w:rsidRDefault="007E109D" w:rsidP="00BA17BA">
            <w:pPr>
              <w:spacing w:after="0"/>
              <w:jc w:val="both"/>
              <w:rPr>
                <w:lang w:eastAsia="zh-CN"/>
              </w:rPr>
            </w:pPr>
            <w:r>
              <w:rPr>
                <w:lang w:eastAsia="zh-CN"/>
              </w:rPr>
              <w:t>Qualcomm</w:t>
            </w:r>
          </w:p>
        </w:tc>
        <w:tc>
          <w:tcPr>
            <w:tcW w:w="1283" w:type="dxa"/>
          </w:tcPr>
          <w:p w14:paraId="727386D5" w14:textId="71BBC995" w:rsidR="007E109D" w:rsidRDefault="007E109D" w:rsidP="00BA17BA">
            <w:pPr>
              <w:spacing w:after="0"/>
              <w:jc w:val="both"/>
              <w:rPr>
                <w:lang w:eastAsia="zh-TW"/>
              </w:rPr>
            </w:pPr>
            <w:r>
              <w:rPr>
                <w:lang w:eastAsia="zh-TW"/>
              </w:rPr>
              <w:t>DCCH-based approach</w:t>
            </w:r>
          </w:p>
        </w:tc>
        <w:tc>
          <w:tcPr>
            <w:tcW w:w="6107" w:type="dxa"/>
          </w:tcPr>
          <w:p w14:paraId="55088174" w14:textId="76A1984D" w:rsidR="007E109D" w:rsidRDefault="00E649B3" w:rsidP="00E649B3">
            <w:r>
              <w:t xml:space="preserve">The DCCH based solution is obviously simpler and has less technical issues to be resolved compared to the CCCH based solution. The CCCH based solution needs many </w:t>
            </w:r>
            <w:r w:rsidRPr="001344B1">
              <w:t>potential</w:t>
            </w:r>
            <w:r>
              <w:t xml:space="preserve"> works not only for RAN2 but also other WGs. At least the security issues need SA3 for further study. And we don’t observe CCCH based solution providing additional benefit than DCCH solution.</w:t>
            </w:r>
          </w:p>
        </w:tc>
      </w:tr>
      <w:tr w:rsidR="00904CC5" w:rsidRPr="00642CF7" w14:paraId="373745E7" w14:textId="77777777">
        <w:trPr>
          <w:trHeight w:val="43"/>
        </w:trPr>
        <w:tc>
          <w:tcPr>
            <w:tcW w:w="1960" w:type="dxa"/>
          </w:tcPr>
          <w:p w14:paraId="34CEAFC4" w14:textId="68C4640D" w:rsidR="00904CC5" w:rsidRDefault="00904CC5" w:rsidP="00904CC5">
            <w:pPr>
              <w:spacing w:after="0"/>
              <w:jc w:val="both"/>
              <w:rPr>
                <w:lang w:eastAsia="zh-CN"/>
              </w:rPr>
            </w:pPr>
            <w:r>
              <w:rPr>
                <w:lang w:eastAsia="zh-CN"/>
              </w:rPr>
              <w:t>FGI-APT</w:t>
            </w:r>
          </w:p>
        </w:tc>
        <w:tc>
          <w:tcPr>
            <w:tcW w:w="1283" w:type="dxa"/>
          </w:tcPr>
          <w:p w14:paraId="7839B3D6" w14:textId="513F2ECC" w:rsidR="00904CC5" w:rsidRDefault="00904CC5" w:rsidP="00904CC5">
            <w:pPr>
              <w:spacing w:after="0"/>
              <w:jc w:val="both"/>
              <w:rPr>
                <w:lang w:eastAsia="zh-TW"/>
              </w:rPr>
            </w:pPr>
            <w:r>
              <w:rPr>
                <w:lang w:eastAsia="zh-CN"/>
              </w:rPr>
              <w:t>CCCH-based approach</w:t>
            </w:r>
          </w:p>
        </w:tc>
        <w:tc>
          <w:tcPr>
            <w:tcW w:w="6107" w:type="dxa"/>
          </w:tcPr>
          <w:p w14:paraId="58B51D70" w14:textId="01A7C3E8" w:rsidR="00904CC5" w:rsidRDefault="00904CC5" w:rsidP="00904CC5">
            <w:r>
              <w:rPr>
                <w:lang w:eastAsia="zh-CN"/>
              </w:rPr>
              <w:t>We prefer the CCCH-based approach as it is more aligned with the legacy behavior and can be applied identically regardless of whether UE has a dedicated UL grant or not, and whether UE has an on-going SDT or not. We don’t think defining a new DCCH message and the corresponding mechanism would require less efforts in RAN2, especially we don’t know what extra efforts (e.g., which UE ID need</w:t>
            </w:r>
            <w:r w:rsidR="00DB13FD">
              <w:rPr>
                <w:rFonts w:eastAsia="PMingLiU" w:hint="eastAsia"/>
                <w:lang w:eastAsia="zh-TW"/>
              </w:rPr>
              <w:t>s</w:t>
            </w:r>
            <w:r>
              <w:rPr>
                <w:lang w:eastAsia="zh-CN"/>
              </w:rPr>
              <w:t xml:space="preserve"> to be carried in which message together with the DCCH?) are needed to allow a </w:t>
            </w:r>
            <w:r>
              <w:rPr>
                <w:lang w:eastAsia="zh-CN"/>
              </w:rPr>
              <w:lastRenderedPageBreak/>
              <w:t xml:space="preserve">DCCH message to be transmited in MSG3/MSGA, since it seems this was never happened before. </w:t>
            </w:r>
          </w:p>
        </w:tc>
      </w:tr>
      <w:tr w:rsidR="000D42B3" w:rsidRPr="00642CF7" w14:paraId="2BDCB48B" w14:textId="77777777">
        <w:trPr>
          <w:trHeight w:val="43"/>
        </w:trPr>
        <w:tc>
          <w:tcPr>
            <w:tcW w:w="1960" w:type="dxa"/>
          </w:tcPr>
          <w:p w14:paraId="2B4F44E0" w14:textId="5D5147D7" w:rsidR="000D42B3" w:rsidRDefault="000D42B3" w:rsidP="000D42B3">
            <w:pPr>
              <w:spacing w:after="0"/>
              <w:jc w:val="both"/>
              <w:rPr>
                <w:lang w:eastAsia="zh-CN"/>
              </w:rPr>
            </w:pPr>
            <w:r>
              <w:rPr>
                <w:lang w:eastAsia="zh-CN"/>
              </w:rPr>
              <w:lastRenderedPageBreak/>
              <w:t>Nokia, Nokia Shanghai Bell</w:t>
            </w:r>
          </w:p>
        </w:tc>
        <w:tc>
          <w:tcPr>
            <w:tcW w:w="1283" w:type="dxa"/>
          </w:tcPr>
          <w:p w14:paraId="1B121C25" w14:textId="123DDD06" w:rsidR="000D42B3" w:rsidRDefault="000D42B3" w:rsidP="000D42B3">
            <w:pPr>
              <w:spacing w:after="0"/>
              <w:jc w:val="both"/>
              <w:rPr>
                <w:lang w:eastAsia="zh-CN"/>
              </w:rPr>
            </w:pPr>
            <w:r>
              <w:rPr>
                <w:lang w:eastAsia="zh-TW"/>
              </w:rPr>
              <w:t>Neutral</w:t>
            </w:r>
          </w:p>
        </w:tc>
        <w:tc>
          <w:tcPr>
            <w:tcW w:w="6107" w:type="dxa"/>
          </w:tcPr>
          <w:p w14:paraId="20CE77F5" w14:textId="6A54E174" w:rsidR="000D42B3" w:rsidRDefault="000D42B3" w:rsidP="000D42B3">
            <w:pPr>
              <w:rPr>
                <w:lang w:eastAsia="zh-CN"/>
              </w:rPr>
            </w:pPr>
            <w:r>
              <w:t>In principle, both solutions will work and will require new design to be made. CCCH based approach works better in the case where the RA procedure for the SDT is still ongoing while DCCH works better in the subsequent SDT phase. CCCH solution would also work for failure handling while DCCH would not.</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4"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4"/>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lastRenderedPageBreak/>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r>
              <w:rPr>
                <w:rFonts w:eastAsia="PMingLiU" w:hint="eastAsia"/>
                <w:lang w:eastAsia="zh-TW"/>
              </w:rPr>
              <w:t>ASUSTeK</w:t>
            </w:r>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r w:rsidR="00682B92" w14:paraId="15498C44" w14:textId="77777777">
        <w:trPr>
          <w:trHeight w:val="43"/>
        </w:trPr>
        <w:tc>
          <w:tcPr>
            <w:tcW w:w="1960" w:type="dxa"/>
          </w:tcPr>
          <w:p w14:paraId="10A458E6" w14:textId="24EDA6BC" w:rsidR="00682B92" w:rsidRDefault="00682B92" w:rsidP="00682B92">
            <w:pPr>
              <w:spacing w:after="0"/>
              <w:jc w:val="both"/>
              <w:rPr>
                <w:lang w:eastAsia="zh-CN"/>
              </w:rPr>
            </w:pPr>
            <w:r>
              <w:rPr>
                <w:rFonts w:hint="eastAsia"/>
                <w:lang w:eastAsia="zh-CN"/>
              </w:rPr>
              <w:t>N</w:t>
            </w:r>
            <w:r>
              <w:rPr>
                <w:lang w:eastAsia="zh-CN"/>
              </w:rPr>
              <w:t>EC</w:t>
            </w:r>
          </w:p>
        </w:tc>
        <w:tc>
          <w:tcPr>
            <w:tcW w:w="1283" w:type="dxa"/>
          </w:tcPr>
          <w:p w14:paraId="0BF322F6" w14:textId="2BF95749" w:rsidR="00682B92" w:rsidRDefault="00682B92" w:rsidP="00682B92">
            <w:pPr>
              <w:spacing w:after="0"/>
              <w:jc w:val="both"/>
              <w:rPr>
                <w:lang w:eastAsia="zh-CN"/>
              </w:rPr>
            </w:pPr>
            <w:r>
              <w:rPr>
                <w:rFonts w:eastAsia="Malgun Gothic" w:hint="eastAsia"/>
                <w:lang w:eastAsia="ko-KR"/>
              </w:rPr>
              <w:t>Both</w:t>
            </w:r>
          </w:p>
        </w:tc>
        <w:tc>
          <w:tcPr>
            <w:tcW w:w="6107" w:type="dxa"/>
          </w:tcPr>
          <w:p w14:paraId="0990DBB6" w14:textId="17964F08" w:rsidR="00682B92" w:rsidRDefault="00682B92" w:rsidP="00682B92">
            <w:pPr>
              <w:spacing w:after="0"/>
              <w:jc w:val="both"/>
              <w:rPr>
                <w:lang w:eastAsia="zh-TW"/>
              </w:rPr>
            </w:pPr>
            <w:r>
              <w:rPr>
                <w:rFonts w:eastAsia="Malgun Gothic" w:hint="eastAsia"/>
                <w:lang w:eastAsia="ko-KR"/>
              </w:rPr>
              <w:t>We are ok with both solutions.</w:t>
            </w:r>
          </w:p>
        </w:tc>
      </w:tr>
      <w:tr w:rsidR="00E649B3" w14:paraId="666381AB" w14:textId="77777777">
        <w:trPr>
          <w:trHeight w:val="43"/>
        </w:trPr>
        <w:tc>
          <w:tcPr>
            <w:tcW w:w="1960" w:type="dxa"/>
          </w:tcPr>
          <w:p w14:paraId="03906C8A" w14:textId="1C56D7E6" w:rsidR="00E649B3" w:rsidRDefault="00E649B3" w:rsidP="00682B92">
            <w:pPr>
              <w:spacing w:after="0"/>
              <w:jc w:val="both"/>
              <w:rPr>
                <w:lang w:eastAsia="zh-CN"/>
              </w:rPr>
            </w:pPr>
            <w:r>
              <w:rPr>
                <w:lang w:eastAsia="zh-CN"/>
              </w:rPr>
              <w:t>Qualcomm</w:t>
            </w:r>
          </w:p>
        </w:tc>
        <w:tc>
          <w:tcPr>
            <w:tcW w:w="1283" w:type="dxa"/>
          </w:tcPr>
          <w:p w14:paraId="56A09CB5" w14:textId="3855EADA" w:rsidR="00E649B3" w:rsidRDefault="00E649B3" w:rsidP="00682B92">
            <w:pPr>
              <w:spacing w:after="0"/>
              <w:jc w:val="both"/>
              <w:rPr>
                <w:rFonts w:eastAsia="Malgun Gothic"/>
                <w:lang w:eastAsia="ko-KR"/>
              </w:rPr>
            </w:pPr>
            <w:r>
              <w:rPr>
                <w:rFonts w:eastAsia="Malgun Gothic"/>
                <w:lang w:eastAsia="ko-KR"/>
              </w:rPr>
              <w:t>Approach 1</w:t>
            </w:r>
          </w:p>
        </w:tc>
        <w:tc>
          <w:tcPr>
            <w:tcW w:w="6107" w:type="dxa"/>
          </w:tcPr>
          <w:p w14:paraId="6AA8BCE5" w14:textId="77777777" w:rsidR="00E649B3" w:rsidRDefault="00E649B3" w:rsidP="00682B92">
            <w:pPr>
              <w:spacing w:after="0"/>
              <w:jc w:val="both"/>
              <w:rPr>
                <w:rFonts w:eastAsia="Malgun Gothic"/>
                <w:lang w:eastAsia="ko-KR"/>
              </w:rPr>
            </w:pPr>
          </w:p>
        </w:tc>
      </w:tr>
      <w:tr w:rsidR="00904CC5" w14:paraId="69A08F8E" w14:textId="77777777">
        <w:trPr>
          <w:trHeight w:val="43"/>
        </w:trPr>
        <w:tc>
          <w:tcPr>
            <w:tcW w:w="1960" w:type="dxa"/>
          </w:tcPr>
          <w:p w14:paraId="4CC2EC6E" w14:textId="5315C136" w:rsidR="00904CC5" w:rsidRDefault="00904CC5" w:rsidP="00904CC5">
            <w:pPr>
              <w:spacing w:after="0"/>
              <w:jc w:val="both"/>
              <w:rPr>
                <w:lang w:eastAsia="zh-CN"/>
              </w:rPr>
            </w:pPr>
            <w:r>
              <w:rPr>
                <w:lang w:eastAsia="zh-CN"/>
              </w:rPr>
              <w:t>FGI-APT</w:t>
            </w:r>
          </w:p>
        </w:tc>
        <w:tc>
          <w:tcPr>
            <w:tcW w:w="1283" w:type="dxa"/>
          </w:tcPr>
          <w:p w14:paraId="6CF523DB" w14:textId="04A20817" w:rsidR="00904CC5" w:rsidRDefault="00904CC5" w:rsidP="00904CC5">
            <w:pPr>
              <w:spacing w:after="0"/>
              <w:jc w:val="both"/>
              <w:rPr>
                <w:rFonts w:eastAsia="Malgun Gothic"/>
                <w:lang w:eastAsia="ko-KR"/>
              </w:rPr>
            </w:pPr>
            <w:r>
              <w:rPr>
                <w:lang w:eastAsia="zh-CN"/>
              </w:rPr>
              <w:t>See comment</w:t>
            </w:r>
          </w:p>
        </w:tc>
        <w:tc>
          <w:tcPr>
            <w:tcW w:w="6107" w:type="dxa"/>
          </w:tcPr>
          <w:p w14:paraId="136D77FB" w14:textId="571D1B2B" w:rsidR="00904CC5" w:rsidRDefault="00904CC5" w:rsidP="00904CC5">
            <w:pPr>
              <w:spacing w:after="0"/>
              <w:jc w:val="both"/>
              <w:rPr>
                <w:rFonts w:eastAsia="Malgun Gothic"/>
                <w:lang w:eastAsia="ko-KR"/>
              </w:rPr>
            </w:pPr>
            <w:r>
              <w:rPr>
                <w:lang w:eastAsia="zh-TW"/>
              </w:rPr>
              <w:t xml:space="preserve">We are more in favor of Approach 2 but think Approach 1 is acceptable if the majority view is Approach 1, by considering the time available in this release. </w:t>
            </w:r>
          </w:p>
        </w:tc>
      </w:tr>
      <w:tr w:rsidR="000D42B3" w14:paraId="6D5FFB03" w14:textId="77777777">
        <w:trPr>
          <w:trHeight w:val="43"/>
        </w:trPr>
        <w:tc>
          <w:tcPr>
            <w:tcW w:w="1960" w:type="dxa"/>
          </w:tcPr>
          <w:p w14:paraId="22EE0971" w14:textId="553A5B15" w:rsidR="000D42B3" w:rsidRDefault="000D42B3" w:rsidP="000D42B3">
            <w:pPr>
              <w:spacing w:after="0"/>
              <w:jc w:val="both"/>
              <w:rPr>
                <w:lang w:eastAsia="zh-CN"/>
              </w:rPr>
            </w:pPr>
            <w:r>
              <w:rPr>
                <w:lang w:eastAsia="zh-CN"/>
              </w:rPr>
              <w:t>Nokia, Nokia Shanghai Bell</w:t>
            </w:r>
          </w:p>
        </w:tc>
        <w:tc>
          <w:tcPr>
            <w:tcW w:w="1283" w:type="dxa"/>
          </w:tcPr>
          <w:p w14:paraId="20ECF265" w14:textId="3AC52639" w:rsidR="000D42B3" w:rsidRDefault="000D42B3" w:rsidP="000D42B3">
            <w:pPr>
              <w:spacing w:after="0"/>
              <w:jc w:val="both"/>
              <w:rPr>
                <w:lang w:eastAsia="zh-CN"/>
              </w:rPr>
            </w:pPr>
            <w:r>
              <w:rPr>
                <w:rFonts w:eastAsia="Malgun Gothic"/>
                <w:lang w:eastAsia="ko-KR"/>
              </w:rPr>
              <w:t>Approach 2 preferred, approach 1 also aceptale</w:t>
            </w:r>
          </w:p>
        </w:tc>
        <w:tc>
          <w:tcPr>
            <w:tcW w:w="6107" w:type="dxa"/>
          </w:tcPr>
          <w:p w14:paraId="3D1BC4F7" w14:textId="38581A45" w:rsidR="000D42B3" w:rsidRDefault="000D42B3" w:rsidP="000D42B3">
            <w:pPr>
              <w:spacing w:after="0"/>
              <w:jc w:val="both"/>
              <w:rPr>
                <w:lang w:eastAsia="zh-TW"/>
              </w:rPr>
            </w:pPr>
            <w:r>
              <w:rPr>
                <w:rFonts w:eastAsia="Malgun Gothic"/>
                <w:lang w:eastAsia="ko-KR"/>
              </w:rPr>
              <w:t>We are OK to consider Approach 2 in a future release as well.</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5" w:name="_Ref78326950"/>
      <w:r>
        <w:rPr>
          <w:rStyle w:val="CommentReference"/>
          <w:sz w:val="20"/>
          <w:szCs w:val="20"/>
        </w:rPr>
        <w:t>Please indicate if you have any</w:t>
      </w:r>
      <w:bookmarkEnd w:id="305"/>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lastRenderedPageBreak/>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6" w:author="vivo (Stephen)" w:date="2021-07-31T19:56:00Z">
              <w:r>
                <w:rPr>
                  <w:noProof/>
                </w:rPr>
                <w:t xml:space="preserve">for data redundancy and </w:t>
              </w:r>
            </w:ins>
            <w:ins w:id="307" w:author="vivo (Stephen)" w:date="2021-07-31T19:57:00Z">
              <w:r>
                <w:rPr>
                  <w:noProof/>
                </w:rPr>
                <w:t>out-of-order delivery</w:t>
              </w:r>
            </w:ins>
            <w:ins w:id="308" w:author="vivo (Stephen)" w:date="2021-07-31T19:56:00Z">
              <w:r>
                <w:rPr>
                  <w:noProof/>
                </w:rPr>
                <w:t xml:space="preserve"> </w:t>
              </w:r>
            </w:ins>
            <w:del w:id="309" w:author="vivo (Stephen)" w:date="2021-07-31T19:57:00Z">
              <w:r>
                <w:rPr>
                  <w:noProof/>
                </w:rPr>
                <w:delText>to address</w:delText>
              </w:r>
            </w:del>
            <w:ins w:id="310" w:author="vivo (Stephen)" w:date="2021-07-31T19:57:00Z">
              <w:r>
                <w:rPr>
                  <w:noProof/>
                </w:rPr>
                <w:t>in</w:t>
              </w:r>
            </w:ins>
            <w:r>
              <w:rPr>
                <w:noProof/>
              </w:rPr>
              <w:t xml:space="preserve"> the scenario where the anchor relocation is required in the middle of an SDT session</w:t>
            </w:r>
            <w:ins w:id="311" w:author="vivo (Stephen)" w:date="2021-07-31T19:57:00Z">
              <w:r>
                <w:rPr>
                  <w:noProof/>
                </w:rPr>
                <w:t xml:space="preserve"> to move UE to INACTIVE</w:t>
              </w:r>
            </w:ins>
            <w:r>
              <w:rPr>
                <w:noProof/>
              </w:rPr>
              <w:t>, i.e. network relies on releasing the UE back into RRC_INACTIVE</w:t>
            </w:r>
            <w:del w:id="312"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3" w:author="vivo (Stephen)" w:date="2021-07-31T20:19:00Z">
              <w:r>
                <w:rPr>
                  <w:b/>
                  <w:noProof/>
                  <w:color w:val="0000CC"/>
                </w:rPr>
                <w:t>[To discuss]</w:t>
              </w:r>
            </w:ins>
            <w:del w:id="314"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5" w:author="vivo (Stephen)" w:date="2021-07-31T20:20:00Z">
              <w:r>
                <w:rPr>
                  <w:noProof/>
                </w:rPr>
                <w:delText xml:space="preserve">defined </w:delText>
              </w:r>
            </w:del>
            <w:ins w:id="316" w:author="vivo (Stephen)" w:date="2021-07-31T20:20:00Z">
              <w:r>
                <w:rPr>
                  <w:noProof/>
                </w:rPr>
                <w:t xml:space="preserve">needed </w:t>
              </w:r>
            </w:ins>
            <w:r>
              <w:rPr>
                <w:noProof/>
              </w:rPr>
              <w:t>to enable the scenario where anchor relocation is performed in the middle of an ongoing SDT session to move UE to CONNECTED</w:t>
            </w:r>
            <w:ins w:id="317"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lastRenderedPageBreak/>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lastRenderedPageBreak/>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relavent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It is more clear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8" w:name="_Toc69291230"/>
      <w:bookmarkStart w:id="319" w:name="_Toc69291231"/>
      <w:bookmarkStart w:id="320" w:name="_Toc69291232"/>
      <w:bookmarkStart w:id="321" w:name="_Toc69291233"/>
      <w:bookmarkStart w:id="322" w:name="_Toc69291234"/>
      <w:bookmarkStart w:id="323" w:name="_Toc69291235"/>
      <w:bookmarkStart w:id="324" w:name="_Toc69291236"/>
      <w:bookmarkStart w:id="325" w:name="_Toc69291237"/>
      <w:bookmarkStart w:id="326" w:name="_Toc69291238"/>
      <w:bookmarkStart w:id="327" w:name="_Toc69291239"/>
      <w:bookmarkStart w:id="328" w:name="_Toc69291240"/>
      <w:bookmarkStart w:id="329" w:name="_Toc69291241"/>
      <w:bookmarkStart w:id="330" w:name="_Toc69291242"/>
      <w:bookmarkStart w:id="331" w:name="_Toc69291243"/>
      <w:bookmarkStart w:id="332" w:name="_Toc69291244"/>
      <w:bookmarkStart w:id="333" w:name="_Toc69291245"/>
      <w:bookmarkStart w:id="334" w:name="_Toc69291246"/>
      <w:bookmarkStart w:id="335" w:name="_Toc69291247"/>
      <w:bookmarkStart w:id="336" w:name="_Toc69291248"/>
      <w:bookmarkStart w:id="337" w:name="_Toc69291249"/>
      <w:bookmarkStart w:id="338" w:name="_Toc69291250"/>
      <w:bookmarkStart w:id="339" w:name="_Toc69291251"/>
      <w:bookmarkStart w:id="340" w:name="_Toc69291252"/>
      <w:bookmarkStart w:id="341" w:name="_Toc69291253"/>
      <w:bookmarkStart w:id="342" w:name="_Toc69291254"/>
      <w:bookmarkStart w:id="343" w:name="_Toc69291255"/>
      <w:bookmarkStart w:id="344" w:name="_Toc69291256"/>
      <w:bookmarkStart w:id="345" w:name="_Toc69291257"/>
      <w:bookmarkStart w:id="346" w:name="_Toc69291258"/>
      <w:bookmarkStart w:id="347" w:name="_Toc69291259"/>
      <w:bookmarkStart w:id="348" w:name="_Toc69291260"/>
      <w:bookmarkStart w:id="349" w:name="_Toc69291261"/>
      <w:bookmarkStart w:id="350" w:name="_Toc69291262"/>
      <w:bookmarkStart w:id="351" w:name="_Toc69291263"/>
      <w:bookmarkStart w:id="352" w:name="_Toc69291264"/>
      <w:bookmarkStart w:id="353" w:name="_Toc69291265"/>
      <w:bookmarkStart w:id="354" w:name="_Toc69291266"/>
      <w:bookmarkStart w:id="355" w:name="_Toc69291267"/>
      <w:bookmarkStart w:id="356" w:name="_Toc69291268"/>
      <w:bookmarkStart w:id="357" w:name="_Toc69291269"/>
      <w:bookmarkStart w:id="358" w:name="_Toc69291270"/>
      <w:bookmarkStart w:id="359" w:name="_Toc69291271"/>
      <w:bookmarkStart w:id="360" w:name="_Toc69291272"/>
      <w:bookmarkStart w:id="361" w:name="_Toc69291273"/>
      <w:bookmarkStart w:id="362" w:name="_Toc69291274"/>
      <w:bookmarkStart w:id="363" w:name="_Toc69291275"/>
      <w:bookmarkStart w:id="364" w:name="_Toc69291276"/>
      <w:bookmarkStart w:id="365" w:name="_Toc69291277"/>
      <w:bookmarkStart w:id="366" w:name="_Toc69291278"/>
      <w:bookmarkStart w:id="367" w:name="_Toc69291279"/>
      <w:bookmarkStart w:id="368" w:name="_Toc69291280"/>
      <w:bookmarkStart w:id="369" w:name="_Toc69291281"/>
      <w:bookmarkStart w:id="370" w:name="_Toc69291282"/>
      <w:bookmarkStart w:id="371" w:name="_Toc69291283"/>
      <w:bookmarkStart w:id="372" w:name="_Toc69291284"/>
      <w:bookmarkStart w:id="373" w:name="_Toc69291285"/>
      <w:bookmarkStart w:id="374" w:name="_Toc69291286"/>
      <w:bookmarkStart w:id="375" w:name="_Toc69291287"/>
      <w:bookmarkStart w:id="376" w:name="_Toc69291288"/>
      <w:bookmarkStart w:id="377" w:name="_Toc69291289"/>
      <w:bookmarkStart w:id="378" w:name="_Toc69291290"/>
      <w:bookmarkStart w:id="379" w:name="_Toc69291291"/>
      <w:bookmarkStart w:id="380" w:name="_Toc69291292"/>
      <w:bookmarkStart w:id="381" w:name="_Toc69291293"/>
      <w:bookmarkStart w:id="382" w:name="_Toc69291294"/>
      <w:bookmarkStart w:id="383" w:name="_Toc69291295"/>
      <w:bookmarkStart w:id="384" w:name="_Toc69291296"/>
      <w:bookmarkStart w:id="385" w:name="_Toc69291297"/>
      <w:bookmarkStart w:id="386" w:name="_Toc69291298"/>
      <w:bookmarkStart w:id="387" w:name="_Toc69291299"/>
      <w:bookmarkStart w:id="388" w:name="_Toc69291300"/>
      <w:bookmarkStart w:id="389" w:name="_Toc69291301"/>
      <w:bookmarkStart w:id="390" w:name="_Toc69291302"/>
      <w:bookmarkStart w:id="391" w:name="_Toc69291303"/>
      <w:bookmarkStart w:id="392" w:name="_Toc69291304"/>
      <w:bookmarkStart w:id="393" w:name="_Toc69291305"/>
      <w:bookmarkStart w:id="394" w:name="_Toc69291307"/>
      <w:bookmarkStart w:id="395" w:name="_Toc69291308"/>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lastRenderedPageBreak/>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t xml:space="preserve">Annex: </w:t>
      </w:r>
      <w:bookmarkStart w:id="396" w:name="OLE_LINK490"/>
      <w:bookmarkStart w:id="397" w:name="OLE_LINK491"/>
      <w:r>
        <w:t>companies’ point of contact</w:t>
      </w:r>
      <w:bookmarkEnd w:id="396"/>
      <w:bookmarkEnd w:id="397"/>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Marta Martinez Tarradell</w:t>
            </w:r>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r>
              <w:t>Eswar Vutukuri</w:t>
            </w:r>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r>
              <w:t>Dawid Koziol</w:t>
            </w:r>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r>
              <w:rPr>
                <w:rFonts w:hint="eastAsia"/>
                <w:lang w:eastAsia="zh-CN"/>
              </w:rPr>
              <w:t>H</w:t>
            </w:r>
            <w:r>
              <w:rPr>
                <w:lang w:eastAsia="zh-CN"/>
              </w:rPr>
              <w:t>ejun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r>
              <w:rPr>
                <w:rFonts w:hint="eastAsia"/>
                <w:lang w:eastAsia="zh-CN"/>
              </w:rPr>
              <w:t>W</w:t>
            </w:r>
            <w:r>
              <w:rPr>
                <w:lang w:eastAsia="zh-CN"/>
              </w:rPr>
              <w:t>angda</w:t>
            </w:r>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14:paraId="5D8511C0" w14:textId="77777777" w:rsidR="00025331" w:rsidRDefault="000D42B3">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r>
              <w:rPr>
                <w:rFonts w:eastAsia="Malgun Gothic" w:hint="eastAsia"/>
                <w:lang w:eastAsia="ko-KR"/>
              </w:rPr>
              <w:t>SeungJune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r>
              <w:rPr>
                <w:rFonts w:hint="eastAsia"/>
                <w:lang w:eastAsia="zh-CN"/>
              </w:rPr>
              <w:t>X</w:t>
            </w:r>
            <w:r>
              <w:rPr>
                <w:lang w:eastAsia="zh-CN"/>
              </w:rPr>
              <w:t>ue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r>
              <w:t>Jie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r>
              <w:rPr>
                <w:rFonts w:hint="eastAsia"/>
                <w:lang w:eastAsia="zh-CN"/>
              </w:rPr>
              <w:t>Y</w:t>
            </w:r>
            <w:r>
              <w:rPr>
                <w:lang w:eastAsia="zh-CN"/>
              </w:rPr>
              <w:t>itao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r>
              <w:t>Ruiming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r>
              <w:t>Yumin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8" w:name="_Ref434066290"/>
      <w:r>
        <w:lastRenderedPageBreak/>
        <w:t>Reference</w:t>
      </w:r>
      <w:bookmarkEnd w:id="398"/>
    </w:p>
    <w:p w14:paraId="2015F57C" w14:textId="77777777" w:rsidR="00025331" w:rsidRDefault="0089377C">
      <w:pPr>
        <w:pStyle w:val="Doc-title"/>
        <w:numPr>
          <w:ilvl w:val="0"/>
          <w:numId w:val="3"/>
        </w:numPr>
        <w:spacing w:after="60"/>
        <w:rPr>
          <w:rFonts w:ascii="Times New Roman" w:hAnsi="Times New Roman" w:cs="Times New Roman"/>
          <w:sz w:val="20"/>
        </w:rPr>
      </w:pPr>
      <w:bookmarkStart w:id="399" w:name="_Ref74122356"/>
      <w:bookmarkEnd w:id="2"/>
      <w:r>
        <w:rPr>
          <w:rFonts w:ascii="Times New Roman" w:hAnsi="Times New Roman" w:cs="Times New Roman"/>
          <w:sz w:val="20"/>
        </w:rPr>
        <w:t>R2-2104771, Discussion on common control plane issues of SDT, OPPO</w:t>
      </w:r>
      <w:bookmarkEnd w:id="399"/>
    </w:p>
    <w:p w14:paraId="05774A93" w14:textId="77777777" w:rsidR="00025331" w:rsidRDefault="0089377C">
      <w:pPr>
        <w:pStyle w:val="Doc-title"/>
        <w:numPr>
          <w:ilvl w:val="0"/>
          <w:numId w:val="3"/>
        </w:numPr>
        <w:spacing w:after="60"/>
        <w:rPr>
          <w:rFonts w:ascii="Times New Roman" w:hAnsi="Times New Roman" w:cs="Times New Roman"/>
          <w:sz w:val="20"/>
        </w:rPr>
      </w:pPr>
      <w:bookmarkStart w:id="400" w:name="_Ref74088741"/>
      <w:r>
        <w:rPr>
          <w:rFonts w:ascii="Times New Roman" w:hAnsi="Times New Roman" w:cs="Times New Roman"/>
          <w:sz w:val="20"/>
        </w:rPr>
        <w:t>R2-2104772, on RACH-based SDT, OPPO</w:t>
      </w:r>
      <w:bookmarkEnd w:id="400"/>
    </w:p>
    <w:p w14:paraId="4C74A98A" w14:textId="77777777" w:rsidR="00025331" w:rsidRDefault="0089377C">
      <w:pPr>
        <w:pStyle w:val="Doc-title"/>
        <w:numPr>
          <w:ilvl w:val="0"/>
          <w:numId w:val="3"/>
        </w:numPr>
        <w:spacing w:after="60"/>
        <w:rPr>
          <w:rFonts w:ascii="Times New Roman" w:hAnsi="Times New Roman" w:cs="Times New Roman"/>
          <w:sz w:val="20"/>
        </w:rPr>
      </w:pPr>
      <w:bookmarkStart w:id="401" w:name="_Ref74089061"/>
      <w:r>
        <w:rPr>
          <w:rFonts w:ascii="Times New Roman" w:hAnsi="Times New Roman" w:cs="Times New Roman"/>
          <w:sz w:val="20"/>
        </w:rPr>
        <w:t>R2-2104785, Control Plane Common Aspects of RACH and CG based SDT, Samsung Electronics Co., Ltd</w:t>
      </w:r>
      <w:bookmarkEnd w:id="401"/>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2" w:name="_Ref74088838"/>
      <w:r>
        <w:rPr>
          <w:rFonts w:ascii="Times New Roman" w:hAnsi="Times New Roman" w:cs="Times New Roman"/>
          <w:sz w:val="20"/>
        </w:rPr>
        <w:t>R2-2104881, Failure and successful handling for an SDT session, Intel Corporation</w:t>
      </w:r>
      <w:bookmarkEnd w:id="402"/>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3" w:name="_Ref74088716"/>
      <w:r>
        <w:rPr>
          <w:rFonts w:ascii="Times New Roman" w:hAnsi="Times New Roman" w:cs="Times New Roman"/>
          <w:sz w:val="20"/>
        </w:rPr>
        <w:t>R2-2104882, CP-SDT remaining open issues, Intel Corporation</w:t>
      </w:r>
      <w:bookmarkEnd w:id="403"/>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4" w:name="_Ref74088521"/>
      <w:r>
        <w:rPr>
          <w:rFonts w:ascii="Times New Roman" w:hAnsi="Times New Roman" w:cs="Times New Roman"/>
          <w:sz w:val="20"/>
        </w:rPr>
        <w:t>R2-2104883, RA-SDT remaining open issues, Intel Corporation</w:t>
      </w:r>
      <w:bookmarkEnd w:id="404"/>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5" w:name="_Ref74089279"/>
      <w:r>
        <w:rPr>
          <w:rFonts w:ascii="Times New Roman" w:hAnsi="Times New Roman" w:cs="Times New Roman"/>
          <w:sz w:val="20"/>
        </w:rPr>
        <w:t>R2-2105101, Control plane aspects on the SDT procedure, Apple</w:t>
      </w:r>
      <w:bookmarkEnd w:id="405"/>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6" w:name="_Ref74088756"/>
      <w:r>
        <w:rPr>
          <w:rFonts w:ascii="Times New Roman" w:hAnsi="Times New Roman" w:cs="Times New Roman"/>
          <w:sz w:val="20"/>
        </w:rPr>
        <w:t>R2-2105281, Consideration on CP issues, CATT</w:t>
      </w:r>
      <w:bookmarkEnd w:id="406"/>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7" w:name="_Ref74088996"/>
      <w:r>
        <w:rPr>
          <w:rFonts w:ascii="Times New Roman" w:hAnsi="Times New Roman" w:cs="Times New Roman"/>
          <w:sz w:val="20"/>
        </w:rPr>
        <w:t>R2-2105448, Control plane aspects of SDT, NEC</w:t>
      </w:r>
      <w:bookmarkEnd w:id="407"/>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8" w:name="_Ref74089528"/>
      <w:r>
        <w:rPr>
          <w:rFonts w:ascii="Times New Roman" w:hAnsi="Times New Roman" w:cs="Times New Roman"/>
          <w:sz w:val="20"/>
        </w:rPr>
        <w:t>R2-2105549 on RACH-based SDT, Spreadtrum Communications</w:t>
      </w:r>
      <w:bookmarkEnd w:id="408"/>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09" w:name="_Ref74088665"/>
      <w:r>
        <w:rPr>
          <w:rFonts w:ascii="Times New Roman" w:hAnsi="Times New Roman" w:cs="Times New Roman"/>
          <w:sz w:val="20"/>
        </w:rPr>
        <w:t>R2-2105574, Small data transmission with RA-based schemes, Huawei, HiSilicon</w:t>
      </w:r>
      <w:bookmarkEnd w:id="409"/>
    </w:p>
    <w:p w14:paraId="6F0B92D3" w14:textId="77777777" w:rsidR="00025331" w:rsidRDefault="0089377C">
      <w:pPr>
        <w:pStyle w:val="Doc-title"/>
        <w:numPr>
          <w:ilvl w:val="0"/>
          <w:numId w:val="3"/>
        </w:numPr>
        <w:spacing w:after="60"/>
        <w:rPr>
          <w:rFonts w:ascii="Times New Roman" w:hAnsi="Times New Roman" w:cs="Times New Roman"/>
          <w:sz w:val="20"/>
        </w:rPr>
      </w:pPr>
      <w:bookmarkStart w:id="410" w:name="_Ref74088823"/>
      <w:r>
        <w:rPr>
          <w:rFonts w:ascii="Times New Roman" w:hAnsi="Times New Roman" w:cs="Times New Roman"/>
          <w:sz w:val="20"/>
        </w:rPr>
        <w:t>R2-2105575, Control plane common aspects for SDT, Huawei, HiSilicon</w:t>
      </w:r>
      <w:bookmarkEnd w:id="410"/>
    </w:p>
    <w:p w14:paraId="2A0CA350" w14:textId="77777777" w:rsidR="00025331" w:rsidRDefault="0089377C">
      <w:pPr>
        <w:pStyle w:val="Doc-title"/>
        <w:numPr>
          <w:ilvl w:val="0"/>
          <w:numId w:val="3"/>
        </w:numPr>
        <w:spacing w:after="60"/>
        <w:rPr>
          <w:rFonts w:ascii="Times New Roman" w:hAnsi="Times New Roman" w:cs="Times New Roman"/>
          <w:sz w:val="20"/>
        </w:rPr>
      </w:pPr>
      <w:bookmarkStart w:id="411" w:name="_Ref74088986"/>
      <w:r>
        <w:rPr>
          <w:rFonts w:ascii="Times New Roman" w:hAnsi="Times New Roman" w:cs="Times New Roman"/>
          <w:sz w:val="20"/>
        </w:rPr>
        <w:t>R2-2105691, Discussion on subsequent SDT in NR, timer handling, and support for SRB1/2, Sony</w:t>
      </w:r>
      <w:bookmarkEnd w:id="411"/>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2" w:name="_Ref74088974"/>
      <w:r>
        <w:rPr>
          <w:rFonts w:ascii="Times New Roman" w:hAnsi="Times New Roman" w:cs="Times New Roman"/>
          <w:sz w:val="20"/>
        </w:rPr>
        <w:t>R2-2105760, Common aspects for SDT, Ericsson</w:t>
      </w:r>
      <w:bookmarkEnd w:id="412"/>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3" w:name="_Ref74089401"/>
      <w:r>
        <w:rPr>
          <w:rFonts w:ascii="Times New Roman" w:hAnsi="Times New Roman" w:cs="Times New Roman"/>
          <w:sz w:val="20"/>
        </w:rPr>
        <w:t>R2-2105810, Consideration on CP issues for small data transmission, Lenovo, Motorola Mobility</w:t>
      </w:r>
      <w:bookmarkEnd w:id="413"/>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4" w:name="_Ref74088868"/>
      <w:r>
        <w:rPr>
          <w:rFonts w:ascii="Times New Roman" w:hAnsi="Times New Roman" w:cs="Times New Roman"/>
          <w:sz w:val="20"/>
        </w:rPr>
        <w:t>R2-2105885, Discussion on open issues of SDT, Qualcomm Incorporated</w:t>
      </w:r>
      <w:bookmarkEnd w:id="414"/>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5" w:name="_Ref74088671"/>
      <w:r>
        <w:rPr>
          <w:rFonts w:ascii="Times New Roman" w:hAnsi="Times New Roman" w:cs="Times New Roman"/>
          <w:sz w:val="20"/>
        </w:rPr>
        <w:t>R2-2105886 on open issues for RACH based SDT, Qualcomm Incorporated, R2-2103433</w:t>
      </w:r>
      <w:bookmarkEnd w:id="415"/>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6" w:name="_Ref74088860"/>
      <w:r>
        <w:rPr>
          <w:rFonts w:ascii="Times New Roman" w:hAnsi="Times New Roman" w:cs="Times New Roman"/>
          <w:sz w:val="20"/>
        </w:rPr>
        <w:t>R2-2105928, Control plane common aspects of SDT, ZTE Corporation, Sanechips</w:t>
      </w:r>
      <w:bookmarkEnd w:id="416"/>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7" w:name="_Ref74088530"/>
      <w:r>
        <w:rPr>
          <w:rFonts w:ascii="Times New Roman" w:hAnsi="Times New Roman" w:cs="Times New Roman"/>
          <w:sz w:val="20"/>
        </w:rPr>
        <w:t>R2-2105929, Open issues for RACH based SDT, ZTE Corporation, Sanechips, Rel-17</w:t>
      </w:r>
      <w:bookmarkEnd w:id="417"/>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8" w:name="_Ref74088907"/>
      <w:r>
        <w:rPr>
          <w:rFonts w:ascii="Times New Roman" w:hAnsi="Times New Roman" w:cs="Times New Roman"/>
          <w:sz w:val="20"/>
        </w:rPr>
        <w:t>R2-2106050, SDT CP and configuration aspects, InterDigital</w:t>
      </w:r>
      <w:bookmarkEnd w:id="418"/>
    </w:p>
    <w:p w14:paraId="0E6A9E73" w14:textId="77777777" w:rsidR="00025331" w:rsidRDefault="0089377C">
      <w:pPr>
        <w:pStyle w:val="Doc-title"/>
        <w:numPr>
          <w:ilvl w:val="0"/>
          <w:numId w:val="3"/>
        </w:numPr>
        <w:spacing w:after="60"/>
        <w:rPr>
          <w:rFonts w:ascii="Times New Roman" w:hAnsi="Times New Roman" w:cs="Times New Roman"/>
          <w:sz w:val="20"/>
        </w:rPr>
      </w:pPr>
      <w:bookmarkStart w:id="419" w:name="_Ref74089511"/>
      <w:r>
        <w:rPr>
          <w:rFonts w:ascii="Times New Roman" w:hAnsi="Times New Roman" w:cs="Times New Roman"/>
          <w:sz w:val="20"/>
        </w:rPr>
        <w:t>R2-2106132, Discussion on CP aspects of SDT, China Telecomunication Corp.</w:t>
      </w:r>
      <w:bookmarkEnd w:id="419"/>
    </w:p>
    <w:p w14:paraId="2B4D5FF8" w14:textId="77777777" w:rsidR="00025331" w:rsidRDefault="0089377C">
      <w:pPr>
        <w:pStyle w:val="Doc-title"/>
        <w:numPr>
          <w:ilvl w:val="0"/>
          <w:numId w:val="3"/>
        </w:numPr>
        <w:spacing w:after="60"/>
        <w:rPr>
          <w:rFonts w:ascii="Times New Roman" w:hAnsi="Times New Roman" w:cs="Times New Roman"/>
          <w:sz w:val="20"/>
        </w:rPr>
      </w:pPr>
      <w:bookmarkStart w:id="420" w:name="_Ref74089097"/>
      <w:r>
        <w:rPr>
          <w:rFonts w:ascii="Times New Roman" w:hAnsi="Times New Roman" w:cs="Times New Roman"/>
          <w:sz w:val="20"/>
        </w:rPr>
        <w:t>R2-2106256, Anchor relocation and context fetch, CMCC</w:t>
      </w:r>
      <w:bookmarkEnd w:id="420"/>
    </w:p>
    <w:p w14:paraId="52677DCA" w14:textId="77777777" w:rsidR="00025331" w:rsidRDefault="0089377C">
      <w:pPr>
        <w:pStyle w:val="Doc-title"/>
        <w:numPr>
          <w:ilvl w:val="0"/>
          <w:numId w:val="3"/>
        </w:numPr>
        <w:spacing w:after="60"/>
        <w:rPr>
          <w:rFonts w:ascii="Times New Roman" w:hAnsi="Times New Roman" w:cs="Times New Roman"/>
          <w:sz w:val="20"/>
        </w:rPr>
      </w:pPr>
      <w:bookmarkStart w:id="421" w:name="_Ref74222895"/>
      <w:r>
        <w:rPr>
          <w:rFonts w:ascii="Times New Roman" w:hAnsi="Times New Roman" w:cs="Times New Roman"/>
          <w:sz w:val="20"/>
        </w:rPr>
        <w:t>R2-2104401, LS to SA3 on Small data transmissions, Interdigital, April 2021.</w:t>
      </w:r>
      <w:bookmarkEnd w:id="421"/>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2"/>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7B213" w14:textId="77777777" w:rsidR="00DA16B1" w:rsidRDefault="00DA16B1">
      <w:pPr>
        <w:spacing w:after="0" w:line="240" w:lineRule="auto"/>
      </w:pPr>
      <w:r>
        <w:separator/>
      </w:r>
    </w:p>
  </w:endnote>
  <w:endnote w:type="continuationSeparator" w:id="0">
    <w:p w14:paraId="3F26629C" w14:textId="77777777" w:rsidR="00DA16B1" w:rsidRDefault="00DA16B1">
      <w:pPr>
        <w:spacing w:after="0" w:line="240" w:lineRule="auto"/>
      </w:pPr>
      <w:r>
        <w:continuationSeparator/>
      </w:r>
    </w:p>
  </w:endnote>
  <w:endnote w:type="continuationNotice" w:id="1">
    <w:p w14:paraId="61A49449" w14:textId="77777777" w:rsidR="00DA16B1" w:rsidRDefault="00DA1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67B1" w14:textId="77777777" w:rsidR="00642CF7" w:rsidRDefault="0064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12AA" w14:textId="77777777" w:rsidR="00642CF7" w:rsidRDefault="00642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5C66" w14:textId="77777777" w:rsidR="00642CF7" w:rsidRDefault="00642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BCDB2" w14:textId="77777777" w:rsidR="00DA16B1" w:rsidRDefault="00DA16B1">
      <w:pPr>
        <w:spacing w:after="0" w:line="240" w:lineRule="auto"/>
      </w:pPr>
      <w:r>
        <w:separator/>
      </w:r>
    </w:p>
  </w:footnote>
  <w:footnote w:type="continuationSeparator" w:id="0">
    <w:p w14:paraId="131BCAA1" w14:textId="77777777" w:rsidR="00DA16B1" w:rsidRDefault="00DA16B1">
      <w:pPr>
        <w:spacing w:after="0" w:line="240" w:lineRule="auto"/>
      </w:pPr>
      <w:r>
        <w:continuationSeparator/>
      </w:r>
    </w:p>
  </w:footnote>
  <w:footnote w:type="continuationNotice" w:id="1">
    <w:p w14:paraId="2BA6E195" w14:textId="77777777" w:rsidR="00DA16B1" w:rsidRDefault="00DA1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5B54" w14:textId="77777777" w:rsidR="00642CF7" w:rsidRDefault="0064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87AD7" w14:textId="77777777" w:rsidR="00642CF7" w:rsidRDefault="00642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C3CD" w14:textId="77777777" w:rsidR="00642CF7" w:rsidRDefault="0064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4604E"/>
    <w:rsid w:val="000700CE"/>
    <w:rsid w:val="000A5FB4"/>
    <w:rsid w:val="000C6C63"/>
    <w:rsid w:val="000D42B3"/>
    <w:rsid w:val="001903E4"/>
    <w:rsid w:val="001B7AAC"/>
    <w:rsid w:val="001F36F3"/>
    <w:rsid w:val="00343CBB"/>
    <w:rsid w:val="00446820"/>
    <w:rsid w:val="004A48FC"/>
    <w:rsid w:val="00527E45"/>
    <w:rsid w:val="005B2D15"/>
    <w:rsid w:val="005E416B"/>
    <w:rsid w:val="00642CF7"/>
    <w:rsid w:val="00682B92"/>
    <w:rsid w:val="00683877"/>
    <w:rsid w:val="006E2197"/>
    <w:rsid w:val="00715963"/>
    <w:rsid w:val="007E109D"/>
    <w:rsid w:val="00874EDD"/>
    <w:rsid w:val="00881C43"/>
    <w:rsid w:val="0089377C"/>
    <w:rsid w:val="008D6EA2"/>
    <w:rsid w:val="00904CC5"/>
    <w:rsid w:val="009F7355"/>
    <w:rsid w:val="00A65DC4"/>
    <w:rsid w:val="00A81D0B"/>
    <w:rsid w:val="00A81EE0"/>
    <w:rsid w:val="00AA790A"/>
    <w:rsid w:val="00AB12C8"/>
    <w:rsid w:val="00AD2E37"/>
    <w:rsid w:val="00AE3E41"/>
    <w:rsid w:val="00AF24E5"/>
    <w:rsid w:val="00AF7901"/>
    <w:rsid w:val="00B3218A"/>
    <w:rsid w:val="00B51D5F"/>
    <w:rsid w:val="00BA17BA"/>
    <w:rsid w:val="00BB111A"/>
    <w:rsid w:val="00C34283"/>
    <w:rsid w:val="00C52BD7"/>
    <w:rsid w:val="00CA325A"/>
    <w:rsid w:val="00CD2BCF"/>
    <w:rsid w:val="00D06F81"/>
    <w:rsid w:val="00D47442"/>
    <w:rsid w:val="00DA16B1"/>
    <w:rsid w:val="00DB13FD"/>
    <w:rsid w:val="00DE30CA"/>
    <w:rsid w:val="00E47037"/>
    <w:rsid w:val="00E5036E"/>
    <w:rsid w:val="00E649B3"/>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
    <w:name w:val="ZT"/>
    <w:rsid w:val="00642C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92F737-5765-461C-A977-FF767114E7DC}">
  <ds:schemaRefs>
    <ds:schemaRef ds:uri="http://schemas.openxmlformats.org/officeDocument/2006/bibliography"/>
  </ds:schemaRefs>
</ds:datastoreItem>
</file>

<file path=customXml/itemProps3.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39890</Words>
  <Characters>227376</Characters>
  <Application>Microsoft Office Word</Application>
  <DocSecurity>0</DocSecurity>
  <Lines>1894</Lines>
  <Paragraphs>533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266733</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(rapporteur)</cp:lastModifiedBy>
  <cp:revision>2</cp:revision>
  <dcterms:created xsi:type="dcterms:W3CDTF">2021-08-05T07:59:00Z</dcterms:created>
  <dcterms:modified xsi:type="dcterms:W3CDTF">2021-08-05T07:59:00Z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